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6065632"/>
        <w:docPartObj>
          <w:docPartGallery w:val="Cover Pages"/>
          <w:docPartUnique/>
        </w:docPartObj>
      </w:sdtPr>
      <w:sdtEndPr>
        <w:rPr>
          <w:rFonts w:ascii="Calibri" w:hAnsi="Calibri" w:cs="Times New Roman"/>
          <w:b/>
          <w:u w:val="single"/>
        </w:rPr>
      </w:sdtEndPr>
      <w:sdtContent>
        <w:p w14:paraId="392F207A" w14:textId="7E9B01D5" w:rsidR="00EE5239" w:rsidRDefault="00EE5239">
          <w:r>
            <w:rPr>
              <w:noProof/>
              <w:lang w:eastAsia="en-GB"/>
            </w:rPr>
            <mc:AlternateContent>
              <mc:Choice Requires="wpg">
                <w:drawing>
                  <wp:anchor distT="0" distB="0" distL="114300" distR="114300" simplePos="0" relativeHeight="251663360" behindDoc="0" locked="1" layoutInCell="0" allowOverlap="1" wp14:anchorId="5FFDAC47" wp14:editId="3C6B266E">
                    <wp:simplePos x="0" y="0"/>
                    <wp:positionH relativeFrom="column">
                      <wp:posOffset>4333875</wp:posOffset>
                    </wp:positionH>
                    <wp:positionV relativeFrom="page">
                      <wp:posOffset>932815</wp:posOffset>
                    </wp:positionV>
                    <wp:extent cx="2377440" cy="777240"/>
                    <wp:effectExtent l="0" t="0" r="3810" b="22860"/>
                    <wp:wrapNone/>
                    <wp:docPr id="91" name="Group 91"/>
                    <wp:cNvGraphicFramePr/>
                    <a:graphic xmlns:a="http://schemas.openxmlformats.org/drawingml/2006/main">
                      <a:graphicData uri="http://schemas.microsoft.com/office/word/2010/wordprocessingGroup">
                        <wpg:wgp>
                          <wpg:cNvGrpSpPr/>
                          <wpg:grpSpPr>
                            <a:xfrm>
                              <a:off x="0" y="0"/>
                              <a:ext cx="2377440" cy="777240"/>
                              <a:chOff x="0" y="0"/>
                              <a:chExt cx="2377440" cy="776605"/>
                            </a:xfrm>
                          </wpg:grpSpPr>
                          <wps:wsp>
                            <wps:cNvPr id="92" name="Text Box 6"/>
                            <wps:cNvSpPr txBox="1">
                              <a:spLocks noChangeArrowheads="1"/>
                            </wps:cNvSpPr>
                            <wps:spPr bwMode="auto">
                              <a:xfrm>
                                <a:off x="0" y="123825"/>
                                <a:ext cx="125793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15913B62" w14:textId="77777777" w:rsidR="00D75A79" w:rsidRDefault="00D75A79">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lang w:val="nb-NO"/>
                                    </w:rPr>
                                    <w:t>Fall</w:t>
                                  </w:r>
                                </w:p>
                              </w:txbxContent>
                            </wps:txbx>
                            <wps:bodyPr rot="0" vert="horz" wrap="square" lIns="0" tIns="0" rIns="0" bIns="0" anchor="t" anchorCtr="0" upright="1">
                              <a:noAutofit/>
                            </wps:bodyPr>
                          </wps:wsp>
                          <wps:wsp>
                            <wps:cNvPr id="93" name="Text Box 7"/>
                            <wps:cNvSpPr txBox="1">
                              <a:spLocks noChangeArrowheads="1"/>
                            </wps:cNvSpPr>
                            <wps:spPr bwMode="auto">
                              <a:xfrm>
                                <a:off x="1381125" y="0"/>
                                <a:ext cx="99631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FC0D1" w14:textId="77777777" w:rsidR="00D75A79" w:rsidRDefault="00D75A79">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lang w:val="nb-NO"/>
                                    </w:rPr>
                                    <w:t>16</w:t>
                                  </w:r>
                                </w:p>
                              </w:txbxContent>
                            </wps:txbx>
                            <wps:bodyPr rot="0" vert="horz" wrap="square" lIns="0" tIns="0" rIns="0" bIns="0" anchor="t" anchorCtr="0" upright="1">
                              <a:noAutofit/>
                            </wps:bodyPr>
                          </wps:wsp>
                          <wps:wsp>
                            <wps:cNvPr id="101" name="AutoShape 8"/>
                            <wps:cNvCnPr>
                              <a:cxnSpLocks noChangeShapeType="1"/>
                            </wps:cNvCnPr>
                            <wps:spPr bwMode="auto">
                              <a:xfrm>
                                <a:off x="1333500" y="190500"/>
                                <a:ext cx="0" cy="586105"/>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91" o:spid="_x0000_s1026" style="position:absolute;margin-left:341.25pt;margin-top:73.45pt;width:187.2pt;height:61.2pt;z-index:251663360;mso-position-vertical-relative:page;mso-width-relative:margin;mso-height-relative:margin" coordsize="23774,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" o:allowincell="f">
                    <v:shapetype id="_x0000_t202" coordsize="21600,21600" o:spt="202" path="m,l,21600r21600,l21600,xe">
                      <v:stroke joinstyle="miter"/>
                      <v:path gradientshapeok="t" o:connecttype="rect"/>
                    </v:shapetype>
                    <v:shape id="Text Box 6" o:spid="_x0000_s1027" type="#_x0000_t202" style="position:absolute;top:1238;width:12579;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bLsQA&#10;AADbAAAADwAAAGRycy9kb3ducmV2LnhtbESPQWsCMRSE7wX/Q3hCbzWrh7auRhFLodBTd/Xg7bF5&#10;JqublyVJ121/fVMo9DjMzDfMeju6TgwUYutZwXxWgCBuvG7ZKDjUrw/PIGJC1th5JgVfFGG7mdyt&#10;sdT+xh80VMmIDOFYogKbUl9KGRtLDuPM98TZO/vgMGUZjNQBbxnuOrkoikfpsOW8YLGnvaXmWn06&#10;BZf2aE5VXQ9PZ5t0NPH7fR5elLqfjrsViERj+g//td+0guU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FGy7EAAAA2wAAAA8AAAAAAAAAAAAAAAAAmAIAAGRycy9k&#10;b3ducmV2LnhtbFBLBQYAAAAABAAEAPUAAACJAwAAAAA=&#10;" filled="f" stroked="f" strokecolor="gray">
                      <v:textbox inset="0,0,0,0">
                        <w:txbxContent>
                          <w:p w14:paraId="15913B62" w14:textId="77777777" w:rsidR="00D75A79" w:rsidRDefault="00D75A79">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lang w:val="nb-NO"/>
                              </w:rPr>
                              <w:t>Fall</w:t>
                            </w:r>
                          </w:p>
                        </w:txbxContent>
                      </v:textbox>
                    </v:shape>
                    <v:shape id="Text Box 7" o:spid="_x0000_s1028" type="#_x0000_t202" style="position:absolute;left:13811;width:9963;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14:paraId="338FC0D1" w14:textId="77777777" w:rsidR="00D75A79" w:rsidRDefault="00D75A79">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lang w:val="nb-NO"/>
                              </w:rPr>
                              <w:t>16</w:t>
                            </w:r>
                          </w:p>
                        </w:txbxContent>
                      </v:textbox>
                    </v:shape>
                    <v:shapetype id="_x0000_t32" coordsize="21600,21600" o:spt="32" o:oned="t" path="m,l21600,21600e" filled="f">
                      <v:path arrowok="t" fillok="f" o:connecttype="none"/>
                      <o:lock v:ext="edit" shapetype="t"/>
                    </v:shapetype>
                    <v:shape id="AutoShape 8" o:spid="_x0000_s1029" type="#_x0000_t32" style="position:absolute;left:13335;top:1905;width:0;height:5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08+MMAAADcAAAADwAAAGRycy9kb3ducmV2LnhtbERPS2sCMRC+F/ofwhR6KZrdKkXXjVIF&#10;wVuprYi3IZl90M1k3cR1/fdNQehtPr7n5KvBNqKnzteOFaTjBASxdqbmUsH313Y0A+EDssHGMSm4&#10;kYfV8vEhx8y4K39Svw+liCHsM1RQhdBmUnpdkUU/di1x5ArXWQwRdqU0HV5juG3ka5K8SYs1x4YK&#10;W9pUpH/2F6vgOL3NjD6dJ+ue9cv8wxTn9NAr9fw0vC9ABBrCv/ju3pk4P0n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9PPjDAAAA3AAAAA8AAAAAAAAAAAAA&#10;AAAAoQIAAGRycy9kb3ducmV2LnhtbFBLBQYAAAAABAAEAPkAAACRAwAAAAA=&#10;" strokecolor="gray" strokeweight="1.5pt"/>
                    <w10:wrap anchory="page"/>
                    <w10:anchorlock/>
                  </v:group>
                </w:pict>
              </mc:Fallback>
            </mc:AlternateContent>
          </w:r>
          <w:r>
            <w:rPr>
              <w:noProof/>
              <w:lang w:eastAsia="en-GB"/>
            </w:rPr>
            <mc:AlternateContent>
              <mc:Choice Requires="wps">
                <w:drawing>
                  <wp:anchor distT="0" distB="0" distL="114300" distR="114300" simplePos="0" relativeHeight="251662336" behindDoc="0" locked="1" layoutInCell="0" allowOverlap="1" wp14:anchorId="6DB07BFD" wp14:editId="26919332">
                    <wp:simplePos x="0" y="0"/>
                    <wp:positionH relativeFrom="page">
                      <wp:posOffset>276225</wp:posOffset>
                    </wp:positionH>
                    <wp:positionV relativeFrom="page">
                      <wp:posOffset>457200</wp:posOffset>
                    </wp:positionV>
                    <wp:extent cx="7013448" cy="219456"/>
                    <wp:effectExtent l="0" t="0" r="0" b="9525"/>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219456"/>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 o:spid="_x0000_s1026" style="position:absolute;margin-left:21.75pt;margin-top:36pt;width:552.25pt;height:1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" o:allowincell="f" fillcolor="#8db3e2 [1311]" stroked="f" strokecolor="#4a7ebb" strokeweight="1.5pt">
                    <v:shadow opacity="22938f" offset="0"/>
                    <v:textbox inset=",7.2pt,,7.2pt"/>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0" allowOverlap="1" wp14:anchorId="39C8A96D" wp14:editId="40CA7BEF">
                    <wp:simplePos x="0" y="0"/>
                    <wp:positionH relativeFrom="page">
                      <wp:posOffset>457200</wp:posOffset>
                    </wp:positionH>
                    <wp:positionV relativeFrom="page">
                      <wp:posOffset>5029200</wp:posOffset>
                    </wp:positionV>
                    <wp:extent cx="5897880" cy="3419475"/>
                    <wp:effectExtent l="0" t="0" r="0" b="952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0EC9F" w14:textId="4C20A99B" w:rsidR="00D75A79" w:rsidRPr="0082288E" w:rsidRDefault="00D75A79">
                                <w:pPr>
                                  <w:contextualSpacing/>
                                  <w:rPr>
                                    <w:rFonts w:asciiTheme="majorHAnsi" w:hAnsiTheme="majorHAnsi"/>
                                    <w:b/>
                                    <w:color w:val="808080" w:themeColor="background1" w:themeShade="80"/>
                                    <w:sz w:val="48"/>
                                    <w:szCs w:val="48"/>
                                  </w:rPr>
                                </w:pPr>
                                <w:r w:rsidRPr="0082288E">
                                  <w:rPr>
                                    <w:rFonts w:asciiTheme="majorHAnsi" w:hAnsiTheme="majorHAnsi"/>
                                    <w:b/>
                                    <w:color w:val="808080" w:themeColor="background1" w:themeShade="80"/>
                                    <w:sz w:val="48"/>
                                    <w:szCs w:val="48"/>
                                  </w:rPr>
                                  <w:t xml:space="preserve">MAKING THE NORMATIVE CASE: IMPLEMENTING </w:t>
                                </w:r>
                                <w:r>
                                  <w:rPr>
                                    <w:rFonts w:asciiTheme="majorHAnsi" w:hAnsiTheme="majorHAnsi"/>
                                    <w:b/>
                                    <w:color w:val="808080" w:themeColor="background1" w:themeShade="80"/>
                                    <w:sz w:val="48"/>
                                    <w:szCs w:val="48"/>
                                  </w:rPr>
                                  <w:t xml:space="preserve">SECURITY COUNCIL </w:t>
                                </w:r>
                                <w:r w:rsidRPr="0082288E">
                                  <w:rPr>
                                    <w:rFonts w:asciiTheme="majorHAnsi" w:hAnsiTheme="majorHAnsi"/>
                                    <w:b/>
                                    <w:color w:val="808080" w:themeColor="background1" w:themeShade="80"/>
                                    <w:sz w:val="48"/>
                                    <w:szCs w:val="48"/>
                                  </w:rPr>
                                  <w:t xml:space="preserve">RESOLUTION 1325 AS PART </w:t>
                                </w:r>
                                <w:r>
                                  <w:rPr>
                                    <w:rFonts w:asciiTheme="majorHAnsi" w:hAnsiTheme="majorHAnsi"/>
                                    <w:b/>
                                    <w:color w:val="808080" w:themeColor="background1" w:themeShade="80"/>
                                    <w:sz w:val="48"/>
                                    <w:szCs w:val="48"/>
                                  </w:rPr>
                                  <w:t>OF A LEGAL</w:t>
                                </w:r>
                                <w:r w:rsidRPr="0082288E">
                                  <w:rPr>
                                    <w:rFonts w:asciiTheme="majorHAnsi" w:hAnsiTheme="majorHAnsi"/>
                                    <w:b/>
                                    <w:color w:val="808080" w:themeColor="background1" w:themeShade="80"/>
                                    <w:sz w:val="48"/>
                                    <w:szCs w:val="48"/>
                                  </w:rPr>
                                  <w:t xml:space="preserve"> FRAMEWORK ON WOMEN, PEACE AND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36pt;margin-top:396pt;width:464.4pt;height:26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JHtg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" o:allowincell="f" filled="f" stroked="f">
                    <v:textbox>
                      <w:txbxContent>
                        <w:p w14:paraId="60E0EC9F" w14:textId="4C20A99B" w:rsidR="00D75A79" w:rsidRPr="0082288E" w:rsidRDefault="00D75A79">
                          <w:pPr>
                            <w:contextualSpacing/>
                            <w:rPr>
                              <w:rFonts w:asciiTheme="majorHAnsi" w:hAnsiTheme="majorHAnsi"/>
                              <w:b/>
                              <w:color w:val="808080" w:themeColor="background1" w:themeShade="80"/>
                              <w:sz w:val="48"/>
                              <w:szCs w:val="48"/>
                            </w:rPr>
                          </w:pPr>
                          <w:r w:rsidRPr="0082288E">
                            <w:rPr>
                              <w:rFonts w:asciiTheme="majorHAnsi" w:hAnsiTheme="majorHAnsi"/>
                              <w:b/>
                              <w:color w:val="808080" w:themeColor="background1" w:themeShade="80"/>
                              <w:sz w:val="48"/>
                              <w:szCs w:val="48"/>
                            </w:rPr>
                            <w:t xml:space="preserve">MAKING THE NORMATIVE CASE: IMPLEMENTING </w:t>
                          </w:r>
                          <w:r>
                            <w:rPr>
                              <w:rFonts w:asciiTheme="majorHAnsi" w:hAnsiTheme="majorHAnsi"/>
                              <w:b/>
                              <w:color w:val="808080" w:themeColor="background1" w:themeShade="80"/>
                              <w:sz w:val="48"/>
                              <w:szCs w:val="48"/>
                            </w:rPr>
                            <w:t xml:space="preserve">SECURITY COUNCIL </w:t>
                          </w:r>
                          <w:r w:rsidRPr="0082288E">
                            <w:rPr>
                              <w:rFonts w:asciiTheme="majorHAnsi" w:hAnsiTheme="majorHAnsi"/>
                              <w:b/>
                              <w:color w:val="808080" w:themeColor="background1" w:themeShade="80"/>
                              <w:sz w:val="48"/>
                              <w:szCs w:val="48"/>
                            </w:rPr>
                            <w:t xml:space="preserve">RESOLUTION 1325 AS PART </w:t>
                          </w:r>
                          <w:r>
                            <w:rPr>
                              <w:rFonts w:asciiTheme="majorHAnsi" w:hAnsiTheme="majorHAnsi"/>
                              <w:b/>
                              <w:color w:val="808080" w:themeColor="background1" w:themeShade="80"/>
                              <w:sz w:val="48"/>
                              <w:szCs w:val="48"/>
                            </w:rPr>
                            <w:t>OF A LEGAL</w:t>
                          </w:r>
                          <w:r w:rsidRPr="0082288E">
                            <w:rPr>
                              <w:rFonts w:asciiTheme="majorHAnsi" w:hAnsiTheme="majorHAnsi"/>
                              <w:b/>
                              <w:color w:val="808080" w:themeColor="background1" w:themeShade="80"/>
                              <w:sz w:val="48"/>
                              <w:szCs w:val="48"/>
                            </w:rPr>
                            <w:t xml:space="preserve"> FRAMEWORK ON WOMEN, PEACE AND SECURITY</w:t>
                          </w:r>
                        </w:p>
                      </w:txbxContent>
                    </v:textbox>
                    <w10:wrap anchorx="page" anchory="page"/>
                    <w10:anchorlock/>
                  </v:rect>
                </w:pict>
              </mc:Fallback>
            </mc:AlternateContent>
          </w:r>
          <w:r>
            <w:rPr>
              <w:noProof/>
              <w:lang w:eastAsia="en-GB"/>
            </w:rPr>
            <mc:AlternateContent>
              <mc:Choice Requires="wps">
                <w:drawing>
                  <wp:anchor distT="0" distB="0" distL="114300" distR="114300" simplePos="0" relativeHeight="251660288" behindDoc="0" locked="1" layoutInCell="0" allowOverlap="1" wp14:anchorId="60FE2125" wp14:editId="104A843A">
                    <wp:simplePos x="0" y="0"/>
                    <wp:positionH relativeFrom="page">
                      <wp:posOffset>428625</wp:posOffset>
                    </wp:positionH>
                    <wp:positionV relativeFrom="page">
                      <wp:posOffset>9734550</wp:posOffset>
                    </wp:positionV>
                    <wp:extent cx="6675120" cy="393192"/>
                    <wp:effectExtent l="0" t="0" r="0" b="698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9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Bedriftens adresse"/>
                                  <w:id w:val="2110843376"/>
                                  <w:showingPlcHdr/>
                                  <w:dataBinding w:prefixMappings="xmlns:ns0='http://schemas.microsoft.com/office/2006/coverPageProps' " w:xpath="/ns0:CoverPageProperties[1]/ns0:CompanyAddress[1]" w:storeItemID="{55AF091B-3C7A-41E3-B477-F2FDAA23CFDA}"/>
                                  <w:text/>
                                </w:sdtPr>
                                <w:sdtEndPr/>
                                <w:sdtContent>
                                  <w:p w14:paraId="1C3F0784" w14:textId="3146AC80" w:rsidR="00D75A79" w:rsidRDefault="00D75A79">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33.75pt;margin-top:766.5pt;width:525.6pt;height: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2TuAIAALg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" o:allowincell="f" filled="f" stroked="f">
                    <v:textbox>
                      <w:txbxContent>
                        <w:sdt>
                          <w:sdtPr>
                            <w:rPr>
                              <w:rFonts w:asciiTheme="majorHAnsi" w:hAnsiTheme="majorHAnsi"/>
                              <w:b/>
                              <w:bCs/>
                              <w:color w:val="548DD4" w:themeColor="text2" w:themeTint="99"/>
                              <w:spacing w:val="60"/>
                              <w:sz w:val="20"/>
                              <w:szCs w:val="20"/>
                            </w:rPr>
                            <w:alias w:val="Bedriftens adresse"/>
                            <w:id w:val="2110843376"/>
                            <w:showingPlcHdr/>
                            <w:dataBinding w:prefixMappings="xmlns:ns0='http://schemas.microsoft.com/office/2006/coverPageProps' " w:xpath="/ns0:CoverPageProperties[1]/ns0:CompanyAddress[1]" w:storeItemID="{55AF091B-3C7A-41E3-B477-F2FDAA23CFDA}"/>
                            <w:text/>
                          </w:sdtPr>
                          <w:sdtContent>
                            <w:p w14:paraId="1C3F0784" w14:textId="3146AC80" w:rsidR="00D75A79" w:rsidRDefault="00D75A79">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     </w:t>
                              </w:r>
                            </w:p>
                          </w:sdtContent>
                        </w:sdt>
                      </w:txbxContent>
                    </v:textbox>
                    <w10:wrap anchorx="page" anchory="page"/>
                    <w10:anchorlock/>
                  </v:rect>
                </w:pict>
              </mc:Fallback>
            </mc:AlternateContent>
          </w:r>
          <w:r>
            <w:rPr>
              <w:noProof/>
              <w:lang w:eastAsia="en-GB"/>
            </w:rPr>
            <mc:AlternateContent>
              <mc:Choice Requires="wpg">
                <w:drawing>
                  <wp:anchor distT="0" distB="0" distL="114300" distR="114300" simplePos="0" relativeHeight="251659264" behindDoc="1" locked="1" layoutInCell="0" allowOverlap="1" wp14:anchorId="15BF5B3F" wp14:editId="691C3FE0">
                    <wp:simplePos x="0" y="0"/>
                    <wp:positionH relativeFrom="page">
                      <wp:posOffset>276225</wp:posOffset>
                    </wp:positionH>
                    <wp:positionV relativeFrom="page">
                      <wp:posOffset>9544050</wp:posOffset>
                    </wp:positionV>
                    <wp:extent cx="7013448" cy="685800"/>
                    <wp:effectExtent l="0" t="0" r="16510"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9" o:spid="_x0000_s1026" style="position:absolute;margin-left:21.75pt;margin-top:751.5pt;width:552.25pt;height:54pt;z-index:-251657216;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" o:allowincell="f">
                    <v:shape id="AutoShape 10"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s2/hcIAAADbAAAADwAAAAAAAAAAAAAA&#10;AAChAgAAZHJzL2Rvd25yZXYueG1sUEsFBgAAAAAEAAQA+QAAAJADAAAAAA==&#10;" strokecolor="gray"/>
                    <w10:wrap anchorx="page" anchory="page"/>
                    <w10:anchorlock/>
                  </v:group>
                </w:pict>
              </mc:Fallback>
            </mc:AlternateContent>
          </w:r>
        </w:p>
        <w:p w14:paraId="13FBACDC" w14:textId="1BA24CDB" w:rsidR="00EE5239" w:rsidRDefault="00CF4DA2">
          <w:pPr>
            <w:rPr>
              <w:rFonts w:ascii="Calibri" w:hAnsi="Calibri" w:cs="Times New Roman"/>
              <w:b/>
              <w:smallCaps/>
              <w:spacing w:val="5"/>
              <w:sz w:val="28"/>
              <w:szCs w:val="28"/>
              <w:u w:val="single"/>
              <w:lang w:val="en-US"/>
            </w:rPr>
          </w:pPr>
          <w:r>
            <w:rPr>
              <w:noProof/>
              <w:lang w:eastAsia="en-GB"/>
            </w:rPr>
            <w:drawing>
              <wp:anchor distT="0" distB="0" distL="114300" distR="114300" simplePos="0" relativeHeight="251665408" behindDoc="0" locked="0" layoutInCell="1" allowOverlap="1" wp14:anchorId="743161BD" wp14:editId="75AE1EA1">
                <wp:simplePos x="0" y="0"/>
                <wp:positionH relativeFrom="column">
                  <wp:posOffset>4114800</wp:posOffset>
                </wp:positionH>
                <wp:positionV relativeFrom="paragraph">
                  <wp:posOffset>278765</wp:posOffset>
                </wp:positionV>
                <wp:extent cx="2289175" cy="1714500"/>
                <wp:effectExtent l="0" t="0" r="0" b="12700"/>
                <wp:wrapTight wrapText="bothSides">
                  <wp:wrapPolygon edited="0">
                    <wp:start x="0" y="0"/>
                    <wp:lineTo x="0" y="21440"/>
                    <wp:lineTo x="21330" y="21440"/>
                    <wp:lineTo x="2133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91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239">
            <w:rPr>
              <w:rFonts w:ascii="Calibri" w:hAnsi="Calibri" w:cs="Times New Roman"/>
              <w:b/>
              <w:u w:val="single"/>
            </w:rPr>
            <w:br w:type="page"/>
          </w:r>
        </w:p>
      </w:sdtContent>
    </w:sdt>
    <w:p w14:paraId="22285954" w14:textId="1D21E75A" w:rsidR="004E5EBC" w:rsidRPr="00BA6A24" w:rsidRDefault="00CF4DA2" w:rsidP="004E5EBC">
      <w:pPr>
        <w:pStyle w:val="ListParagraph"/>
        <w:ind w:left="0"/>
        <w:rPr>
          <w:rFonts w:ascii="Times New Roman" w:hAnsi="Times New Roman" w:cs="Times New Roman"/>
          <w:sz w:val="28"/>
          <w:szCs w:val="28"/>
        </w:rPr>
      </w:pPr>
      <w:r w:rsidRPr="00DE055A">
        <w:rPr>
          <w:rStyle w:val="PageNumber"/>
          <w:noProof/>
          <w:lang w:eastAsia="en-GB"/>
        </w:rPr>
        <w:lastRenderedPageBreak/>
        <mc:AlternateContent>
          <mc:Choice Requires="wps">
            <w:drawing>
              <wp:anchor distT="0" distB="0" distL="114300" distR="114300" simplePos="0" relativeHeight="251668480" behindDoc="0" locked="0" layoutInCell="1" allowOverlap="1" wp14:anchorId="05A9947E" wp14:editId="1C904A22">
                <wp:simplePos x="0" y="0"/>
                <wp:positionH relativeFrom="column">
                  <wp:posOffset>4457700</wp:posOffset>
                </wp:positionH>
                <wp:positionV relativeFrom="paragraph">
                  <wp:posOffset>114300</wp:posOffset>
                </wp:positionV>
                <wp:extent cx="2207260" cy="9258300"/>
                <wp:effectExtent l="0" t="0" r="0" b="12700"/>
                <wp:wrapSquare wrapText="bothSides"/>
                <wp:docPr id="7" name="Tekstboks 7"/>
                <wp:cNvGraphicFramePr/>
                <a:graphic xmlns:a="http://schemas.openxmlformats.org/drawingml/2006/main">
                  <a:graphicData uri="http://schemas.microsoft.com/office/word/2010/wordprocessingShape">
                    <wps:wsp>
                      <wps:cNvSpPr txBox="1"/>
                      <wps:spPr>
                        <a:xfrm>
                          <a:off x="0" y="0"/>
                          <a:ext cx="2207260" cy="925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98E89" w14:textId="77777777" w:rsidR="00D75A79" w:rsidRPr="00975EBE" w:rsidRDefault="00D75A79" w:rsidP="00291C53">
                            <w:pPr>
                              <w:jc w:val="center"/>
                              <w:rPr>
                                <w:b/>
                                <w:color w:val="FFFFFF" w:themeColor="background1"/>
                                <w:sz w:val="44"/>
                              </w:rPr>
                            </w:pPr>
                            <w:r w:rsidRPr="00975EBE">
                              <w:rPr>
                                <w:b/>
                                <w:color w:val="FFFFFF" w:themeColor="background1"/>
                                <w:sz w:val="44"/>
                              </w:rPr>
                              <w:t>L</w:t>
                            </w:r>
                          </w:p>
                          <w:p w14:paraId="208E07F2" w14:textId="77777777" w:rsidR="00D75A79" w:rsidRPr="00975EBE" w:rsidRDefault="00D75A79" w:rsidP="00291C53">
                            <w:pPr>
                              <w:jc w:val="center"/>
                              <w:rPr>
                                <w:b/>
                                <w:color w:val="FFFFFF" w:themeColor="background1"/>
                                <w:sz w:val="44"/>
                              </w:rPr>
                            </w:pPr>
                            <w:r w:rsidRPr="00975EBE">
                              <w:rPr>
                                <w:b/>
                                <w:color w:val="FFFFFF" w:themeColor="background1"/>
                                <w:sz w:val="44"/>
                              </w:rPr>
                              <w:t>S</w:t>
                            </w:r>
                          </w:p>
                          <w:p w14:paraId="03D39128" w14:textId="77777777" w:rsidR="00D75A79" w:rsidRPr="00975EBE" w:rsidRDefault="00D75A79" w:rsidP="00291C53">
                            <w:pPr>
                              <w:jc w:val="center"/>
                              <w:rPr>
                                <w:b/>
                                <w:color w:val="FFFFFF" w:themeColor="background1"/>
                                <w:sz w:val="44"/>
                              </w:rPr>
                            </w:pPr>
                            <w:r w:rsidRPr="00975EBE">
                              <w:rPr>
                                <w:b/>
                                <w:color w:val="FFFFFF" w:themeColor="background1"/>
                                <w:sz w:val="44"/>
                              </w:rPr>
                              <w:t>E</w:t>
                            </w:r>
                          </w:p>
                          <w:p w14:paraId="66744E85" w14:textId="77777777" w:rsidR="00D75A79" w:rsidRPr="00975EBE" w:rsidRDefault="00D75A79" w:rsidP="00291C53">
                            <w:pPr>
                              <w:jc w:val="center"/>
                              <w:rPr>
                                <w:b/>
                                <w:color w:val="FFFFFF" w:themeColor="background1"/>
                                <w:sz w:val="44"/>
                              </w:rPr>
                            </w:pPr>
                          </w:p>
                          <w:p w14:paraId="16F53DDA" w14:textId="77777777" w:rsidR="00D75A79" w:rsidRPr="00975EBE" w:rsidRDefault="00D75A79" w:rsidP="00291C53">
                            <w:pPr>
                              <w:jc w:val="center"/>
                              <w:rPr>
                                <w:b/>
                                <w:color w:val="FFFFFF" w:themeColor="background1"/>
                                <w:sz w:val="44"/>
                              </w:rPr>
                            </w:pPr>
                            <w:r w:rsidRPr="00975EBE">
                              <w:rPr>
                                <w:b/>
                                <w:color w:val="FFFFFF" w:themeColor="background1"/>
                                <w:sz w:val="44"/>
                              </w:rPr>
                              <w:t>P</w:t>
                            </w:r>
                          </w:p>
                          <w:p w14:paraId="59529F7F" w14:textId="77777777" w:rsidR="00D75A79" w:rsidRPr="00975EBE" w:rsidRDefault="00D75A79" w:rsidP="00291C53">
                            <w:pPr>
                              <w:jc w:val="center"/>
                              <w:rPr>
                                <w:b/>
                                <w:color w:val="FFFFFF" w:themeColor="background1"/>
                                <w:sz w:val="44"/>
                              </w:rPr>
                            </w:pPr>
                            <w:r w:rsidRPr="00975EBE">
                              <w:rPr>
                                <w:b/>
                                <w:color w:val="FFFFFF" w:themeColor="background1"/>
                                <w:sz w:val="44"/>
                              </w:rPr>
                              <w:t>R</w:t>
                            </w:r>
                          </w:p>
                          <w:p w14:paraId="51BDBA08" w14:textId="77777777" w:rsidR="00D75A79" w:rsidRPr="00975EBE" w:rsidRDefault="00D75A79" w:rsidP="00291C53">
                            <w:pPr>
                              <w:jc w:val="center"/>
                              <w:rPr>
                                <w:b/>
                                <w:color w:val="FFFFFF" w:themeColor="background1"/>
                                <w:sz w:val="44"/>
                              </w:rPr>
                            </w:pPr>
                            <w:r w:rsidRPr="00975EBE">
                              <w:rPr>
                                <w:b/>
                                <w:color w:val="FFFFFF" w:themeColor="background1"/>
                                <w:sz w:val="44"/>
                              </w:rPr>
                              <w:t>O</w:t>
                            </w:r>
                          </w:p>
                          <w:p w14:paraId="76969826" w14:textId="77777777" w:rsidR="00D75A79" w:rsidRPr="00975EBE" w:rsidRDefault="00D75A79" w:rsidP="00291C53">
                            <w:pPr>
                              <w:jc w:val="center"/>
                              <w:rPr>
                                <w:b/>
                                <w:color w:val="FFFFFF" w:themeColor="background1"/>
                                <w:sz w:val="44"/>
                              </w:rPr>
                            </w:pPr>
                          </w:p>
                          <w:p w14:paraId="0A57E271" w14:textId="77777777" w:rsidR="00D75A79" w:rsidRPr="00975EBE" w:rsidRDefault="00D75A79" w:rsidP="00291C53">
                            <w:pPr>
                              <w:jc w:val="center"/>
                              <w:rPr>
                                <w:b/>
                                <w:color w:val="FFFFFF" w:themeColor="background1"/>
                                <w:sz w:val="44"/>
                              </w:rPr>
                            </w:pPr>
                            <w:r w:rsidRPr="00975EBE">
                              <w:rPr>
                                <w:b/>
                                <w:color w:val="FFFFFF" w:themeColor="background1"/>
                                <w:sz w:val="44"/>
                              </w:rPr>
                              <w:t>B</w:t>
                            </w:r>
                          </w:p>
                          <w:p w14:paraId="6896CD9C" w14:textId="77777777" w:rsidR="00D75A79" w:rsidRPr="00975EBE" w:rsidRDefault="00D75A79" w:rsidP="00291C53">
                            <w:pPr>
                              <w:jc w:val="center"/>
                              <w:rPr>
                                <w:b/>
                                <w:color w:val="FFFFFF" w:themeColor="background1"/>
                                <w:sz w:val="44"/>
                              </w:rPr>
                            </w:pPr>
                            <w:r w:rsidRPr="00975EBE">
                              <w:rPr>
                                <w:b/>
                                <w:color w:val="FFFFFF" w:themeColor="background1"/>
                                <w:sz w:val="44"/>
                              </w:rPr>
                              <w:t>O</w:t>
                            </w:r>
                          </w:p>
                          <w:p w14:paraId="7C5ABB3A" w14:textId="77777777" w:rsidR="00D75A79" w:rsidRPr="00975EBE" w:rsidRDefault="00D75A79" w:rsidP="00291C53">
                            <w:pPr>
                              <w:jc w:val="center"/>
                              <w:rPr>
                                <w:b/>
                                <w:color w:val="FFFFFF" w:themeColor="background1"/>
                                <w:sz w:val="44"/>
                              </w:rPr>
                            </w:pPr>
                            <w:r w:rsidRPr="00975EBE">
                              <w:rPr>
                                <w:b/>
                                <w:color w:val="FFFFFF" w:themeColor="background1"/>
                                <w:sz w:val="44"/>
                              </w:rPr>
                              <w:t>N</w:t>
                            </w:r>
                          </w:p>
                          <w:p w14:paraId="3FCD8CF1" w14:textId="77777777" w:rsidR="00D75A79" w:rsidRPr="00975EBE" w:rsidRDefault="00D75A79" w:rsidP="00291C53">
                            <w:pPr>
                              <w:jc w:val="center"/>
                              <w:rPr>
                                <w:b/>
                                <w:color w:val="FFFFFF" w:themeColor="background1"/>
                                <w:sz w:val="44"/>
                              </w:rPr>
                            </w:pPr>
                            <w:r w:rsidRPr="00975EBE">
                              <w:rPr>
                                <w:b/>
                                <w:color w:val="FFFFFF" w:themeColor="background1"/>
                                <w:sz w:val="44"/>
                              </w:rPr>
                              <w:t>O</w:t>
                            </w:r>
                          </w:p>
                          <w:p w14:paraId="4BA4D08B" w14:textId="77777777" w:rsidR="00D75A79" w:rsidRPr="00975EBE" w:rsidRDefault="00D75A79" w:rsidP="00291C53">
                            <w:pPr>
                              <w:jc w:val="center"/>
                              <w:rPr>
                                <w:b/>
                                <w:color w:val="FFFFFF" w:themeColor="background1"/>
                                <w:sz w:val="44"/>
                              </w:rPr>
                            </w:pPr>
                          </w:p>
                          <w:p w14:paraId="0CE139EB" w14:textId="77777777" w:rsidR="00D75A79" w:rsidRPr="00975EBE" w:rsidRDefault="00D75A79" w:rsidP="00291C53">
                            <w:pPr>
                              <w:jc w:val="center"/>
                              <w:rPr>
                                <w:b/>
                                <w:color w:val="FFFFFF" w:themeColor="background1"/>
                                <w:sz w:val="44"/>
                              </w:rPr>
                            </w:pPr>
                            <w:r w:rsidRPr="00975EBE">
                              <w:rPr>
                                <w:b/>
                                <w:color w:val="FFFFFF" w:themeColor="background1"/>
                                <w:sz w:val="44"/>
                              </w:rPr>
                              <w:t>M</w:t>
                            </w:r>
                          </w:p>
                          <w:p w14:paraId="3777A28C" w14:textId="77777777" w:rsidR="00D75A79" w:rsidRPr="00975EBE" w:rsidRDefault="00D75A79" w:rsidP="00291C53">
                            <w:pPr>
                              <w:jc w:val="center"/>
                              <w:rPr>
                                <w:b/>
                                <w:color w:val="FFFFFF" w:themeColor="background1"/>
                                <w:sz w:val="44"/>
                              </w:rPr>
                            </w:pPr>
                            <w:r w:rsidRPr="00975EBE">
                              <w:rPr>
                                <w:b/>
                                <w:color w:val="FFFFFF" w:themeColor="background1"/>
                                <w:sz w:val="44"/>
                              </w:rPr>
                              <w:t>A</w:t>
                            </w:r>
                          </w:p>
                          <w:p w14:paraId="03A394DA" w14:textId="77777777" w:rsidR="00D75A79" w:rsidRPr="00975EBE" w:rsidRDefault="00D75A79" w:rsidP="00291C53">
                            <w:pPr>
                              <w:jc w:val="center"/>
                              <w:rPr>
                                <w:b/>
                                <w:color w:val="FFFFFF" w:themeColor="background1"/>
                                <w:sz w:val="44"/>
                              </w:rPr>
                            </w:pPr>
                            <w:r w:rsidRPr="00975EBE">
                              <w:rPr>
                                <w:b/>
                                <w:color w:val="FFFFFF" w:themeColor="background1"/>
                                <w:sz w:val="44"/>
                              </w:rPr>
                              <w:t>T</w:t>
                            </w:r>
                          </w:p>
                          <w:p w14:paraId="35922751" w14:textId="77777777" w:rsidR="00D75A79" w:rsidRPr="00975EBE" w:rsidRDefault="00D75A79" w:rsidP="00291C53">
                            <w:pPr>
                              <w:jc w:val="center"/>
                              <w:rPr>
                                <w:b/>
                                <w:color w:val="FFFFFF" w:themeColor="background1"/>
                                <w:sz w:val="44"/>
                              </w:rPr>
                            </w:pPr>
                            <w:r w:rsidRPr="00975EBE">
                              <w:rPr>
                                <w:b/>
                                <w:color w:val="FFFFFF" w:themeColor="background1"/>
                                <w:sz w:val="44"/>
                              </w:rPr>
                              <w:t>T</w:t>
                            </w:r>
                          </w:p>
                          <w:p w14:paraId="42FB2A23" w14:textId="77777777" w:rsidR="00D75A79" w:rsidRPr="00975EBE" w:rsidRDefault="00D75A79" w:rsidP="00291C53">
                            <w:pPr>
                              <w:jc w:val="center"/>
                              <w:rPr>
                                <w:b/>
                                <w:color w:val="FFFFFF" w:themeColor="background1"/>
                                <w:sz w:val="44"/>
                              </w:rPr>
                            </w:pPr>
                            <w:r w:rsidRPr="00975EBE">
                              <w:rPr>
                                <w:b/>
                                <w:color w:val="FFFFFF" w:themeColor="background1"/>
                                <w:sz w:val="44"/>
                              </w:rPr>
                              <w:t>E</w:t>
                            </w:r>
                          </w:p>
                          <w:p w14:paraId="388C6725" w14:textId="77777777" w:rsidR="00D75A79" w:rsidRPr="00975EBE" w:rsidRDefault="00D75A79" w:rsidP="00291C53">
                            <w:pPr>
                              <w:jc w:val="center"/>
                              <w:rPr>
                                <w:b/>
                                <w:color w:val="FFFFFF" w:themeColor="background1"/>
                                <w:sz w:val="44"/>
                              </w:rPr>
                            </w:pPr>
                            <w:r w:rsidRPr="00975EBE">
                              <w:rPr>
                                <w:b/>
                                <w:color w:val="FFFFFF" w:themeColor="background1"/>
                                <w:sz w:val="44"/>
                              </w:rPr>
                              <w:t>R</w:t>
                            </w:r>
                          </w:p>
                          <w:p w14:paraId="7D5DB587" w14:textId="77777777" w:rsidR="00D75A79" w:rsidRPr="00975EBE" w:rsidRDefault="00D75A79" w:rsidP="00291C53">
                            <w:pPr>
                              <w:jc w:val="center"/>
                              <w:rPr>
                                <w:b/>
                                <w:color w:val="FFFFFF" w:themeColor="background1"/>
                                <w:sz w:val="44"/>
                              </w:rPr>
                            </w:pPr>
                            <w:r w:rsidRPr="00975EBE">
                              <w:rPr>
                                <w:b/>
                                <w:color w:val="FFFFFF" w:themeColor="background1"/>
                                <w:sz w:val="4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7" o:spid="_x0000_s1032" type="#_x0000_t202" style="position:absolute;margin-left:351pt;margin-top:9pt;width:173.8pt;height:7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" filled="f" stroked="f">
                <v:textbox>
                  <w:txbxContent>
                    <w:p w14:paraId="44698E89" w14:textId="77777777" w:rsidR="00D75A79" w:rsidRPr="00975EBE" w:rsidRDefault="00D75A79" w:rsidP="00291C53">
                      <w:pPr>
                        <w:jc w:val="center"/>
                        <w:rPr>
                          <w:b/>
                          <w:color w:val="FFFFFF" w:themeColor="background1"/>
                          <w:sz w:val="44"/>
                        </w:rPr>
                      </w:pPr>
                      <w:r w:rsidRPr="00975EBE">
                        <w:rPr>
                          <w:b/>
                          <w:color w:val="FFFFFF" w:themeColor="background1"/>
                          <w:sz w:val="44"/>
                        </w:rPr>
                        <w:t>L</w:t>
                      </w:r>
                    </w:p>
                    <w:p w14:paraId="208E07F2" w14:textId="77777777" w:rsidR="00D75A79" w:rsidRPr="00975EBE" w:rsidRDefault="00D75A79" w:rsidP="00291C53">
                      <w:pPr>
                        <w:jc w:val="center"/>
                        <w:rPr>
                          <w:b/>
                          <w:color w:val="FFFFFF" w:themeColor="background1"/>
                          <w:sz w:val="44"/>
                        </w:rPr>
                      </w:pPr>
                      <w:r w:rsidRPr="00975EBE">
                        <w:rPr>
                          <w:b/>
                          <w:color w:val="FFFFFF" w:themeColor="background1"/>
                          <w:sz w:val="44"/>
                        </w:rPr>
                        <w:t>S</w:t>
                      </w:r>
                    </w:p>
                    <w:p w14:paraId="03D39128" w14:textId="77777777" w:rsidR="00D75A79" w:rsidRPr="00975EBE" w:rsidRDefault="00D75A79" w:rsidP="00291C53">
                      <w:pPr>
                        <w:jc w:val="center"/>
                        <w:rPr>
                          <w:b/>
                          <w:color w:val="FFFFFF" w:themeColor="background1"/>
                          <w:sz w:val="44"/>
                        </w:rPr>
                      </w:pPr>
                      <w:r w:rsidRPr="00975EBE">
                        <w:rPr>
                          <w:b/>
                          <w:color w:val="FFFFFF" w:themeColor="background1"/>
                          <w:sz w:val="44"/>
                        </w:rPr>
                        <w:t>E</w:t>
                      </w:r>
                    </w:p>
                    <w:p w14:paraId="66744E85" w14:textId="77777777" w:rsidR="00D75A79" w:rsidRPr="00975EBE" w:rsidRDefault="00D75A79" w:rsidP="00291C53">
                      <w:pPr>
                        <w:jc w:val="center"/>
                        <w:rPr>
                          <w:b/>
                          <w:color w:val="FFFFFF" w:themeColor="background1"/>
                          <w:sz w:val="44"/>
                        </w:rPr>
                      </w:pPr>
                    </w:p>
                    <w:p w14:paraId="16F53DDA" w14:textId="77777777" w:rsidR="00D75A79" w:rsidRPr="00975EBE" w:rsidRDefault="00D75A79" w:rsidP="00291C53">
                      <w:pPr>
                        <w:jc w:val="center"/>
                        <w:rPr>
                          <w:b/>
                          <w:color w:val="FFFFFF" w:themeColor="background1"/>
                          <w:sz w:val="44"/>
                        </w:rPr>
                      </w:pPr>
                      <w:r w:rsidRPr="00975EBE">
                        <w:rPr>
                          <w:b/>
                          <w:color w:val="FFFFFF" w:themeColor="background1"/>
                          <w:sz w:val="44"/>
                        </w:rPr>
                        <w:t>P</w:t>
                      </w:r>
                    </w:p>
                    <w:p w14:paraId="59529F7F" w14:textId="77777777" w:rsidR="00D75A79" w:rsidRPr="00975EBE" w:rsidRDefault="00D75A79" w:rsidP="00291C53">
                      <w:pPr>
                        <w:jc w:val="center"/>
                        <w:rPr>
                          <w:b/>
                          <w:color w:val="FFFFFF" w:themeColor="background1"/>
                          <w:sz w:val="44"/>
                        </w:rPr>
                      </w:pPr>
                      <w:r w:rsidRPr="00975EBE">
                        <w:rPr>
                          <w:b/>
                          <w:color w:val="FFFFFF" w:themeColor="background1"/>
                          <w:sz w:val="44"/>
                        </w:rPr>
                        <w:t>R</w:t>
                      </w:r>
                    </w:p>
                    <w:p w14:paraId="51BDBA08" w14:textId="77777777" w:rsidR="00D75A79" w:rsidRPr="00975EBE" w:rsidRDefault="00D75A79" w:rsidP="00291C53">
                      <w:pPr>
                        <w:jc w:val="center"/>
                        <w:rPr>
                          <w:b/>
                          <w:color w:val="FFFFFF" w:themeColor="background1"/>
                          <w:sz w:val="44"/>
                        </w:rPr>
                      </w:pPr>
                      <w:r w:rsidRPr="00975EBE">
                        <w:rPr>
                          <w:b/>
                          <w:color w:val="FFFFFF" w:themeColor="background1"/>
                          <w:sz w:val="44"/>
                        </w:rPr>
                        <w:t>O</w:t>
                      </w:r>
                    </w:p>
                    <w:p w14:paraId="76969826" w14:textId="77777777" w:rsidR="00D75A79" w:rsidRPr="00975EBE" w:rsidRDefault="00D75A79" w:rsidP="00291C53">
                      <w:pPr>
                        <w:jc w:val="center"/>
                        <w:rPr>
                          <w:b/>
                          <w:color w:val="FFFFFF" w:themeColor="background1"/>
                          <w:sz w:val="44"/>
                        </w:rPr>
                      </w:pPr>
                    </w:p>
                    <w:p w14:paraId="0A57E271" w14:textId="77777777" w:rsidR="00D75A79" w:rsidRPr="00975EBE" w:rsidRDefault="00D75A79" w:rsidP="00291C53">
                      <w:pPr>
                        <w:jc w:val="center"/>
                        <w:rPr>
                          <w:b/>
                          <w:color w:val="FFFFFF" w:themeColor="background1"/>
                          <w:sz w:val="44"/>
                        </w:rPr>
                      </w:pPr>
                      <w:r w:rsidRPr="00975EBE">
                        <w:rPr>
                          <w:b/>
                          <w:color w:val="FFFFFF" w:themeColor="background1"/>
                          <w:sz w:val="44"/>
                        </w:rPr>
                        <w:t>B</w:t>
                      </w:r>
                    </w:p>
                    <w:p w14:paraId="6896CD9C" w14:textId="77777777" w:rsidR="00D75A79" w:rsidRPr="00975EBE" w:rsidRDefault="00D75A79" w:rsidP="00291C53">
                      <w:pPr>
                        <w:jc w:val="center"/>
                        <w:rPr>
                          <w:b/>
                          <w:color w:val="FFFFFF" w:themeColor="background1"/>
                          <w:sz w:val="44"/>
                        </w:rPr>
                      </w:pPr>
                      <w:r w:rsidRPr="00975EBE">
                        <w:rPr>
                          <w:b/>
                          <w:color w:val="FFFFFF" w:themeColor="background1"/>
                          <w:sz w:val="44"/>
                        </w:rPr>
                        <w:t>O</w:t>
                      </w:r>
                    </w:p>
                    <w:p w14:paraId="7C5ABB3A" w14:textId="77777777" w:rsidR="00D75A79" w:rsidRPr="00975EBE" w:rsidRDefault="00D75A79" w:rsidP="00291C53">
                      <w:pPr>
                        <w:jc w:val="center"/>
                        <w:rPr>
                          <w:b/>
                          <w:color w:val="FFFFFF" w:themeColor="background1"/>
                          <w:sz w:val="44"/>
                        </w:rPr>
                      </w:pPr>
                      <w:r w:rsidRPr="00975EBE">
                        <w:rPr>
                          <w:b/>
                          <w:color w:val="FFFFFF" w:themeColor="background1"/>
                          <w:sz w:val="44"/>
                        </w:rPr>
                        <w:t>N</w:t>
                      </w:r>
                    </w:p>
                    <w:p w14:paraId="3FCD8CF1" w14:textId="77777777" w:rsidR="00D75A79" w:rsidRPr="00975EBE" w:rsidRDefault="00D75A79" w:rsidP="00291C53">
                      <w:pPr>
                        <w:jc w:val="center"/>
                        <w:rPr>
                          <w:b/>
                          <w:color w:val="FFFFFF" w:themeColor="background1"/>
                          <w:sz w:val="44"/>
                        </w:rPr>
                      </w:pPr>
                      <w:r w:rsidRPr="00975EBE">
                        <w:rPr>
                          <w:b/>
                          <w:color w:val="FFFFFF" w:themeColor="background1"/>
                          <w:sz w:val="44"/>
                        </w:rPr>
                        <w:t>O</w:t>
                      </w:r>
                    </w:p>
                    <w:p w14:paraId="4BA4D08B" w14:textId="77777777" w:rsidR="00D75A79" w:rsidRPr="00975EBE" w:rsidRDefault="00D75A79" w:rsidP="00291C53">
                      <w:pPr>
                        <w:jc w:val="center"/>
                        <w:rPr>
                          <w:b/>
                          <w:color w:val="FFFFFF" w:themeColor="background1"/>
                          <w:sz w:val="44"/>
                        </w:rPr>
                      </w:pPr>
                    </w:p>
                    <w:p w14:paraId="0CE139EB" w14:textId="77777777" w:rsidR="00D75A79" w:rsidRPr="00975EBE" w:rsidRDefault="00D75A79" w:rsidP="00291C53">
                      <w:pPr>
                        <w:jc w:val="center"/>
                        <w:rPr>
                          <w:b/>
                          <w:color w:val="FFFFFF" w:themeColor="background1"/>
                          <w:sz w:val="44"/>
                        </w:rPr>
                      </w:pPr>
                      <w:r w:rsidRPr="00975EBE">
                        <w:rPr>
                          <w:b/>
                          <w:color w:val="FFFFFF" w:themeColor="background1"/>
                          <w:sz w:val="44"/>
                        </w:rPr>
                        <w:t>M</w:t>
                      </w:r>
                    </w:p>
                    <w:p w14:paraId="3777A28C" w14:textId="77777777" w:rsidR="00D75A79" w:rsidRPr="00975EBE" w:rsidRDefault="00D75A79" w:rsidP="00291C53">
                      <w:pPr>
                        <w:jc w:val="center"/>
                        <w:rPr>
                          <w:b/>
                          <w:color w:val="FFFFFF" w:themeColor="background1"/>
                          <w:sz w:val="44"/>
                        </w:rPr>
                      </w:pPr>
                      <w:r w:rsidRPr="00975EBE">
                        <w:rPr>
                          <w:b/>
                          <w:color w:val="FFFFFF" w:themeColor="background1"/>
                          <w:sz w:val="44"/>
                        </w:rPr>
                        <w:t>A</w:t>
                      </w:r>
                    </w:p>
                    <w:p w14:paraId="03A394DA" w14:textId="77777777" w:rsidR="00D75A79" w:rsidRPr="00975EBE" w:rsidRDefault="00D75A79" w:rsidP="00291C53">
                      <w:pPr>
                        <w:jc w:val="center"/>
                        <w:rPr>
                          <w:b/>
                          <w:color w:val="FFFFFF" w:themeColor="background1"/>
                          <w:sz w:val="44"/>
                        </w:rPr>
                      </w:pPr>
                      <w:r w:rsidRPr="00975EBE">
                        <w:rPr>
                          <w:b/>
                          <w:color w:val="FFFFFF" w:themeColor="background1"/>
                          <w:sz w:val="44"/>
                        </w:rPr>
                        <w:t>T</w:t>
                      </w:r>
                    </w:p>
                    <w:p w14:paraId="35922751" w14:textId="77777777" w:rsidR="00D75A79" w:rsidRPr="00975EBE" w:rsidRDefault="00D75A79" w:rsidP="00291C53">
                      <w:pPr>
                        <w:jc w:val="center"/>
                        <w:rPr>
                          <w:b/>
                          <w:color w:val="FFFFFF" w:themeColor="background1"/>
                          <w:sz w:val="44"/>
                        </w:rPr>
                      </w:pPr>
                      <w:r w:rsidRPr="00975EBE">
                        <w:rPr>
                          <w:b/>
                          <w:color w:val="FFFFFF" w:themeColor="background1"/>
                          <w:sz w:val="44"/>
                        </w:rPr>
                        <w:t>T</w:t>
                      </w:r>
                    </w:p>
                    <w:p w14:paraId="42FB2A23" w14:textId="77777777" w:rsidR="00D75A79" w:rsidRPr="00975EBE" w:rsidRDefault="00D75A79" w:rsidP="00291C53">
                      <w:pPr>
                        <w:jc w:val="center"/>
                        <w:rPr>
                          <w:b/>
                          <w:color w:val="FFFFFF" w:themeColor="background1"/>
                          <w:sz w:val="44"/>
                        </w:rPr>
                      </w:pPr>
                      <w:r w:rsidRPr="00975EBE">
                        <w:rPr>
                          <w:b/>
                          <w:color w:val="FFFFFF" w:themeColor="background1"/>
                          <w:sz w:val="44"/>
                        </w:rPr>
                        <w:t>E</w:t>
                      </w:r>
                    </w:p>
                    <w:p w14:paraId="388C6725" w14:textId="77777777" w:rsidR="00D75A79" w:rsidRPr="00975EBE" w:rsidRDefault="00D75A79" w:rsidP="00291C53">
                      <w:pPr>
                        <w:jc w:val="center"/>
                        <w:rPr>
                          <w:b/>
                          <w:color w:val="FFFFFF" w:themeColor="background1"/>
                          <w:sz w:val="44"/>
                        </w:rPr>
                      </w:pPr>
                      <w:r w:rsidRPr="00975EBE">
                        <w:rPr>
                          <w:b/>
                          <w:color w:val="FFFFFF" w:themeColor="background1"/>
                          <w:sz w:val="44"/>
                        </w:rPr>
                        <w:t>R</w:t>
                      </w:r>
                    </w:p>
                    <w:p w14:paraId="7D5DB587" w14:textId="77777777" w:rsidR="00D75A79" w:rsidRPr="00975EBE" w:rsidRDefault="00D75A79" w:rsidP="00291C53">
                      <w:pPr>
                        <w:jc w:val="center"/>
                        <w:rPr>
                          <w:b/>
                          <w:color w:val="FFFFFF" w:themeColor="background1"/>
                          <w:sz w:val="44"/>
                        </w:rPr>
                      </w:pPr>
                      <w:r w:rsidRPr="00975EBE">
                        <w:rPr>
                          <w:b/>
                          <w:color w:val="FFFFFF" w:themeColor="background1"/>
                          <w:sz w:val="44"/>
                        </w:rPr>
                        <w:t>S</w:t>
                      </w:r>
                    </w:p>
                  </w:txbxContent>
                </v:textbox>
                <w10:wrap type="square"/>
              </v:shape>
            </w:pict>
          </mc:Fallback>
        </mc:AlternateContent>
      </w:r>
      <w:r w:rsidRPr="00DE055A">
        <w:rPr>
          <w:rStyle w:val="PageNumber"/>
          <w:noProof/>
          <w:lang w:eastAsia="en-GB"/>
        </w:rPr>
        <mc:AlternateContent>
          <mc:Choice Requires="wps">
            <w:drawing>
              <wp:anchor distT="0" distB="0" distL="114300" distR="114300" simplePos="0" relativeHeight="251658239" behindDoc="1" locked="0" layoutInCell="1" allowOverlap="1" wp14:anchorId="738CCFD1" wp14:editId="38B52AE8">
                <wp:simplePos x="0" y="0"/>
                <wp:positionH relativeFrom="column">
                  <wp:posOffset>4457700</wp:posOffset>
                </wp:positionH>
                <wp:positionV relativeFrom="paragraph">
                  <wp:posOffset>114300</wp:posOffset>
                </wp:positionV>
                <wp:extent cx="2171700" cy="9144000"/>
                <wp:effectExtent l="25400" t="25400" r="139700" b="127000"/>
                <wp:wrapThrough wrapText="bothSides">
                  <wp:wrapPolygon edited="0">
                    <wp:start x="-253" y="-60"/>
                    <wp:lineTo x="-253" y="21720"/>
                    <wp:lineTo x="0" y="21840"/>
                    <wp:lineTo x="22232" y="21840"/>
                    <wp:lineTo x="22737" y="21180"/>
                    <wp:lineTo x="22737" y="-60"/>
                    <wp:lineTo x="-253" y="-60"/>
                  </wp:wrapPolygon>
                </wp:wrapThrough>
                <wp:docPr id="6" name="Rektangel 6"/>
                <wp:cNvGraphicFramePr/>
                <a:graphic xmlns:a="http://schemas.openxmlformats.org/drawingml/2006/main">
                  <a:graphicData uri="http://schemas.microsoft.com/office/word/2010/wordprocessingShape">
                    <wps:wsp>
                      <wps:cNvSpPr/>
                      <wps:spPr>
                        <a:xfrm>
                          <a:off x="0" y="0"/>
                          <a:ext cx="2171700" cy="9144000"/>
                        </a:xfrm>
                        <a:prstGeom prst="rect">
                          <a:avLst/>
                        </a:prstGeom>
                        <a:gradFill flip="none" rotWithShape="1">
                          <a:gsLst>
                            <a:gs pos="0">
                              <a:schemeClr val="accent1">
                                <a:tint val="100000"/>
                                <a:shade val="100000"/>
                                <a:satMod val="130000"/>
                              </a:schemeClr>
                            </a:gs>
                            <a:gs pos="55000">
                              <a:schemeClr val="accent1">
                                <a:tint val="50000"/>
                                <a:shade val="100000"/>
                                <a:satMod val="350000"/>
                              </a:schemeClr>
                            </a:gs>
                          </a:gsLst>
                          <a:path path="circle">
                            <a:fillToRect l="100000" t="100000"/>
                          </a:path>
                          <a:tileRect r="-100000" b="-100000"/>
                        </a:gradFill>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ktangel 6" o:spid="_x0000_s1026" style="position:absolute;margin-left:351pt;margin-top:9pt;width:171pt;height:10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" fillcolor="#4f81bd [3204]" strokecolor="#4579b8 [3044]">
                <v:fill color2="#a7bfde [1620]" rotate="t" focusposition="1,1" focussize="" colors="0 #3f80cd;36045f #9bc1ff" focus="100%" type="gradientRadial"/>
                <v:shadow on="t" opacity="26214f" mv:blur="50800f" origin="-.5,-.5" offset="26941emu,26941emu"/>
                <w10:wrap type="through"/>
              </v:rect>
            </w:pict>
          </mc:Fallback>
        </mc:AlternateContent>
      </w:r>
      <w:r>
        <w:rPr>
          <w:rFonts w:ascii="Calibri" w:hAnsi="Calibri" w:cs="Times New Roman"/>
          <w:noProof/>
          <w:lang w:eastAsia="en-GB"/>
        </w:rPr>
        <mc:AlternateContent>
          <mc:Choice Requires="wps">
            <w:drawing>
              <wp:anchor distT="0" distB="0" distL="114300" distR="114300" simplePos="0" relativeHeight="251666432" behindDoc="0" locked="0" layoutInCell="1" allowOverlap="1" wp14:anchorId="04EFF7FA" wp14:editId="3B495B7D">
                <wp:simplePos x="0" y="0"/>
                <wp:positionH relativeFrom="column">
                  <wp:posOffset>0</wp:posOffset>
                </wp:positionH>
                <wp:positionV relativeFrom="paragraph">
                  <wp:posOffset>114300</wp:posOffset>
                </wp:positionV>
                <wp:extent cx="4000500" cy="9029700"/>
                <wp:effectExtent l="0" t="0" r="0" b="12700"/>
                <wp:wrapSquare wrapText="bothSides"/>
                <wp:docPr id="2" name="Tekstboks 2"/>
                <wp:cNvGraphicFramePr/>
                <a:graphic xmlns:a="http://schemas.openxmlformats.org/drawingml/2006/main">
                  <a:graphicData uri="http://schemas.microsoft.com/office/word/2010/wordprocessingShape">
                    <wps:wsp>
                      <wps:cNvSpPr txBox="1"/>
                      <wps:spPr>
                        <a:xfrm>
                          <a:off x="0" y="0"/>
                          <a:ext cx="4000500" cy="9029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1B167" w14:textId="77777777" w:rsidR="00D75A79" w:rsidRPr="005A77DB" w:rsidRDefault="00D75A79" w:rsidP="005A77DB">
                            <w:pPr>
                              <w:pStyle w:val="ListParagraph"/>
                              <w:spacing w:after="180"/>
                              <w:ind w:left="0"/>
                              <w:jc w:val="both"/>
                              <w:rPr>
                                <w:rStyle w:val="Heading1Char"/>
                                <w:color w:val="4F81BD" w:themeColor="accent1"/>
                                <w:spacing w:val="20"/>
                                <w:kern w:val="0"/>
                                <w:szCs w:val="28"/>
                                <w:lang w:val="en-GB"/>
                              </w:rPr>
                            </w:pPr>
                            <w:bookmarkStart w:id="0" w:name="_Toc416867079"/>
                            <w:r w:rsidRPr="005A77DB">
                              <w:rPr>
                                <w:rStyle w:val="Heading1Char"/>
                                <w:color w:val="4F81BD" w:themeColor="accent1"/>
                                <w:spacing w:val="20"/>
                                <w:kern w:val="0"/>
                                <w:szCs w:val="28"/>
                                <w:lang w:val="en-GB"/>
                              </w:rPr>
                              <w:t>AUTHORS AND STRUCTURE OF THIS SUBMISSION:</w:t>
                            </w:r>
                            <w:bookmarkEnd w:id="0"/>
                            <w:r w:rsidRPr="005A77DB">
                              <w:rPr>
                                <w:rStyle w:val="Heading1Char"/>
                                <w:color w:val="4F81BD" w:themeColor="accent1"/>
                                <w:spacing w:val="20"/>
                                <w:kern w:val="0"/>
                                <w:szCs w:val="28"/>
                                <w:lang w:val="en-GB"/>
                              </w:rPr>
                              <w:t xml:space="preserve"> </w:t>
                            </w:r>
                          </w:p>
                          <w:p w14:paraId="72DF9727" w14:textId="77777777" w:rsidR="00D75A79" w:rsidRDefault="00D75A79" w:rsidP="005A77DB">
                            <w:pPr>
                              <w:pStyle w:val="ListParagraph"/>
                              <w:ind w:left="0"/>
                              <w:jc w:val="both"/>
                              <w:rPr>
                                <w:rFonts w:ascii="Calibri" w:hAnsi="Calibri" w:cs="Times New Roman"/>
                              </w:rPr>
                            </w:pPr>
                          </w:p>
                          <w:p w14:paraId="6678C26E"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06B6B21A"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This submission has been prepared by the London School of Economics Pro Bono Matters (LSE Pro Bono Matters) a postgraduate pro bono group based at the LSE Law Department, together with the LSE Centre on Women, Peace and Security. </w:t>
                            </w:r>
                          </w:p>
                          <w:p w14:paraId="3E63FDA4"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29DB3789"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Project Supervisor - Emeritus Professor Christine Chinkin, Director of the LSE Centre on Women, Peace and Security </w:t>
                            </w:r>
                          </w:p>
                          <w:p w14:paraId="59EE3D10"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Lead author - Natasha Lewis, LLM candidate 2014/15, LSE</w:t>
                            </w:r>
                          </w:p>
                          <w:p w14:paraId="1D064B7B"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23A974CB" w14:textId="173A9408"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Pr>
                                <w:rFonts w:ascii="Calibri" w:eastAsiaTheme="minorHAnsi" w:hAnsi="Calibri" w:cs="Times New Roman"/>
                                <w:color w:val="4F81BD" w:themeColor="accent1"/>
                              </w:rPr>
                              <w:t xml:space="preserve">Section 1 authors </w:t>
                            </w:r>
                            <w:r w:rsidRPr="00291C53">
                              <w:rPr>
                                <w:rFonts w:ascii="Calibri" w:eastAsiaTheme="minorHAnsi" w:hAnsi="Calibri" w:cs="Times New Roman"/>
                                <w:color w:val="4F81BD" w:themeColor="accent1"/>
                              </w:rPr>
                              <w:t xml:space="preserve">- Natasha Lewis, Roopa Mathews and Yasmin Butlin, LLM candidates 2014/15, LSE </w:t>
                            </w:r>
                          </w:p>
                          <w:p w14:paraId="158A6B6D"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36F24B64"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Section 2 authors - Eliza Bechtold, Tania Marcello, Marina Velickovic, Anita Clifford and Salwa Marsh, LLM candidates 2014/15, LSE; Constanza Fernandez-Danceanu, MSc International Relations Theory candidate 2014/15, LSE</w:t>
                            </w:r>
                          </w:p>
                          <w:p w14:paraId="7A4801D8"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08430549"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Section 3 authors – Aileen Kreyden and Freya Dinshaw, LLM candidates 2014/15, LSE </w:t>
                            </w:r>
                          </w:p>
                          <w:p w14:paraId="0E2E7FB7"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Editors  - Anthony Kennelly and Barbara Kammerman, LLM candidates 2014/15, LSE </w:t>
                            </w:r>
                          </w:p>
                          <w:p w14:paraId="28E639D1"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07CD976A"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2344D275"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For more information on the submission please contact LSE Pro Bono Matters at:</w:t>
                            </w:r>
                          </w:p>
                          <w:p w14:paraId="224A8994" w14:textId="77777777" w:rsidR="00D75A79" w:rsidRPr="00291C53" w:rsidRDefault="005F20A5" w:rsidP="00291C53">
                            <w:pPr>
                              <w:pStyle w:val="ListParagraph"/>
                              <w:spacing w:line="276" w:lineRule="auto"/>
                              <w:ind w:left="0"/>
                              <w:jc w:val="both"/>
                              <w:rPr>
                                <w:rFonts w:ascii="Calibri" w:hAnsi="Calibri" w:cs="Times New Roman"/>
                              </w:rPr>
                            </w:pPr>
                            <w:hyperlink r:id="rId10" w:history="1">
                              <w:r w:rsidR="00D75A79" w:rsidRPr="00291C53">
                                <w:rPr>
                                  <w:rStyle w:val="Hyperlink"/>
                                  <w:rFonts w:ascii="Calibri" w:hAnsi="Calibri" w:cs="Times New Roman"/>
                                </w:rPr>
                                <w:t>Law.probonomatters@lse.ac.uk</w:t>
                              </w:r>
                            </w:hyperlink>
                            <w:r w:rsidR="00D75A79" w:rsidRPr="00291C53">
                              <w:rPr>
                                <w:rFonts w:ascii="Calibri" w:hAnsi="Calibri" w:cs="Times New Roman"/>
                              </w:rPr>
                              <w:t xml:space="preserve"> </w:t>
                            </w:r>
                          </w:p>
                          <w:p w14:paraId="208CB9A6" w14:textId="77777777" w:rsidR="00D75A79" w:rsidRDefault="00D75A79" w:rsidP="00291C53">
                            <w:pPr>
                              <w:spacing w:line="276" w:lineRule="auto"/>
                              <w:jc w:val="both"/>
                              <w:rPr>
                                <w:rFonts w:ascii="Calibri" w:hAnsi="Calibri" w:cs="Times New Roman"/>
                              </w:rPr>
                            </w:pPr>
                          </w:p>
                          <w:p w14:paraId="75366298"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51BAE8B3"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April 2015</w:t>
                            </w:r>
                          </w:p>
                          <w:p w14:paraId="5933388B" w14:textId="77777777" w:rsidR="00D75A79" w:rsidRDefault="00D75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 o:spid="_x0000_s1033" type="#_x0000_t202" style="position:absolute;margin-left:0;margin-top:9pt;width:315pt;height:7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" filled="f" stroked="f">
                <v:textbox>
                  <w:txbxContent>
                    <w:p w14:paraId="4461B167" w14:textId="77777777" w:rsidR="00D75A79" w:rsidRPr="005A77DB" w:rsidRDefault="00D75A79" w:rsidP="005A77DB">
                      <w:pPr>
                        <w:pStyle w:val="ListParagraph"/>
                        <w:spacing w:after="180"/>
                        <w:ind w:left="0"/>
                        <w:jc w:val="both"/>
                        <w:rPr>
                          <w:rStyle w:val="Heading1Char"/>
                          <w:color w:val="4F81BD" w:themeColor="accent1"/>
                          <w:spacing w:val="20"/>
                          <w:kern w:val="0"/>
                          <w:szCs w:val="28"/>
                          <w:lang w:val="en-GB"/>
                        </w:rPr>
                      </w:pPr>
                      <w:bookmarkStart w:id="1" w:name="_Toc416867079"/>
                      <w:r w:rsidRPr="005A77DB">
                        <w:rPr>
                          <w:rStyle w:val="Heading1Char"/>
                          <w:color w:val="4F81BD" w:themeColor="accent1"/>
                          <w:spacing w:val="20"/>
                          <w:kern w:val="0"/>
                          <w:szCs w:val="28"/>
                          <w:lang w:val="en-GB"/>
                        </w:rPr>
                        <w:t>AUTHORS AND STRUCTURE OF THIS SUBMISSION:</w:t>
                      </w:r>
                      <w:bookmarkEnd w:id="1"/>
                      <w:r w:rsidRPr="005A77DB">
                        <w:rPr>
                          <w:rStyle w:val="Heading1Char"/>
                          <w:color w:val="4F81BD" w:themeColor="accent1"/>
                          <w:spacing w:val="20"/>
                          <w:kern w:val="0"/>
                          <w:szCs w:val="28"/>
                          <w:lang w:val="en-GB"/>
                        </w:rPr>
                        <w:t xml:space="preserve"> </w:t>
                      </w:r>
                    </w:p>
                    <w:p w14:paraId="72DF9727" w14:textId="77777777" w:rsidR="00D75A79" w:rsidRDefault="00D75A79" w:rsidP="005A77DB">
                      <w:pPr>
                        <w:pStyle w:val="ListParagraph"/>
                        <w:ind w:left="0"/>
                        <w:jc w:val="both"/>
                        <w:rPr>
                          <w:rFonts w:ascii="Calibri" w:hAnsi="Calibri" w:cs="Times New Roman"/>
                        </w:rPr>
                      </w:pPr>
                    </w:p>
                    <w:p w14:paraId="6678C26E"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06B6B21A"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This submission has been prepared by the London School of Economics Pro Bono Matters (LSE Pro Bono Matters) a postgraduate pro bono group based at the LSE Law Department, together with the LSE Centre on Women, Peace and Security. </w:t>
                      </w:r>
                    </w:p>
                    <w:p w14:paraId="3E63FDA4"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29DB3789"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Project Supervisor - Emeritus Professor Christine Chinkin, Director of the LSE Centre on Women, Peace and Security </w:t>
                      </w:r>
                    </w:p>
                    <w:p w14:paraId="59EE3D10"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Lead author - Natasha Lewis, LLM candidate 2014/15, LSE</w:t>
                      </w:r>
                    </w:p>
                    <w:p w14:paraId="1D064B7B"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23A974CB" w14:textId="173A9408"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Pr>
                          <w:rFonts w:ascii="Calibri" w:eastAsiaTheme="minorHAnsi" w:hAnsi="Calibri" w:cs="Times New Roman"/>
                          <w:color w:val="4F81BD" w:themeColor="accent1"/>
                        </w:rPr>
                        <w:t xml:space="preserve">Section 1 authors </w:t>
                      </w:r>
                      <w:r w:rsidRPr="00291C53">
                        <w:rPr>
                          <w:rFonts w:ascii="Calibri" w:eastAsiaTheme="minorHAnsi" w:hAnsi="Calibri" w:cs="Times New Roman"/>
                          <w:color w:val="4F81BD" w:themeColor="accent1"/>
                        </w:rPr>
                        <w:t xml:space="preserve">- Natasha Lewis, Roopa Mathews and Yasmin Butlin, LLM candidates 2014/15, LSE </w:t>
                      </w:r>
                    </w:p>
                    <w:p w14:paraId="158A6B6D"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36F24B64"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Section 2 authors - Eliza Bechtold, Tania Marcello, Marina Velickovic, Anita Clifford and Salwa Marsh, LLM candidates 2014/15, LSE; Constanza Fernandez-Danceanu, MSc International Relations Theory candidate 2014/15, LSE</w:t>
                      </w:r>
                    </w:p>
                    <w:p w14:paraId="7A4801D8"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08430549"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Section 3 authors – Aileen Kreyden and Freya Dinshaw, LLM candidates 2014/15, LSE </w:t>
                      </w:r>
                    </w:p>
                    <w:p w14:paraId="0E2E7FB7"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 xml:space="preserve">Editors  - Anthony Kennelly and Barbara Kammerman, LLM candidates 2014/15, LSE </w:t>
                      </w:r>
                    </w:p>
                    <w:p w14:paraId="28E639D1"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07CD976A"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2344D275"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For more information on the submission please contact LSE Pro Bono Matters at:</w:t>
                      </w:r>
                    </w:p>
                    <w:p w14:paraId="224A8994" w14:textId="77777777" w:rsidR="00D75A79" w:rsidRPr="00291C53" w:rsidRDefault="00D75A79" w:rsidP="00291C53">
                      <w:pPr>
                        <w:pStyle w:val="ListParagraph"/>
                        <w:spacing w:line="276" w:lineRule="auto"/>
                        <w:ind w:left="0"/>
                        <w:jc w:val="both"/>
                        <w:rPr>
                          <w:rFonts w:ascii="Calibri" w:hAnsi="Calibri" w:cs="Times New Roman"/>
                        </w:rPr>
                      </w:pPr>
                      <w:hyperlink r:id="rId11" w:history="1">
                        <w:r w:rsidRPr="00291C53">
                          <w:rPr>
                            <w:rStyle w:val="Hyperlink"/>
                            <w:rFonts w:ascii="Calibri" w:hAnsi="Calibri" w:cs="Times New Roman"/>
                          </w:rPr>
                          <w:t>Law.probonomatters@lse.ac.uk</w:t>
                        </w:r>
                      </w:hyperlink>
                      <w:r w:rsidRPr="00291C53">
                        <w:rPr>
                          <w:rFonts w:ascii="Calibri" w:hAnsi="Calibri" w:cs="Times New Roman"/>
                        </w:rPr>
                        <w:t xml:space="preserve"> </w:t>
                      </w:r>
                    </w:p>
                    <w:p w14:paraId="208CB9A6" w14:textId="77777777" w:rsidR="00D75A79" w:rsidRDefault="00D75A79" w:rsidP="00291C53">
                      <w:pPr>
                        <w:spacing w:line="276" w:lineRule="auto"/>
                        <w:jc w:val="both"/>
                        <w:rPr>
                          <w:rFonts w:ascii="Calibri" w:hAnsi="Calibri" w:cs="Times New Roman"/>
                        </w:rPr>
                      </w:pPr>
                    </w:p>
                    <w:p w14:paraId="75366298" w14:textId="77777777" w:rsidR="00D75A79" w:rsidRDefault="00D75A79" w:rsidP="00291C53">
                      <w:pPr>
                        <w:pStyle w:val="ListParagraph"/>
                        <w:spacing w:after="180" w:line="276" w:lineRule="auto"/>
                        <w:ind w:left="0"/>
                        <w:jc w:val="both"/>
                        <w:rPr>
                          <w:rFonts w:ascii="Calibri" w:eastAsiaTheme="minorHAnsi" w:hAnsi="Calibri" w:cs="Times New Roman"/>
                          <w:color w:val="4F81BD" w:themeColor="accent1"/>
                        </w:rPr>
                      </w:pPr>
                    </w:p>
                    <w:p w14:paraId="51BAE8B3" w14:textId="77777777" w:rsidR="00D75A79" w:rsidRPr="00291C53" w:rsidRDefault="00D75A79" w:rsidP="00291C53">
                      <w:pPr>
                        <w:pStyle w:val="ListParagraph"/>
                        <w:spacing w:after="180" w:line="276" w:lineRule="auto"/>
                        <w:ind w:left="0"/>
                        <w:jc w:val="both"/>
                        <w:rPr>
                          <w:rFonts w:ascii="Calibri" w:eastAsiaTheme="minorHAnsi" w:hAnsi="Calibri" w:cs="Times New Roman"/>
                          <w:color w:val="4F81BD" w:themeColor="accent1"/>
                        </w:rPr>
                      </w:pPr>
                      <w:r w:rsidRPr="00291C53">
                        <w:rPr>
                          <w:rFonts w:ascii="Calibri" w:eastAsiaTheme="minorHAnsi" w:hAnsi="Calibri" w:cs="Times New Roman"/>
                          <w:color w:val="4F81BD" w:themeColor="accent1"/>
                        </w:rPr>
                        <w:t>April 2015</w:t>
                      </w:r>
                    </w:p>
                    <w:p w14:paraId="5933388B" w14:textId="77777777" w:rsidR="00D75A79" w:rsidRDefault="00D75A79"/>
                  </w:txbxContent>
                </v:textbox>
                <w10:wrap type="square"/>
              </v:shape>
            </w:pict>
          </mc:Fallback>
        </mc:AlternateContent>
      </w:r>
    </w:p>
    <w:p w14:paraId="7614AD6C" w14:textId="7C6673C2" w:rsidR="001B6F53" w:rsidRDefault="001B6F53" w:rsidP="004E5EBC">
      <w:pPr>
        <w:rPr>
          <w:rFonts w:ascii="Calibri" w:hAnsi="Calibri" w:cs="Times New Roman"/>
        </w:rPr>
      </w:pPr>
      <w:r>
        <w:rPr>
          <w:rFonts w:ascii="Calibri" w:hAnsi="Calibri" w:cs="Times New Roman"/>
        </w:rPr>
        <w:br w:type="page"/>
      </w:r>
    </w:p>
    <w:sdt>
      <w:sdtPr>
        <w:rPr>
          <w:rFonts w:asciiTheme="minorHAnsi" w:eastAsiaTheme="minorEastAsia" w:hAnsiTheme="minorHAnsi" w:cstheme="minorBidi"/>
          <w:b w:val="0"/>
          <w:bCs w:val="0"/>
          <w:color w:val="auto"/>
          <w:sz w:val="24"/>
          <w:szCs w:val="24"/>
          <w:lang w:val="en-GB" w:eastAsia="en-US"/>
        </w:rPr>
        <w:id w:val="903181719"/>
        <w:docPartObj>
          <w:docPartGallery w:val="Table of Contents"/>
          <w:docPartUnique/>
        </w:docPartObj>
      </w:sdtPr>
      <w:sdtEndPr>
        <w:rPr>
          <w:rFonts w:ascii="Calibri" w:hAnsi="Calibri"/>
          <w:noProof/>
          <w:color w:val="002060"/>
        </w:rPr>
      </w:sdtEndPr>
      <w:sdtContent>
        <w:p w14:paraId="0687711D" w14:textId="476CCEE0" w:rsidR="00471761" w:rsidRPr="0082288E" w:rsidRDefault="00471761" w:rsidP="0082288E">
          <w:pPr>
            <w:pStyle w:val="TOCHeading"/>
            <w:jc w:val="center"/>
            <w:rPr>
              <w:caps/>
            </w:rPr>
          </w:pPr>
          <w:r w:rsidRPr="0082288E">
            <w:rPr>
              <w:caps/>
            </w:rPr>
            <w:t>Table of Contents</w:t>
          </w:r>
        </w:p>
        <w:p w14:paraId="66584EDD" w14:textId="6B617C05" w:rsidR="00B107F5" w:rsidRPr="0082288E" w:rsidRDefault="0082288E" w:rsidP="0082288E">
          <w:pPr>
            <w:pStyle w:val="TOC1"/>
            <w:tabs>
              <w:tab w:val="left" w:pos="1670"/>
            </w:tabs>
            <w:rPr>
              <w:rFonts w:asciiTheme="majorHAnsi" w:hAnsiTheme="majorHAnsi"/>
              <w:color w:val="002060"/>
            </w:rPr>
          </w:pPr>
          <w:r w:rsidRPr="0082288E">
            <w:rPr>
              <w:rFonts w:asciiTheme="majorHAnsi" w:hAnsiTheme="majorHAnsi"/>
              <w:color w:val="002060"/>
            </w:rPr>
            <w:tab/>
          </w:r>
        </w:p>
        <w:p w14:paraId="31E20872" w14:textId="77777777" w:rsidR="0082288E" w:rsidRPr="0082288E" w:rsidRDefault="00471761">
          <w:pPr>
            <w:pStyle w:val="TOC1"/>
            <w:tabs>
              <w:tab w:val="right" w:leader="dot" w:pos="10450"/>
            </w:tabs>
            <w:rPr>
              <w:rFonts w:asciiTheme="majorHAnsi" w:hAnsiTheme="majorHAnsi"/>
              <w:noProof/>
              <w:color w:val="0070C0"/>
              <w:sz w:val="22"/>
              <w:szCs w:val="22"/>
              <w:lang w:eastAsia="en-GB"/>
            </w:rPr>
          </w:pPr>
          <w:r w:rsidRPr="0082288E">
            <w:rPr>
              <w:rFonts w:asciiTheme="majorHAnsi" w:hAnsiTheme="majorHAnsi"/>
              <w:color w:val="002060"/>
            </w:rPr>
            <w:fldChar w:fldCharType="begin"/>
          </w:r>
          <w:r w:rsidRPr="0082288E">
            <w:rPr>
              <w:rFonts w:asciiTheme="majorHAnsi" w:hAnsiTheme="majorHAnsi"/>
              <w:color w:val="002060"/>
            </w:rPr>
            <w:instrText xml:space="preserve"> TOC \o "1-3" \h \z \u </w:instrText>
          </w:r>
          <w:r w:rsidRPr="0082288E">
            <w:rPr>
              <w:rFonts w:asciiTheme="majorHAnsi" w:hAnsiTheme="majorHAnsi"/>
              <w:color w:val="002060"/>
            </w:rPr>
            <w:fldChar w:fldCharType="separate"/>
          </w:r>
          <w:hyperlink r:id="rId12" w:anchor="_Toc416867079" w:history="1">
            <w:r w:rsidR="0082288E" w:rsidRPr="0082288E">
              <w:rPr>
                <w:rStyle w:val="Hyperlink"/>
                <w:rFonts w:asciiTheme="majorHAnsi" w:hAnsiTheme="majorHAnsi"/>
                <w:noProof/>
                <w:color w:val="0070C0"/>
                <w:spacing w:val="20"/>
              </w:rPr>
              <w:t>AUTHORS AND STRUCTURE OF THIS SUBMISSION:</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_Toc416867079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1</w:t>
            </w:r>
            <w:r w:rsidR="0082288E" w:rsidRPr="0082288E">
              <w:rPr>
                <w:rFonts w:asciiTheme="majorHAnsi" w:hAnsiTheme="majorHAnsi"/>
                <w:noProof/>
                <w:webHidden/>
                <w:color w:val="0070C0"/>
              </w:rPr>
              <w:fldChar w:fldCharType="end"/>
            </w:r>
          </w:hyperlink>
        </w:p>
        <w:p w14:paraId="476ABE9A" w14:textId="77777777" w:rsidR="0082288E" w:rsidRPr="0082288E" w:rsidRDefault="005F20A5">
          <w:pPr>
            <w:pStyle w:val="TOC1"/>
            <w:tabs>
              <w:tab w:val="right" w:leader="dot" w:pos="10450"/>
            </w:tabs>
            <w:rPr>
              <w:rStyle w:val="Hyperlink"/>
              <w:rFonts w:asciiTheme="majorHAnsi" w:hAnsiTheme="majorHAnsi"/>
              <w:b/>
              <w:noProof/>
              <w:color w:val="0070C0"/>
            </w:rPr>
          </w:pPr>
          <w:hyperlink w:anchor="_Toc416867080" w:history="1">
            <w:r w:rsidR="0082288E" w:rsidRPr="0082288E">
              <w:rPr>
                <w:rStyle w:val="Hyperlink"/>
                <w:rFonts w:asciiTheme="majorHAnsi" w:hAnsiTheme="majorHAnsi"/>
                <w:b/>
                <w:noProof/>
                <w:color w:val="0070C0"/>
                <w:spacing w:val="20"/>
              </w:rPr>
              <w:t>EXECUTIVE SUMMARY AND KEY RECOMMENDATIONS</w:t>
            </w:r>
            <w:r w:rsidR="0082288E" w:rsidRPr="0082288E">
              <w:rPr>
                <w:rFonts w:asciiTheme="majorHAnsi" w:hAnsiTheme="majorHAnsi"/>
                <w:b/>
                <w:noProof/>
                <w:webHidden/>
                <w:color w:val="0070C0"/>
              </w:rPr>
              <w:tab/>
            </w:r>
            <w:r w:rsidR="0082288E" w:rsidRPr="0082288E">
              <w:rPr>
                <w:rFonts w:asciiTheme="majorHAnsi" w:hAnsiTheme="majorHAnsi"/>
                <w:b/>
                <w:noProof/>
                <w:webHidden/>
                <w:color w:val="0070C0"/>
              </w:rPr>
              <w:fldChar w:fldCharType="begin"/>
            </w:r>
            <w:r w:rsidR="0082288E" w:rsidRPr="0082288E">
              <w:rPr>
                <w:rFonts w:asciiTheme="majorHAnsi" w:hAnsiTheme="majorHAnsi"/>
                <w:b/>
                <w:noProof/>
                <w:webHidden/>
                <w:color w:val="0070C0"/>
              </w:rPr>
              <w:instrText xml:space="preserve"> PAGEREF _Toc416867080 \h </w:instrText>
            </w:r>
            <w:r w:rsidR="0082288E" w:rsidRPr="0082288E">
              <w:rPr>
                <w:rFonts w:asciiTheme="majorHAnsi" w:hAnsiTheme="majorHAnsi"/>
                <w:b/>
                <w:noProof/>
                <w:webHidden/>
                <w:color w:val="0070C0"/>
              </w:rPr>
            </w:r>
            <w:r w:rsidR="0082288E" w:rsidRPr="0082288E">
              <w:rPr>
                <w:rFonts w:asciiTheme="majorHAnsi" w:hAnsiTheme="majorHAnsi"/>
                <w:b/>
                <w:noProof/>
                <w:webHidden/>
                <w:color w:val="0070C0"/>
              </w:rPr>
              <w:fldChar w:fldCharType="separate"/>
            </w:r>
            <w:r w:rsidR="00F7609A">
              <w:rPr>
                <w:rFonts w:asciiTheme="majorHAnsi" w:hAnsiTheme="majorHAnsi"/>
                <w:b/>
                <w:noProof/>
                <w:webHidden/>
                <w:color w:val="0070C0"/>
              </w:rPr>
              <w:t>3</w:t>
            </w:r>
            <w:r w:rsidR="0082288E" w:rsidRPr="0082288E">
              <w:rPr>
                <w:rFonts w:asciiTheme="majorHAnsi" w:hAnsiTheme="majorHAnsi"/>
                <w:b/>
                <w:noProof/>
                <w:webHidden/>
                <w:color w:val="0070C0"/>
              </w:rPr>
              <w:fldChar w:fldCharType="end"/>
            </w:r>
          </w:hyperlink>
        </w:p>
        <w:p w14:paraId="05963B41" w14:textId="77777777" w:rsidR="0082288E" w:rsidRPr="0082288E" w:rsidRDefault="0082288E" w:rsidP="0082288E">
          <w:pPr>
            <w:rPr>
              <w:noProof/>
              <w:color w:val="0070C0"/>
            </w:rPr>
          </w:pPr>
        </w:p>
        <w:p w14:paraId="651EF4D5" w14:textId="6B06BB1D" w:rsidR="0082288E" w:rsidRPr="0082288E" w:rsidRDefault="005F20A5">
          <w:pPr>
            <w:pStyle w:val="TOC2"/>
            <w:tabs>
              <w:tab w:val="right" w:leader="dot" w:pos="10450"/>
            </w:tabs>
            <w:rPr>
              <w:rFonts w:asciiTheme="majorHAnsi" w:hAnsiTheme="majorHAnsi"/>
              <w:b/>
              <w:noProof/>
              <w:color w:val="0070C0"/>
            </w:rPr>
          </w:pPr>
          <w:hyperlink w:anchor="_Toc416867081" w:history="1">
            <w:r w:rsidR="0082288E" w:rsidRPr="0082288E">
              <w:rPr>
                <w:rStyle w:val="Hyperlink"/>
                <w:rFonts w:asciiTheme="majorHAnsi" w:hAnsiTheme="majorHAnsi"/>
                <w:b/>
                <w:noProof/>
                <w:color w:val="0070C0"/>
                <w:spacing w:val="20"/>
              </w:rPr>
              <w:t xml:space="preserve">SECTION 1: </w:t>
            </w:r>
            <w:r w:rsidR="0082288E" w:rsidRPr="0082288E">
              <w:rPr>
                <w:rStyle w:val="Hyperlink"/>
                <w:rFonts w:asciiTheme="majorHAnsi" w:hAnsiTheme="majorHAnsi"/>
                <w:b/>
                <w:noProof/>
                <w:color w:val="0070C0"/>
                <w:spacing w:val="14"/>
              </w:rPr>
              <w:t>MAKING THE NORMATIVE CASE TO READ SCR 1325 TOGETHER WITH CEDAW, ITS GENERAL RECOMMENDATION NO. 30 AND THE LEGAL FRAMEWORK ON WOMEN, PEACE AND SECURITY</w:t>
            </w:r>
            <w:r w:rsidR="0082288E" w:rsidRPr="0082288E">
              <w:rPr>
                <w:rFonts w:asciiTheme="majorHAnsi" w:hAnsiTheme="majorHAnsi"/>
                <w:b/>
                <w:noProof/>
                <w:webHidden/>
                <w:color w:val="0070C0"/>
              </w:rPr>
              <w:tab/>
            </w:r>
            <w:r w:rsidR="0082288E" w:rsidRPr="0082288E">
              <w:rPr>
                <w:rFonts w:asciiTheme="majorHAnsi" w:hAnsiTheme="majorHAnsi"/>
                <w:b/>
                <w:noProof/>
                <w:webHidden/>
                <w:color w:val="0070C0"/>
              </w:rPr>
              <w:fldChar w:fldCharType="begin"/>
            </w:r>
            <w:r w:rsidR="0082288E" w:rsidRPr="0082288E">
              <w:rPr>
                <w:rFonts w:asciiTheme="majorHAnsi" w:hAnsiTheme="majorHAnsi"/>
                <w:b/>
                <w:noProof/>
                <w:webHidden/>
                <w:color w:val="0070C0"/>
              </w:rPr>
              <w:instrText xml:space="preserve"> PAGEREF _Toc416867081 \h </w:instrText>
            </w:r>
            <w:r w:rsidR="0082288E" w:rsidRPr="0082288E">
              <w:rPr>
                <w:rFonts w:asciiTheme="majorHAnsi" w:hAnsiTheme="majorHAnsi"/>
                <w:b/>
                <w:noProof/>
                <w:webHidden/>
                <w:color w:val="0070C0"/>
              </w:rPr>
            </w:r>
            <w:r w:rsidR="0082288E" w:rsidRPr="0082288E">
              <w:rPr>
                <w:rFonts w:asciiTheme="majorHAnsi" w:hAnsiTheme="majorHAnsi"/>
                <w:b/>
                <w:noProof/>
                <w:webHidden/>
                <w:color w:val="0070C0"/>
              </w:rPr>
              <w:fldChar w:fldCharType="separate"/>
            </w:r>
            <w:r w:rsidR="00F7609A">
              <w:rPr>
                <w:rFonts w:asciiTheme="majorHAnsi" w:hAnsiTheme="majorHAnsi"/>
                <w:b/>
                <w:noProof/>
                <w:webHidden/>
                <w:color w:val="0070C0"/>
              </w:rPr>
              <w:t>8</w:t>
            </w:r>
            <w:r w:rsidR="0082288E" w:rsidRPr="0082288E">
              <w:rPr>
                <w:rFonts w:asciiTheme="majorHAnsi" w:hAnsiTheme="majorHAnsi"/>
                <w:b/>
                <w:noProof/>
                <w:webHidden/>
                <w:color w:val="0070C0"/>
              </w:rPr>
              <w:fldChar w:fldCharType="end"/>
            </w:r>
          </w:hyperlink>
        </w:p>
        <w:p w14:paraId="6FA375E1"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82" w:history="1">
            <w:r w:rsidR="0082288E" w:rsidRPr="0082288E">
              <w:rPr>
                <w:rStyle w:val="Hyperlink"/>
                <w:rFonts w:asciiTheme="majorHAnsi" w:hAnsiTheme="majorHAnsi"/>
                <w:noProof/>
                <w:color w:val="0070C0"/>
                <w:spacing w:val="14"/>
              </w:rPr>
              <w:t>SCR 1325: REFLECTING INTERNATIONAL LAW, ESPECIALLY CEDAW, OBLIGATIONS</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_Toc416867082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13</w:t>
            </w:r>
            <w:r w:rsidR="0082288E" w:rsidRPr="0082288E">
              <w:rPr>
                <w:rFonts w:asciiTheme="majorHAnsi" w:hAnsiTheme="majorHAnsi"/>
                <w:noProof/>
                <w:webHidden/>
                <w:color w:val="0070C0"/>
              </w:rPr>
              <w:fldChar w:fldCharType="end"/>
            </w:r>
          </w:hyperlink>
        </w:p>
        <w:p w14:paraId="6CEE2528" w14:textId="10956D64"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83" w:history="1">
            <w:r w:rsidR="0082288E" w:rsidRPr="0082288E">
              <w:rPr>
                <w:rStyle w:val="Hyperlink"/>
                <w:rFonts w:asciiTheme="majorHAnsi" w:hAnsiTheme="majorHAnsi"/>
                <w:noProof/>
                <w:color w:val="0070C0"/>
                <w:spacing w:val="14"/>
              </w:rPr>
              <w:t>UNDERSTANDING SCR 1325 IN AN INTEGRATED WAY WITH THE CEDAW GENERAL RECOMMENDATION NO. 30</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_Toc416867083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29</w:t>
            </w:r>
            <w:r w:rsidR="0082288E" w:rsidRPr="0082288E">
              <w:rPr>
                <w:rFonts w:asciiTheme="majorHAnsi" w:hAnsiTheme="majorHAnsi"/>
                <w:noProof/>
                <w:webHidden/>
                <w:color w:val="0070C0"/>
              </w:rPr>
              <w:fldChar w:fldCharType="end"/>
            </w:r>
          </w:hyperlink>
        </w:p>
        <w:p w14:paraId="07146972"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84" w:history="1">
            <w:r w:rsidR="0082288E" w:rsidRPr="0082288E">
              <w:rPr>
                <w:rStyle w:val="Hyperlink"/>
                <w:rFonts w:asciiTheme="majorHAnsi" w:hAnsiTheme="majorHAnsi"/>
                <w:noProof/>
                <w:color w:val="0070C0"/>
                <w:spacing w:val="14"/>
              </w:rPr>
              <w:t>BEYOND CEDAW: SCR 1325 AND ‘SOFT LAW’ IN THE WIDER LEGAL FRAMEWORK</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_Toc416867084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34</w:t>
            </w:r>
            <w:r w:rsidR="0082288E" w:rsidRPr="0082288E">
              <w:rPr>
                <w:rFonts w:asciiTheme="majorHAnsi" w:hAnsiTheme="majorHAnsi"/>
                <w:noProof/>
                <w:webHidden/>
                <w:color w:val="0070C0"/>
              </w:rPr>
              <w:fldChar w:fldCharType="end"/>
            </w:r>
          </w:hyperlink>
        </w:p>
        <w:p w14:paraId="351DDBE8" w14:textId="77777777" w:rsidR="0082288E" w:rsidRPr="0082288E" w:rsidRDefault="005F20A5">
          <w:pPr>
            <w:pStyle w:val="TOC3"/>
            <w:tabs>
              <w:tab w:val="right" w:leader="dot" w:pos="10450"/>
            </w:tabs>
            <w:rPr>
              <w:rStyle w:val="Hyperlink"/>
              <w:rFonts w:asciiTheme="majorHAnsi" w:hAnsiTheme="majorHAnsi"/>
              <w:b/>
              <w:noProof/>
              <w:color w:val="0070C0"/>
            </w:rPr>
          </w:pPr>
          <w:hyperlink w:anchor="_Toc416867085" w:history="1">
            <w:r w:rsidR="0082288E" w:rsidRPr="0082288E">
              <w:rPr>
                <w:rStyle w:val="Hyperlink"/>
                <w:rFonts w:asciiTheme="majorHAnsi" w:hAnsiTheme="majorHAnsi"/>
                <w:b/>
                <w:noProof/>
                <w:color w:val="0070C0"/>
                <w:spacing w:val="14"/>
              </w:rPr>
              <w:t>SECTION 1 CONCLUSIONS AND RECOMMENDATION</w:t>
            </w:r>
            <w:r w:rsidR="0082288E" w:rsidRPr="0082288E">
              <w:rPr>
                <w:rFonts w:asciiTheme="majorHAnsi" w:hAnsiTheme="majorHAnsi"/>
                <w:b/>
                <w:noProof/>
                <w:webHidden/>
                <w:color w:val="0070C0"/>
              </w:rPr>
              <w:tab/>
            </w:r>
            <w:r w:rsidR="0082288E" w:rsidRPr="0082288E">
              <w:rPr>
                <w:rFonts w:asciiTheme="majorHAnsi" w:hAnsiTheme="majorHAnsi"/>
                <w:b/>
                <w:noProof/>
                <w:webHidden/>
                <w:color w:val="0070C0"/>
              </w:rPr>
              <w:fldChar w:fldCharType="begin"/>
            </w:r>
            <w:r w:rsidR="0082288E" w:rsidRPr="0082288E">
              <w:rPr>
                <w:rFonts w:asciiTheme="majorHAnsi" w:hAnsiTheme="majorHAnsi"/>
                <w:b/>
                <w:noProof/>
                <w:webHidden/>
                <w:color w:val="0070C0"/>
              </w:rPr>
              <w:instrText xml:space="preserve"> PAGEREF _Toc416867085 \h </w:instrText>
            </w:r>
            <w:r w:rsidR="0082288E" w:rsidRPr="0082288E">
              <w:rPr>
                <w:rFonts w:asciiTheme="majorHAnsi" w:hAnsiTheme="majorHAnsi"/>
                <w:b/>
                <w:noProof/>
                <w:webHidden/>
                <w:color w:val="0070C0"/>
              </w:rPr>
            </w:r>
            <w:r w:rsidR="0082288E" w:rsidRPr="0082288E">
              <w:rPr>
                <w:rFonts w:asciiTheme="majorHAnsi" w:hAnsiTheme="majorHAnsi"/>
                <w:b/>
                <w:noProof/>
                <w:webHidden/>
                <w:color w:val="0070C0"/>
              </w:rPr>
              <w:fldChar w:fldCharType="separate"/>
            </w:r>
            <w:r w:rsidR="00F7609A">
              <w:rPr>
                <w:rFonts w:asciiTheme="majorHAnsi" w:hAnsiTheme="majorHAnsi"/>
                <w:b/>
                <w:noProof/>
                <w:webHidden/>
                <w:color w:val="0070C0"/>
              </w:rPr>
              <w:t>39</w:t>
            </w:r>
            <w:r w:rsidR="0082288E" w:rsidRPr="0082288E">
              <w:rPr>
                <w:rFonts w:asciiTheme="majorHAnsi" w:hAnsiTheme="majorHAnsi"/>
                <w:b/>
                <w:noProof/>
                <w:webHidden/>
                <w:color w:val="0070C0"/>
              </w:rPr>
              <w:fldChar w:fldCharType="end"/>
            </w:r>
          </w:hyperlink>
        </w:p>
        <w:p w14:paraId="25F365D4" w14:textId="77777777" w:rsidR="0082288E" w:rsidRPr="0082288E" w:rsidRDefault="0082288E" w:rsidP="0082288E">
          <w:pPr>
            <w:rPr>
              <w:noProof/>
              <w:color w:val="0070C0"/>
            </w:rPr>
          </w:pPr>
        </w:p>
        <w:p w14:paraId="558A348A" w14:textId="77777777" w:rsidR="0082288E" w:rsidRPr="0082288E" w:rsidRDefault="005F20A5">
          <w:pPr>
            <w:pStyle w:val="TOC2"/>
            <w:tabs>
              <w:tab w:val="right" w:leader="dot" w:pos="10450"/>
            </w:tabs>
            <w:rPr>
              <w:rFonts w:asciiTheme="majorHAnsi" w:hAnsiTheme="majorHAnsi"/>
              <w:b/>
              <w:noProof/>
              <w:color w:val="0070C0"/>
            </w:rPr>
          </w:pPr>
          <w:hyperlink w:anchor="_Toc416867086" w:history="1">
            <w:r w:rsidR="0082288E" w:rsidRPr="0082288E">
              <w:rPr>
                <w:rStyle w:val="Hyperlink"/>
                <w:rFonts w:asciiTheme="majorHAnsi" w:hAnsiTheme="majorHAnsi"/>
                <w:b/>
                <w:noProof/>
                <w:color w:val="0070C0"/>
                <w:spacing w:val="14"/>
              </w:rPr>
              <w:t>SECTION 2: IMPLEMENTING SCR 1325 VIA NATIONAL ACTION PLANS</w:t>
            </w:r>
            <w:r w:rsidR="0082288E" w:rsidRPr="0082288E">
              <w:rPr>
                <w:rFonts w:asciiTheme="majorHAnsi" w:hAnsiTheme="majorHAnsi"/>
                <w:b/>
                <w:noProof/>
                <w:webHidden/>
                <w:color w:val="0070C0"/>
              </w:rPr>
              <w:tab/>
            </w:r>
            <w:r w:rsidR="0082288E" w:rsidRPr="0082288E">
              <w:rPr>
                <w:rFonts w:asciiTheme="majorHAnsi" w:hAnsiTheme="majorHAnsi"/>
                <w:b/>
                <w:noProof/>
                <w:webHidden/>
                <w:color w:val="0070C0"/>
              </w:rPr>
              <w:fldChar w:fldCharType="begin"/>
            </w:r>
            <w:r w:rsidR="0082288E" w:rsidRPr="0082288E">
              <w:rPr>
                <w:rFonts w:asciiTheme="majorHAnsi" w:hAnsiTheme="majorHAnsi"/>
                <w:b/>
                <w:noProof/>
                <w:webHidden/>
                <w:color w:val="0070C0"/>
              </w:rPr>
              <w:instrText xml:space="preserve"> PAGEREF _Toc416867086 \h </w:instrText>
            </w:r>
            <w:r w:rsidR="0082288E" w:rsidRPr="0082288E">
              <w:rPr>
                <w:rFonts w:asciiTheme="majorHAnsi" w:hAnsiTheme="majorHAnsi"/>
                <w:b/>
                <w:noProof/>
                <w:webHidden/>
                <w:color w:val="0070C0"/>
              </w:rPr>
            </w:r>
            <w:r w:rsidR="0082288E" w:rsidRPr="0082288E">
              <w:rPr>
                <w:rFonts w:asciiTheme="majorHAnsi" w:hAnsiTheme="majorHAnsi"/>
                <w:b/>
                <w:noProof/>
                <w:webHidden/>
                <w:color w:val="0070C0"/>
              </w:rPr>
              <w:fldChar w:fldCharType="separate"/>
            </w:r>
            <w:r w:rsidR="00F7609A">
              <w:rPr>
                <w:rFonts w:asciiTheme="majorHAnsi" w:hAnsiTheme="majorHAnsi"/>
                <w:b/>
                <w:noProof/>
                <w:webHidden/>
                <w:color w:val="0070C0"/>
              </w:rPr>
              <w:t>42</w:t>
            </w:r>
            <w:r w:rsidR="0082288E" w:rsidRPr="0082288E">
              <w:rPr>
                <w:rFonts w:asciiTheme="majorHAnsi" w:hAnsiTheme="majorHAnsi"/>
                <w:b/>
                <w:noProof/>
                <w:webHidden/>
                <w:color w:val="0070C0"/>
              </w:rPr>
              <w:fldChar w:fldCharType="end"/>
            </w:r>
          </w:hyperlink>
        </w:p>
        <w:p w14:paraId="320E6322"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87" w:history="1">
            <w:r w:rsidR="0082288E" w:rsidRPr="0082288E">
              <w:rPr>
                <w:rStyle w:val="Hyperlink"/>
                <w:rFonts w:asciiTheme="majorHAnsi" w:hAnsiTheme="majorHAnsi"/>
                <w:noProof/>
                <w:color w:val="0070C0"/>
                <w:spacing w:val="14"/>
              </w:rPr>
              <w:t>AFRICA</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_Toc416867087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45</w:t>
            </w:r>
            <w:r w:rsidR="0082288E" w:rsidRPr="0082288E">
              <w:rPr>
                <w:rFonts w:asciiTheme="majorHAnsi" w:hAnsiTheme="majorHAnsi"/>
                <w:noProof/>
                <w:webHidden/>
                <w:color w:val="0070C0"/>
              </w:rPr>
              <w:fldChar w:fldCharType="end"/>
            </w:r>
          </w:hyperlink>
        </w:p>
        <w:p w14:paraId="6CFDD063"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88" w:history="1">
            <w:r w:rsidR="0082288E" w:rsidRPr="0082288E">
              <w:rPr>
                <w:rStyle w:val="Hyperlink"/>
                <w:rFonts w:asciiTheme="majorHAnsi" w:hAnsiTheme="majorHAnsi"/>
                <w:noProof/>
                <w:color w:val="0070C0"/>
                <w:spacing w:val="14"/>
              </w:rPr>
              <w:t>THE DEMOCRATIC REPUBLIC OF THE CONGO (DRC) – A NEED TO ADDRESS CONFLICT-RELATED SEXUAL AND GENDER-BASED VIOLENCE</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_Toc416867088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45</w:t>
            </w:r>
            <w:r w:rsidR="0082288E" w:rsidRPr="0082288E">
              <w:rPr>
                <w:rFonts w:asciiTheme="majorHAnsi" w:hAnsiTheme="majorHAnsi"/>
                <w:noProof/>
                <w:webHidden/>
                <w:color w:val="0070C0"/>
              </w:rPr>
              <w:fldChar w:fldCharType="end"/>
            </w:r>
          </w:hyperlink>
        </w:p>
        <w:p w14:paraId="60305947"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89" w:history="1">
            <w:r w:rsidR="0082288E" w:rsidRPr="0082288E">
              <w:rPr>
                <w:rStyle w:val="Hyperlink"/>
                <w:rFonts w:asciiTheme="majorHAnsi" w:hAnsiTheme="majorHAnsi"/>
                <w:noProof/>
                <w:color w:val="0070C0"/>
                <w:spacing w:val="14"/>
              </w:rPr>
              <w:t>ASIA</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_Toc416867089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52</w:t>
            </w:r>
            <w:r w:rsidR="0082288E" w:rsidRPr="0082288E">
              <w:rPr>
                <w:rFonts w:asciiTheme="majorHAnsi" w:hAnsiTheme="majorHAnsi"/>
                <w:noProof/>
                <w:webHidden/>
                <w:color w:val="0070C0"/>
              </w:rPr>
              <w:fldChar w:fldCharType="end"/>
            </w:r>
          </w:hyperlink>
        </w:p>
        <w:p w14:paraId="39DDE79D"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0" w:history="1">
            <w:r w:rsidR="0082288E" w:rsidRPr="0082288E">
              <w:rPr>
                <w:rStyle w:val="Hyperlink"/>
                <w:rFonts w:asciiTheme="majorHAnsi" w:hAnsiTheme="majorHAnsi"/>
                <w:noProof/>
                <w:color w:val="0070C0"/>
                <w:spacing w:val="14"/>
              </w:rPr>
              <w:t>NEPAL– WOMEN’S PARTICIPATION AND CIVIL SOCIETY LEADERSHIP IN A POST-CONFLICT NAP</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_Toc416867090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52</w:t>
            </w:r>
            <w:r w:rsidR="0082288E" w:rsidRPr="0082288E">
              <w:rPr>
                <w:rFonts w:asciiTheme="majorHAnsi" w:hAnsiTheme="majorHAnsi"/>
                <w:noProof/>
                <w:webHidden/>
                <w:color w:val="0070C0"/>
              </w:rPr>
              <w:fldChar w:fldCharType="end"/>
            </w:r>
          </w:hyperlink>
        </w:p>
        <w:p w14:paraId="110B3E51"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1" w:history="1">
            <w:r w:rsidR="0082288E" w:rsidRPr="0082288E">
              <w:rPr>
                <w:rStyle w:val="Hyperlink"/>
                <w:rFonts w:asciiTheme="majorHAnsi" w:hAnsiTheme="majorHAnsi"/>
                <w:noProof/>
                <w:color w:val="0070C0"/>
                <w:spacing w:val="14"/>
              </w:rPr>
              <w:t>ASIA</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_Toc416867091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57</w:t>
            </w:r>
            <w:r w:rsidR="0082288E" w:rsidRPr="0082288E">
              <w:rPr>
                <w:rFonts w:asciiTheme="majorHAnsi" w:hAnsiTheme="majorHAnsi"/>
                <w:noProof/>
                <w:webHidden/>
                <w:color w:val="0070C0"/>
              </w:rPr>
              <w:fldChar w:fldCharType="end"/>
            </w:r>
          </w:hyperlink>
        </w:p>
        <w:p w14:paraId="77625974"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2" w:history="1">
            <w:r w:rsidR="0082288E" w:rsidRPr="0082288E">
              <w:rPr>
                <w:rStyle w:val="Hyperlink"/>
                <w:rFonts w:asciiTheme="majorHAnsi" w:hAnsiTheme="majorHAnsi"/>
                <w:noProof/>
                <w:color w:val="0070C0"/>
                <w:spacing w:val="14"/>
              </w:rPr>
              <w:t>MYANMAR – A JOURNEY TOWARDS A NAP THAT DRAWS ON THE LEGAL FRAMEWORK</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_Toc416867092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57</w:t>
            </w:r>
            <w:r w:rsidR="0082288E" w:rsidRPr="0082288E">
              <w:rPr>
                <w:rFonts w:asciiTheme="majorHAnsi" w:hAnsiTheme="majorHAnsi"/>
                <w:noProof/>
                <w:webHidden/>
                <w:color w:val="0070C0"/>
              </w:rPr>
              <w:fldChar w:fldCharType="end"/>
            </w:r>
          </w:hyperlink>
        </w:p>
        <w:p w14:paraId="130EA18B"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3" w:history="1">
            <w:r w:rsidR="0082288E" w:rsidRPr="0082288E">
              <w:rPr>
                <w:rStyle w:val="Hyperlink"/>
                <w:rFonts w:asciiTheme="majorHAnsi" w:hAnsiTheme="majorHAnsi"/>
                <w:noProof/>
                <w:color w:val="0070C0"/>
                <w:spacing w:val="14"/>
              </w:rPr>
              <w:t>EUROPE</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_Toc416867093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61</w:t>
            </w:r>
            <w:r w:rsidR="0082288E" w:rsidRPr="0082288E">
              <w:rPr>
                <w:rFonts w:asciiTheme="majorHAnsi" w:hAnsiTheme="majorHAnsi"/>
                <w:noProof/>
                <w:webHidden/>
                <w:color w:val="0070C0"/>
              </w:rPr>
              <w:fldChar w:fldCharType="end"/>
            </w:r>
          </w:hyperlink>
        </w:p>
        <w:p w14:paraId="33580247"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4" w:history="1">
            <w:r w:rsidR="0082288E" w:rsidRPr="0082288E">
              <w:rPr>
                <w:rStyle w:val="Hyperlink"/>
                <w:rFonts w:asciiTheme="majorHAnsi" w:hAnsiTheme="majorHAnsi"/>
                <w:noProof/>
                <w:color w:val="0070C0"/>
                <w:spacing w:val="14"/>
              </w:rPr>
              <w:t>BOSNIA AND HERZEGOVINA – AN OLD NAP FEATURING FRAGMENTATION, A NEW NAP THAT DRAWS ON THE LEGAL FRAMEWORK</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_Toc416867094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61</w:t>
            </w:r>
            <w:r w:rsidR="0082288E" w:rsidRPr="0082288E">
              <w:rPr>
                <w:rFonts w:asciiTheme="majorHAnsi" w:hAnsiTheme="majorHAnsi"/>
                <w:noProof/>
                <w:webHidden/>
                <w:color w:val="0070C0"/>
              </w:rPr>
              <w:fldChar w:fldCharType="end"/>
            </w:r>
          </w:hyperlink>
        </w:p>
        <w:p w14:paraId="525C1AC9"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5" w:history="1">
            <w:r w:rsidR="0082288E" w:rsidRPr="0082288E">
              <w:rPr>
                <w:rStyle w:val="Hyperlink"/>
                <w:rFonts w:asciiTheme="majorHAnsi" w:hAnsiTheme="majorHAnsi"/>
                <w:noProof/>
                <w:color w:val="0070C0"/>
                <w:spacing w:val="14"/>
              </w:rPr>
              <w:t>LATIN AMERICA</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_Toc416867095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65</w:t>
            </w:r>
            <w:r w:rsidR="0082288E" w:rsidRPr="0082288E">
              <w:rPr>
                <w:rFonts w:asciiTheme="majorHAnsi" w:hAnsiTheme="majorHAnsi"/>
                <w:noProof/>
                <w:webHidden/>
                <w:color w:val="0070C0"/>
              </w:rPr>
              <w:fldChar w:fldCharType="end"/>
            </w:r>
          </w:hyperlink>
        </w:p>
        <w:p w14:paraId="327C6551"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6" w:history="1">
            <w:r w:rsidR="0082288E" w:rsidRPr="0082288E">
              <w:rPr>
                <w:rStyle w:val="Hyperlink"/>
                <w:rFonts w:asciiTheme="majorHAnsi" w:hAnsiTheme="majorHAnsi"/>
                <w:noProof/>
                <w:color w:val="0070C0"/>
                <w:spacing w:val="14"/>
              </w:rPr>
              <w:t>CHILE – A NAP FOR NATIONAL AND INTERNATIONAL COOPERATION</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_Toc416867096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65</w:t>
            </w:r>
            <w:r w:rsidR="0082288E" w:rsidRPr="0082288E">
              <w:rPr>
                <w:rFonts w:asciiTheme="majorHAnsi" w:hAnsiTheme="majorHAnsi"/>
                <w:noProof/>
                <w:webHidden/>
                <w:color w:val="0070C0"/>
              </w:rPr>
              <w:fldChar w:fldCharType="end"/>
            </w:r>
          </w:hyperlink>
        </w:p>
        <w:p w14:paraId="69479529"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7" w:history="1">
            <w:r w:rsidR="0082288E" w:rsidRPr="0082288E">
              <w:rPr>
                <w:rStyle w:val="Hyperlink"/>
                <w:rFonts w:asciiTheme="majorHAnsi" w:hAnsiTheme="majorHAnsi"/>
                <w:noProof/>
                <w:color w:val="0070C0"/>
                <w:spacing w:val="14"/>
              </w:rPr>
              <w:t>THE MIDDLE EAST</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_Toc416867097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70</w:t>
            </w:r>
            <w:r w:rsidR="0082288E" w:rsidRPr="0082288E">
              <w:rPr>
                <w:rFonts w:asciiTheme="majorHAnsi" w:hAnsiTheme="majorHAnsi"/>
                <w:noProof/>
                <w:webHidden/>
                <w:color w:val="0070C0"/>
              </w:rPr>
              <w:fldChar w:fldCharType="end"/>
            </w:r>
          </w:hyperlink>
        </w:p>
        <w:p w14:paraId="7A3243B2"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098" w:history="1">
            <w:r w:rsidR="0082288E" w:rsidRPr="0082288E">
              <w:rPr>
                <w:rStyle w:val="Hyperlink"/>
                <w:rFonts w:asciiTheme="majorHAnsi" w:hAnsiTheme="majorHAnsi"/>
                <w:noProof/>
                <w:color w:val="0070C0"/>
                <w:spacing w:val="14"/>
              </w:rPr>
              <w:t>IRAQ – A NAP AMIDST CURRENT CONFLICT, FOLLOWING WAR AND OCCUPATION</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_Toc416867098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70</w:t>
            </w:r>
            <w:r w:rsidR="0082288E" w:rsidRPr="0082288E">
              <w:rPr>
                <w:rFonts w:asciiTheme="majorHAnsi" w:hAnsiTheme="majorHAnsi"/>
                <w:noProof/>
                <w:webHidden/>
                <w:color w:val="0070C0"/>
              </w:rPr>
              <w:fldChar w:fldCharType="end"/>
            </w:r>
          </w:hyperlink>
        </w:p>
        <w:p w14:paraId="755C02E4" w14:textId="77777777" w:rsidR="0082288E" w:rsidRPr="0082288E" w:rsidRDefault="005F20A5">
          <w:pPr>
            <w:pStyle w:val="TOC3"/>
            <w:tabs>
              <w:tab w:val="right" w:leader="dot" w:pos="10450"/>
            </w:tabs>
            <w:rPr>
              <w:rStyle w:val="Hyperlink"/>
              <w:rFonts w:asciiTheme="majorHAnsi" w:hAnsiTheme="majorHAnsi"/>
              <w:b/>
              <w:noProof/>
              <w:color w:val="0070C0"/>
            </w:rPr>
          </w:pPr>
          <w:hyperlink w:anchor="_Toc416867099" w:history="1">
            <w:r w:rsidR="0082288E" w:rsidRPr="0082288E">
              <w:rPr>
                <w:rStyle w:val="Hyperlink"/>
                <w:rFonts w:asciiTheme="majorHAnsi" w:hAnsiTheme="majorHAnsi"/>
                <w:b/>
                <w:noProof/>
                <w:color w:val="0070C0"/>
                <w:spacing w:val="14"/>
              </w:rPr>
              <w:t>SECTION 2 CONCLUSIONS AND RECOMMENDATIONS</w:t>
            </w:r>
            <w:r w:rsidR="0082288E" w:rsidRPr="0082288E">
              <w:rPr>
                <w:rFonts w:asciiTheme="majorHAnsi" w:hAnsiTheme="majorHAnsi"/>
                <w:b/>
                <w:noProof/>
                <w:webHidden/>
                <w:color w:val="0070C0"/>
              </w:rPr>
              <w:tab/>
            </w:r>
            <w:r w:rsidR="0082288E" w:rsidRPr="0082288E">
              <w:rPr>
                <w:rFonts w:asciiTheme="majorHAnsi" w:hAnsiTheme="majorHAnsi"/>
                <w:b/>
                <w:noProof/>
                <w:webHidden/>
                <w:color w:val="0070C0"/>
              </w:rPr>
              <w:fldChar w:fldCharType="begin"/>
            </w:r>
            <w:r w:rsidR="0082288E" w:rsidRPr="0082288E">
              <w:rPr>
                <w:rFonts w:asciiTheme="majorHAnsi" w:hAnsiTheme="majorHAnsi"/>
                <w:b/>
                <w:noProof/>
                <w:webHidden/>
                <w:color w:val="0070C0"/>
              </w:rPr>
              <w:instrText xml:space="preserve"> PAGEREF _Toc416867099 \h </w:instrText>
            </w:r>
            <w:r w:rsidR="0082288E" w:rsidRPr="0082288E">
              <w:rPr>
                <w:rFonts w:asciiTheme="majorHAnsi" w:hAnsiTheme="majorHAnsi"/>
                <w:b/>
                <w:noProof/>
                <w:webHidden/>
                <w:color w:val="0070C0"/>
              </w:rPr>
            </w:r>
            <w:r w:rsidR="0082288E" w:rsidRPr="0082288E">
              <w:rPr>
                <w:rFonts w:asciiTheme="majorHAnsi" w:hAnsiTheme="majorHAnsi"/>
                <w:b/>
                <w:noProof/>
                <w:webHidden/>
                <w:color w:val="0070C0"/>
              </w:rPr>
              <w:fldChar w:fldCharType="separate"/>
            </w:r>
            <w:r w:rsidR="00F7609A">
              <w:rPr>
                <w:rFonts w:asciiTheme="majorHAnsi" w:hAnsiTheme="majorHAnsi"/>
                <w:b/>
                <w:noProof/>
                <w:webHidden/>
                <w:color w:val="0070C0"/>
              </w:rPr>
              <w:t>75</w:t>
            </w:r>
            <w:r w:rsidR="0082288E" w:rsidRPr="0082288E">
              <w:rPr>
                <w:rFonts w:asciiTheme="majorHAnsi" w:hAnsiTheme="majorHAnsi"/>
                <w:b/>
                <w:noProof/>
                <w:webHidden/>
                <w:color w:val="0070C0"/>
              </w:rPr>
              <w:fldChar w:fldCharType="end"/>
            </w:r>
          </w:hyperlink>
        </w:p>
        <w:p w14:paraId="6F6BD9CB" w14:textId="77777777" w:rsidR="0082288E" w:rsidRPr="0082288E" w:rsidRDefault="0082288E" w:rsidP="0082288E">
          <w:pPr>
            <w:rPr>
              <w:noProof/>
              <w:color w:val="0070C0"/>
            </w:rPr>
          </w:pPr>
        </w:p>
        <w:p w14:paraId="65E7CF00" w14:textId="77777777" w:rsidR="0082288E" w:rsidRPr="0082288E" w:rsidRDefault="005F20A5">
          <w:pPr>
            <w:pStyle w:val="TOC1"/>
            <w:tabs>
              <w:tab w:val="right" w:leader="dot" w:pos="10450"/>
            </w:tabs>
            <w:rPr>
              <w:rFonts w:asciiTheme="majorHAnsi" w:hAnsiTheme="majorHAnsi"/>
              <w:noProof/>
              <w:color w:val="0070C0"/>
              <w:sz w:val="22"/>
              <w:szCs w:val="22"/>
              <w:lang w:eastAsia="en-GB"/>
            </w:rPr>
          </w:pPr>
          <w:hyperlink w:anchor="_Toc416867100" w:history="1">
            <w:r w:rsidR="0082288E" w:rsidRPr="0082288E">
              <w:rPr>
                <w:rStyle w:val="Hyperlink"/>
                <w:rFonts w:asciiTheme="majorHAnsi" w:hAnsiTheme="majorHAnsi"/>
                <w:b/>
                <w:noProof/>
                <w:color w:val="0070C0"/>
                <w:spacing w:val="20"/>
              </w:rPr>
              <w:t>SECTION 3: RE-ENVISIONING REMEDIES – IMPROVING EXISTING UN MONITORING AND ACCOUNTABILITY PROCESSES AND PROVIDING TRANSFORMATIVE REMEDIES</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_Toc416867100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77</w:t>
            </w:r>
            <w:r w:rsidR="0082288E" w:rsidRPr="0082288E">
              <w:rPr>
                <w:rFonts w:asciiTheme="majorHAnsi" w:hAnsiTheme="majorHAnsi"/>
                <w:noProof/>
                <w:webHidden/>
                <w:color w:val="0070C0"/>
              </w:rPr>
              <w:fldChar w:fldCharType="end"/>
            </w:r>
          </w:hyperlink>
        </w:p>
        <w:p w14:paraId="08FD1BAE"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101" w:history="1">
            <w:r w:rsidR="0082288E" w:rsidRPr="0082288E">
              <w:rPr>
                <w:rStyle w:val="Hyperlink"/>
                <w:rFonts w:asciiTheme="majorHAnsi" w:hAnsiTheme="majorHAnsi"/>
                <w:noProof/>
                <w:color w:val="0070C0"/>
                <w:spacing w:val="14"/>
              </w:rPr>
              <w:t>SCR 1325 AND UN MONITORING AND ACCOUNTABILITY PROCESSES</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_Toc416867101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79</w:t>
            </w:r>
            <w:r w:rsidR="0082288E" w:rsidRPr="0082288E">
              <w:rPr>
                <w:rFonts w:asciiTheme="majorHAnsi" w:hAnsiTheme="majorHAnsi"/>
                <w:noProof/>
                <w:webHidden/>
                <w:color w:val="0070C0"/>
              </w:rPr>
              <w:fldChar w:fldCharType="end"/>
            </w:r>
          </w:hyperlink>
        </w:p>
        <w:p w14:paraId="711B8C2B" w14:textId="77777777" w:rsidR="0082288E" w:rsidRPr="0082288E" w:rsidRDefault="005F20A5">
          <w:pPr>
            <w:pStyle w:val="TOC3"/>
            <w:tabs>
              <w:tab w:val="right" w:leader="dot" w:pos="10450"/>
            </w:tabs>
            <w:rPr>
              <w:rFonts w:asciiTheme="majorHAnsi" w:hAnsiTheme="majorHAnsi"/>
              <w:noProof/>
              <w:color w:val="0070C0"/>
              <w:sz w:val="22"/>
              <w:szCs w:val="22"/>
              <w:lang w:eastAsia="en-GB"/>
            </w:rPr>
          </w:pPr>
          <w:hyperlink w:anchor="_Toc416867102" w:history="1">
            <w:r w:rsidR="0082288E" w:rsidRPr="0082288E">
              <w:rPr>
                <w:rStyle w:val="Hyperlink"/>
                <w:rFonts w:asciiTheme="majorHAnsi" w:hAnsiTheme="majorHAnsi"/>
                <w:noProof/>
                <w:color w:val="0070C0"/>
                <w:spacing w:val="14"/>
              </w:rPr>
              <w:t>SCR 1325 AND TRANSFORMATIVE REMEDIES FOR VICTIMS OF RIGHTS VIOLATIONS</w:t>
            </w:r>
            <w:r w:rsidR="0082288E" w:rsidRPr="0082288E">
              <w:rPr>
                <w:rFonts w:asciiTheme="majorHAnsi" w:hAnsiTheme="majorHAnsi"/>
                <w:noProof/>
                <w:webHidden/>
                <w:color w:val="0070C0"/>
              </w:rPr>
              <w:tab/>
            </w:r>
            <w:r w:rsidR="0082288E" w:rsidRPr="0082288E">
              <w:rPr>
                <w:rFonts w:asciiTheme="majorHAnsi" w:hAnsiTheme="majorHAnsi"/>
                <w:noProof/>
                <w:webHidden/>
                <w:color w:val="0070C0"/>
              </w:rPr>
              <w:fldChar w:fldCharType="begin"/>
            </w:r>
            <w:r w:rsidR="0082288E" w:rsidRPr="0082288E">
              <w:rPr>
                <w:rFonts w:asciiTheme="majorHAnsi" w:hAnsiTheme="majorHAnsi"/>
                <w:noProof/>
                <w:webHidden/>
                <w:color w:val="0070C0"/>
              </w:rPr>
              <w:instrText xml:space="preserve"> PAGEREF _Toc416867102 \h </w:instrText>
            </w:r>
            <w:r w:rsidR="0082288E" w:rsidRPr="0082288E">
              <w:rPr>
                <w:rFonts w:asciiTheme="majorHAnsi" w:hAnsiTheme="majorHAnsi"/>
                <w:noProof/>
                <w:webHidden/>
                <w:color w:val="0070C0"/>
              </w:rPr>
            </w:r>
            <w:r w:rsidR="0082288E" w:rsidRPr="0082288E">
              <w:rPr>
                <w:rFonts w:asciiTheme="majorHAnsi" w:hAnsiTheme="majorHAnsi"/>
                <w:noProof/>
                <w:webHidden/>
                <w:color w:val="0070C0"/>
              </w:rPr>
              <w:fldChar w:fldCharType="separate"/>
            </w:r>
            <w:r w:rsidR="00F7609A">
              <w:rPr>
                <w:rFonts w:asciiTheme="majorHAnsi" w:hAnsiTheme="majorHAnsi"/>
                <w:noProof/>
                <w:webHidden/>
                <w:color w:val="0070C0"/>
              </w:rPr>
              <w:t>84</w:t>
            </w:r>
            <w:r w:rsidR="0082288E" w:rsidRPr="0082288E">
              <w:rPr>
                <w:rFonts w:asciiTheme="majorHAnsi" w:hAnsiTheme="majorHAnsi"/>
                <w:noProof/>
                <w:webHidden/>
                <w:color w:val="0070C0"/>
              </w:rPr>
              <w:fldChar w:fldCharType="end"/>
            </w:r>
          </w:hyperlink>
        </w:p>
        <w:p w14:paraId="48DD4309" w14:textId="77777777" w:rsidR="0082288E" w:rsidRPr="0082288E" w:rsidRDefault="005F20A5">
          <w:pPr>
            <w:pStyle w:val="TOC3"/>
            <w:tabs>
              <w:tab w:val="right" w:leader="dot" w:pos="10450"/>
            </w:tabs>
            <w:rPr>
              <w:rFonts w:asciiTheme="majorHAnsi" w:hAnsiTheme="majorHAnsi"/>
              <w:b/>
              <w:noProof/>
              <w:sz w:val="22"/>
              <w:szCs w:val="22"/>
              <w:lang w:eastAsia="en-GB"/>
            </w:rPr>
          </w:pPr>
          <w:hyperlink w:anchor="_Toc416867103" w:history="1">
            <w:r w:rsidR="0082288E" w:rsidRPr="0082288E">
              <w:rPr>
                <w:rStyle w:val="Hyperlink"/>
                <w:rFonts w:asciiTheme="majorHAnsi" w:hAnsiTheme="majorHAnsi"/>
                <w:b/>
                <w:noProof/>
                <w:color w:val="0070C0"/>
                <w:spacing w:val="14"/>
              </w:rPr>
              <w:t>SECTION 3 CONCLUSIONS AND RECOMMENDATIONS</w:t>
            </w:r>
            <w:r w:rsidR="0082288E" w:rsidRPr="0082288E">
              <w:rPr>
                <w:rFonts w:asciiTheme="majorHAnsi" w:hAnsiTheme="majorHAnsi"/>
                <w:b/>
                <w:noProof/>
                <w:webHidden/>
                <w:color w:val="0070C0"/>
              </w:rPr>
              <w:tab/>
            </w:r>
            <w:r w:rsidR="0082288E" w:rsidRPr="0082288E">
              <w:rPr>
                <w:rFonts w:asciiTheme="majorHAnsi" w:hAnsiTheme="majorHAnsi"/>
                <w:b/>
                <w:noProof/>
                <w:webHidden/>
                <w:color w:val="0070C0"/>
              </w:rPr>
              <w:fldChar w:fldCharType="begin"/>
            </w:r>
            <w:r w:rsidR="0082288E" w:rsidRPr="0082288E">
              <w:rPr>
                <w:rFonts w:asciiTheme="majorHAnsi" w:hAnsiTheme="majorHAnsi"/>
                <w:b/>
                <w:noProof/>
                <w:webHidden/>
                <w:color w:val="0070C0"/>
              </w:rPr>
              <w:instrText xml:space="preserve"> PAGEREF _Toc416867103 \h </w:instrText>
            </w:r>
            <w:r w:rsidR="0082288E" w:rsidRPr="0082288E">
              <w:rPr>
                <w:rFonts w:asciiTheme="majorHAnsi" w:hAnsiTheme="majorHAnsi"/>
                <w:b/>
                <w:noProof/>
                <w:webHidden/>
                <w:color w:val="0070C0"/>
              </w:rPr>
            </w:r>
            <w:r w:rsidR="0082288E" w:rsidRPr="0082288E">
              <w:rPr>
                <w:rFonts w:asciiTheme="majorHAnsi" w:hAnsiTheme="majorHAnsi"/>
                <w:b/>
                <w:noProof/>
                <w:webHidden/>
                <w:color w:val="0070C0"/>
              </w:rPr>
              <w:fldChar w:fldCharType="separate"/>
            </w:r>
            <w:r w:rsidR="00F7609A">
              <w:rPr>
                <w:rFonts w:asciiTheme="majorHAnsi" w:hAnsiTheme="majorHAnsi"/>
                <w:b/>
                <w:noProof/>
                <w:webHidden/>
                <w:color w:val="0070C0"/>
              </w:rPr>
              <w:t>87</w:t>
            </w:r>
            <w:r w:rsidR="0082288E" w:rsidRPr="0082288E">
              <w:rPr>
                <w:rFonts w:asciiTheme="majorHAnsi" w:hAnsiTheme="majorHAnsi"/>
                <w:b/>
                <w:noProof/>
                <w:webHidden/>
                <w:color w:val="0070C0"/>
              </w:rPr>
              <w:fldChar w:fldCharType="end"/>
            </w:r>
          </w:hyperlink>
        </w:p>
        <w:p w14:paraId="150B0CA7" w14:textId="5DDFE3C4" w:rsidR="00471761" w:rsidRPr="00B107F5" w:rsidRDefault="00471761">
          <w:pPr>
            <w:rPr>
              <w:rFonts w:ascii="Calibri" w:hAnsi="Calibri"/>
              <w:color w:val="002060"/>
            </w:rPr>
          </w:pPr>
          <w:r w:rsidRPr="0082288E">
            <w:rPr>
              <w:rFonts w:asciiTheme="majorHAnsi" w:hAnsiTheme="majorHAnsi"/>
              <w:b/>
              <w:bCs/>
              <w:noProof/>
              <w:color w:val="002060"/>
            </w:rPr>
            <w:fldChar w:fldCharType="end"/>
          </w:r>
        </w:p>
      </w:sdtContent>
    </w:sdt>
    <w:p w14:paraId="6AE76050" w14:textId="38D5881C" w:rsidR="00B107F5" w:rsidRDefault="00B107F5">
      <w:pPr>
        <w:rPr>
          <w:rFonts w:asciiTheme="majorHAnsi" w:eastAsiaTheme="majorEastAsia" w:hAnsiTheme="majorHAnsi" w:cstheme="majorBidi"/>
          <w:bCs/>
          <w:color w:val="4F81BD" w:themeColor="accent1"/>
          <w:spacing w:val="20"/>
          <w:sz w:val="32"/>
          <w:szCs w:val="28"/>
        </w:rPr>
      </w:pPr>
      <w:r>
        <w:rPr>
          <w:b/>
          <w:color w:val="4F81BD" w:themeColor="accent1"/>
          <w:spacing w:val="20"/>
          <w:szCs w:val="28"/>
        </w:rPr>
        <w:br w:type="page"/>
      </w:r>
    </w:p>
    <w:p w14:paraId="7FB8911A" w14:textId="2B8D3451" w:rsidR="004E5EBC" w:rsidRPr="00BD4193" w:rsidRDefault="004E5EBC" w:rsidP="002837F4">
      <w:pPr>
        <w:pStyle w:val="Heading1"/>
        <w:keepLines/>
        <w:spacing w:before="360" w:after="0"/>
        <w:jc w:val="center"/>
        <w:rPr>
          <w:rFonts w:ascii="Calibri" w:hAnsi="Calibri" w:cs="Times New Roman"/>
          <w:sz w:val="28"/>
          <w:szCs w:val="28"/>
          <w:u w:val="single"/>
        </w:rPr>
      </w:pPr>
      <w:bookmarkStart w:id="1" w:name="_Toc416867080"/>
      <w:r w:rsidRPr="00BD4193">
        <w:rPr>
          <w:color w:val="4F81BD" w:themeColor="accent1"/>
          <w:spacing w:val="20"/>
          <w:kern w:val="0"/>
          <w:szCs w:val="28"/>
          <w:lang w:val="en-GB"/>
        </w:rPr>
        <w:lastRenderedPageBreak/>
        <w:t>EXECUTIVE SUMMARY AND KEY RECOMMENDATIONS</w:t>
      </w:r>
      <w:bookmarkEnd w:id="1"/>
    </w:p>
    <w:p w14:paraId="66A37C78" w14:textId="77777777" w:rsidR="004E5EBC" w:rsidRDefault="004E5EBC" w:rsidP="004E5EBC">
      <w:pPr>
        <w:pStyle w:val="ListParagraph"/>
        <w:ind w:left="0"/>
        <w:jc w:val="center"/>
        <w:rPr>
          <w:rFonts w:ascii="Calibri" w:hAnsi="Calibri" w:cs="Times New Roman"/>
          <w:b/>
          <w:sz w:val="28"/>
          <w:szCs w:val="28"/>
          <w:u w:val="single"/>
        </w:rPr>
      </w:pPr>
    </w:p>
    <w:p w14:paraId="5D9D94F5" w14:textId="69761997" w:rsidR="00B2494C" w:rsidRDefault="004E5EBC" w:rsidP="002837F4">
      <w:pPr>
        <w:pStyle w:val="ListParagraph"/>
        <w:spacing w:line="360" w:lineRule="auto"/>
        <w:ind w:left="0"/>
        <w:jc w:val="both"/>
        <w:rPr>
          <w:rFonts w:ascii="Calibri" w:hAnsi="Calibri" w:cs="Times New Roman"/>
        </w:rPr>
      </w:pPr>
      <w:r>
        <w:rPr>
          <w:rFonts w:ascii="Calibri" w:hAnsi="Calibri" w:cs="Times New Roman"/>
        </w:rPr>
        <w:t xml:space="preserve">This submission makes the normative case </w:t>
      </w:r>
      <w:r w:rsidR="00143162">
        <w:rPr>
          <w:rFonts w:ascii="Calibri" w:hAnsi="Calibri" w:cs="Times New Roman"/>
        </w:rPr>
        <w:t>for understanding</w:t>
      </w:r>
      <w:r w:rsidR="0085002D">
        <w:rPr>
          <w:rFonts w:ascii="Calibri" w:hAnsi="Calibri" w:cs="Times New Roman"/>
        </w:rPr>
        <w:t xml:space="preserve"> </w:t>
      </w:r>
      <w:r>
        <w:rPr>
          <w:rFonts w:ascii="Calibri" w:hAnsi="Calibri" w:cs="Times New Roman"/>
        </w:rPr>
        <w:t xml:space="preserve">Security Council Resolution 1325 (SCR 1325) and related resolutions on women, peace and security (WPS) as </w:t>
      </w:r>
      <w:r w:rsidR="00293648">
        <w:rPr>
          <w:rFonts w:ascii="Calibri" w:hAnsi="Calibri" w:cs="Times New Roman"/>
        </w:rPr>
        <w:t xml:space="preserve">an integrated </w:t>
      </w:r>
      <w:r>
        <w:rPr>
          <w:rFonts w:ascii="Calibri" w:hAnsi="Calibri" w:cs="Times New Roman"/>
        </w:rPr>
        <w:t>part of an established and growing framework of international and regional law that upholds the rights of women and girls</w:t>
      </w:r>
      <w:r w:rsidR="004A7A4C">
        <w:rPr>
          <w:rStyle w:val="FootnoteReference"/>
          <w:rFonts w:ascii="Calibri" w:hAnsi="Calibri" w:cs="Times New Roman"/>
        </w:rPr>
        <w:footnoteReference w:id="1"/>
      </w:r>
      <w:r w:rsidR="00143162">
        <w:rPr>
          <w:rFonts w:ascii="Calibri" w:hAnsi="Calibri" w:cs="Times New Roman"/>
        </w:rPr>
        <w:t xml:space="preserve"> in relation to conflict</w:t>
      </w:r>
      <w:r>
        <w:rPr>
          <w:rFonts w:ascii="Calibri" w:hAnsi="Calibri" w:cs="Times New Roman"/>
        </w:rPr>
        <w:t xml:space="preserve"> (the</w:t>
      </w:r>
      <w:r w:rsidR="00B1672D">
        <w:rPr>
          <w:rFonts w:ascii="Calibri" w:hAnsi="Calibri" w:cs="Times New Roman"/>
        </w:rPr>
        <w:t xml:space="preserve"> legal</w:t>
      </w:r>
      <w:r>
        <w:rPr>
          <w:rFonts w:ascii="Calibri" w:hAnsi="Calibri" w:cs="Times New Roman"/>
        </w:rPr>
        <w:t xml:space="preserve"> framework).</w:t>
      </w:r>
      <w:r>
        <w:rPr>
          <w:rStyle w:val="FootnoteReference"/>
          <w:rFonts w:ascii="Calibri" w:hAnsi="Calibri" w:cs="Times New Roman"/>
        </w:rPr>
        <w:footnoteReference w:id="2"/>
      </w:r>
      <w:r>
        <w:rPr>
          <w:rFonts w:ascii="Calibri" w:hAnsi="Calibri" w:cs="Times New Roman"/>
        </w:rPr>
        <w:t xml:space="preserve"> Th</w:t>
      </w:r>
      <w:r w:rsidR="00143162">
        <w:rPr>
          <w:rFonts w:ascii="Calibri" w:hAnsi="Calibri" w:cs="Times New Roman"/>
        </w:rPr>
        <w:t>is</w:t>
      </w:r>
      <w:r>
        <w:rPr>
          <w:rFonts w:ascii="Calibri" w:hAnsi="Calibri" w:cs="Times New Roman"/>
        </w:rPr>
        <w:t xml:space="preserve"> </w:t>
      </w:r>
      <w:r w:rsidR="001522DF">
        <w:rPr>
          <w:rFonts w:ascii="Calibri" w:hAnsi="Calibri" w:cs="Times New Roman"/>
        </w:rPr>
        <w:t xml:space="preserve">legal </w:t>
      </w:r>
      <w:r>
        <w:rPr>
          <w:rFonts w:ascii="Calibri" w:hAnsi="Calibri" w:cs="Times New Roman"/>
        </w:rPr>
        <w:t xml:space="preserve">framework </w:t>
      </w:r>
      <w:r w:rsidR="0085002D">
        <w:rPr>
          <w:rFonts w:ascii="Calibri" w:hAnsi="Calibri" w:cs="Times New Roman"/>
        </w:rPr>
        <w:t>is grounded in</w:t>
      </w:r>
      <w:r>
        <w:rPr>
          <w:rFonts w:ascii="Calibri" w:hAnsi="Calibri" w:cs="Times New Roman"/>
        </w:rPr>
        <w:t xml:space="preserve"> international and regional human rights law, </w:t>
      </w:r>
      <w:r w:rsidR="0085002D">
        <w:rPr>
          <w:rFonts w:ascii="Calibri" w:hAnsi="Calibri" w:cs="Times New Roman"/>
        </w:rPr>
        <w:t xml:space="preserve">international humanitarian law </w:t>
      </w:r>
      <w:r w:rsidR="002F55AB">
        <w:rPr>
          <w:rFonts w:ascii="Calibri" w:hAnsi="Calibri" w:cs="Times New Roman"/>
        </w:rPr>
        <w:t>(IHL)</w:t>
      </w:r>
      <w:r>
        <w:rPr>
          <w:rFonts w:ascii="Calibri" w:hAnsi="Calibri" w:cs="Times New Roman"/>
        </w:rPr>
        <w:t xml:space="preserve"> international criminal law and international refugee law.</w:t>
      </w:r>
      <w:r>
        <w:rPr>
          <w:rStyle w:val="FootnoteReference"/>
          <w:rFonts w:ascii="Calibri" w:hAnsi="Calibri" w:cs="Times New Roman"/>
        </w:rPr>
        <w:footnoteReference w:id="3"/>
      </w:r>
      <w:r>
        <w:rPr>
          <w:rFonts w:ascii="Calibri" w:hAnsi="Calibri" w:cs="Times New Roman"/>
        </w:rPr>
        <w:t xml:space="preserve"> </w:t>
      </w:r>
      <w:r w:rsidR="00143162">
        <w:rPr>
          <w:rFonts w:ascii="Calibri" w:hAnsi="Calibri" w:cs="Times New Roman"/>
        </w:rPr>
        <w:t>These sources of law are</w:t>
      </w:r>
      <w:r>
        <w:rPr>
          <w:rFonts w:ascii="Calibri" w:hAnsi="Calibri" w:cs="Times New Roman"/>
        </w:rPr>
        <w:t xml:space="preserve"> reflected in the commitments in the Security Council resolutions on </w:t>
      </w:r>
      <w:r w:rsidR="004A7A4C">
        <w:rPr>
          <w:rFonts w:ascii="Calibri" w:hAnsi="Calibri" w:cs="Times New Roman"/>
        </w:rPr>
        <w:t>women, peace and security (</w:t>
      </w:r>
      <w:r w:rsidR="00AC36D1">
        <w:rPr>
          <w:rFonts w:ascii="Calibri" w:hAnsi="Calibri" w:cs="Times New Roman"/>
        </w:rPr>
        <w:t>WPS</w:t>
      </w:r>
      <w:r w:rsidR="004A7A4C">
        <w:rPr>
          <w:rFonts w:ascii="Calibri" w:hAnsi="Calibri" w:cs="Times New Roman"/>
        </w:rPr>
        <w:t>)</w:t>
      </w:r>
      <w:r w:rsidR="00293648">
        <w:rPr>
          <w:rFonts w:ascii="Calibri" w:hAnsi="Calibri" w:cs="Times New Roman"/>
        </w:rPr>
        <w:t xml:space="preserve"> </w:t>
      </w:r>
      <w:r>
        <w:rPr>
          <w:rFonts w:ascii="Calibri" w:hAnsi="Calibri" w:cs="Times New Roman"/>
        </w:rPr>
        <w:t xml:space="preserve">to uphold </w:t>
      </w:r>
      <w:r w:rsidR="0085002D">
        <w:rPr>
          <w:rFonts w:ascii="Calibri" w:hAnsi="Calibri" w:cs="Times New Roman"/>
        </w:rPr>
        <w:t xml:space="preserve">the rights of women and girls, and men and boys, </w:t>
      </w:r>
      <w:r>
        <w:rPr>
          <w:rFonts w:ascii="Calibri" w:hAnsi="Calibri" w:cs="Times New Roman"/>
        </w:rPr>
        <w:t>in</w:t>
      </w:r>
      <w:r w:rsidR="0085002D">
        <w:rPr>
          <w:rFonts w:ascii="Calibri" w:hAnsi="Calibri" w:cs="Times New Roman"/>
        </w:rPr>
        <w:t xml:space="preserve"> relation to</w:t>
      </w:r>
      <w:r>
        <w:rPr>
          <w:rFonts w:ascii="Calibri" w:hAnsi="Calibri" w:cs="Times New Roman"/>
        </w:rPr>
        <w:t xml:space="preserve"> conflict. The </w:t>
      </w:r>
      <w:r w:rsidR="001522DF">
        <w:rPr>
          <w:rFonts w:ascii="Calibri" w:hAnsi="Calibri" w:cs="Times New Roman"/>
        </w:rPr>
        <w:t xml:space="preserve">legal </w:t>
      </w:r>
      <w:r>
        <w:rPr>
          <w:rFonts w:ascii="Calibri" w:hAnsi="Calibri" w:cs="Times New Roman"/>
        </w:rPr>
        <w:t xml:space="preserve">framework places binding obligations on </w:t>
      </w:r>
      <w:r w:rsidR="000F7431">
        <w:rPr>
          <w:rFonts w:ascii="Calibri" w:hAnsi="Calibri" w:cs="Times New Roman"/>
        </w:rPr>
        <w:t>states, non-state actors, the United Nations (UN)</w:t>
      </w:r>
      <w:r>
        <w:rPr>
          <w:rFonts w:ascii="Calibri" w:hAnsi="Calibri" w:cs="Times New Roman"/>
        </w:rPr>
        <w:t xml:space="preserve"> and other organizations</w:t>
      </w:r>
      <w:r w:rsidR="004A7A4C">
        <w:rPr>
          <w:rFonts w:ascii="Calibri" w:hAnsi="Calibri" w:cs="Times New Roman"/>
        </w:rPr>
        <w:t>, and</w:t>
      </w:r>
      <w:r w:rsidR="0085002D">
        <w:rPr>
          <w:rFonts w:ascii="Calibri" w:hAnsi="Calibri" w:cs="Times New Roman"/>
        </w:rPr>
        <w:t xml:space="preserve"> is </w:t>
      </w:r>
      <w:r>
        <w:rPr>
          <w:rFonts w:ascii="Calibri" w:hAnsi="Calibri" w:cs="Times New Roman"/>
        </w:rPr>
        <w:t xml:space="preserve">sourced from treaties and customary international law. </w:t>
      </w:r>
      <w:r w:rsidR="00AC36D1">
        <w:rPr>
          <w:rFonts w:ascii="Calibri" w:hAnsi="Calibri" w:cs="Times New Roman"/>
        </w:rPr>
        <w:t>S</w:t>
      </w:r>
      <w:r>
        <w:rPr>
          <w:rFonts w:ascii="Calibri" w:hAnsi="Calibri" w:cs="Times New Roman"/>
        </w:rPr>
        <w:t>ituating SCR 1325</w:t>
      </w:r>
      <w:r w:rsidR="0085002D">
        <w:rPr>
          <w:rFonts w:ascii="Calibri" w:hAnsi="Calibri" w:cs="Times New Roman"/>
        </w:rPr>
        <w:t xml:space="preserve"> and </w:t>
      </w:r>
      <w:r w:rsidR="004A7A4C">
        <w:rPr>
          <w:rFonts w:ascii="Calibri" w:hAnsi="Calibri" w:cs="Times New Roman"/>
        </w:rPr>
        <w:t>its following resolutions on WPS</w:t>
      </w:r>
      <w:r>
        <w:rPr>
          <w:rFonts w:ascii="Calibri" w:hAnsi="Calibri" w:cs="Times New Roman"/>
        </w:rPr>
        <w:t xml:space="preserve"> as part of this</w:t>
      </w:r>
      <w:r w:rsidR="001522DF">
        <w:rPr>
          <w:rFonts w:ascii="Calibri" w:hAnsi="Calibri" w:cs="Times New Roman"/>
        </w:rPr>
        <w:t xml:space="preserve"> legal</w:t>
      </w:r>
      <w:r>
        <w:rPr>
          <w:rFonts w:ascii="Calibri" w:hAnsi="Calibri" w:cs="Times New Roman"/>
        </w:rPr>
        <w:t xml:space="preserve"> framework, rather than seeing </w:t>
      </w:r>
      <w:r w:rsidR="0085002D">
        <w:rPr>
          <w:rFonts w:ascii="Calibri" w:hAnsi="Calibri" w:cs="Times New Roman"/>
        </w:rPr>
        <w:t>them as</w:t>
      </w:r>
      <w:r>
        <w:rPr>
          <w:rFonts w:ascii="Calibri" w:hAnsi="Calibri" w:cs="Times New Roman"/>
        </w:rPr>
        <w:t xml:space="preserve"> isolated </w:t>
      </w:r>
      <w:r w:rsidR="0085002D">
        <w:rPr>
          <w:rFonts w:ascii="Calibri" w:hAnsi="Calibri" w:cs="Times New Roman"/>
        </w:rPr>
        <w:t xml:space="preserve">political statements, allows them to be </w:t>
      </w:r>
      <w:r w:rsidR="006467AF">
        <w:rPr>
          <w:rFonts w:ascii="Calibri" w:hAnsi="Calibri" w:cs="Times New Roman"/>
        </w:rPr>
        <w:t xml:space="preserve">understood </w:t>
      </w:r>
      <w:r w:rsidR="00143162">
        <w:rPr>
          <w:rFonts w:ascii="Calibri" w:hAnsi="Calibri" w:cs="Times New Roman"/>
        </w:rPr>
        <w:t>a part of a body of obligations that</w:t>
      </w:r>
      <w:r w:rsidR="0085002D">
        <w:rPr>
          <w:rFonts w:ascii="Calibri" w:hAnsi="Calibri" w:cs="Times New Roman"/>
        </w:rPr>
        <w:t xml:space="preserve"> </w:t>
      </w:r>
      <w:r w:rsidR="00143162">
        <w:rPr>
          <w:rFonts w:ascii="Calibri" w:hAnsi="Calibri" w:cs="Times New Roman"/>
        </w:rPr>
        <w:t>uphold</w:t>
      </w:r>
      <w:r>
        <w:rPr>
          <w:rFonts w:ascii="Calibri" w:hAnsi="Calibri" w:cs="Times New Roman"/>
        </w:rPr>
        <w:t xml:space="preserve"> </w:t>
      </w:r>
      <w:r w:rsidR="0085002D">
        <w:rPr>
          <w:rFonts w:ascii="Calibri" w:hAnsi="Calibri" w:cs="Times New Roman"/>
        </w:rPr>
        <w:t>human rights</w:t>
      </w:r>
      <w:r w:rsidR="006467AF">
        <w:rPr>
          <w:rFonts w:ascii="Calibri" w:hAnsi="Calibri" w:cs="Times New Roman"/>
        </w:rPr>
        <w:t xml:space="preserve"> </w:t>
      </w:r>
      <w:r w:rsidR="00AC36D1">
        <w:rPr>
          <w:rFonts w:ascii="Calibri" w:hAnsi="Calibri" w:cs="Times New Roman"/>
        </w:rPr>
        <w:t xml:space="preserve">at all stages of </w:t>
      </w:r>
      <w:r w:rsidR="004A7A4C">
        <w:rPr>
          <w:rFonts w:ascii="Calibri" w:hAnsi="Calibri" w:cs="Times New Roman"/>
        </w:rPr>
        <w:t>conflict</w:t>
      </w:r>
      <w:r>
        <w:rPr>
          <w:rFonts w:ascii="Calibri" w:hAnsi="Calibri" w:cs="Times New Roman"/>
        </w:rPr>
        <w:t>, from prevention to resolution to transition</w:t>
      </w:r>
      <w:r w:rsidR="00143162">
        <w:rPr>
          <w:rFonts w:ascii="Calibri" w:hAnsi="Calibri" w:cs="Times New Roman"/>
        </w:rPr>
        <w:t>s</w:t>
      </w:r>
      <w:r w:rsidR="00AC36D1">
        <w:rPr>
          <w:rFonts w:ascii="Calibri" w:hAnsi="Calibri" w:cs="Times New Roman"/>
        </w:rPr>
        <w:t xml:space="preserve"> to</w:t>
      </w:r>
      <w:r w:rsidR="004A7A4C">
        <w:rPr>
          <w:rFonts w:ascii="Calibri" w:hAnsi="Calibri" w:cs="Times New Roman"/>
        </w:rPr>
        <w:t>wards</w:t>
      </w:r>
      <w:r>
        <w:rPr>
          <w:rFonts w:ascii="Calibri" w:hAnsi="Calibri" w:cs="Times New Roman"/>
        </w:rPr>
        <w:t xml:space="preserve"> peace. </w:t>
      </w:r>
    </w:p>
    <w:p w14:paraId="1D829200" w14:textId="77777777" w:rsidR="00B2494C" w:rsidRDefault="00B2494C" w:rsidP="00AE75D5">
      <w:pPr>
        <w:pStyle w:val="ListParagraph"/>
        <w:ind w:left="0"/>
        <w:jc w:val="both"/>
        <w:rPr>
          <w:rFonts w:ascii="Calibri" w:hAnsi="Calibri" w:cs="Times New Roman"/>
        </w:rPr>
      </w:pPr>
    </w:p>
    <w:p w14:paraId="66CC76B6" w14:textId="02D11D5B" w:rsidR="004E5EBC" w:rsidRDefault="004E5EBC" w:rsidP="002837F4">
      <w:pPr>
        <w:pStyle w:val="ListParagraph"/>
        <w:spacing w:line="360" w:lineRule="auto"/>
        <w:ind w:left="0"/>
        <w:jc w:val="both"/>
        <w:rPr>
          <w:rFonts w:ascii="Calibri" w:hAnsi="Calibri" w:cs="Times New Roman"/>
        </w:rPr>
      </w:pPr>
      <w:r>
        <w:rPr>
          <w:rFonts w:ascii="Calibri" w:hAnsi="Calibri" w:cs="Times New Roman"/>
        </w:rPr>
        <w:t xml:space="preserve">This submission makes the following </w:t>
      </w:r>
      <w:r w:rsidR="00C113BA">
        <w:rPr>
          <w:rFonts w:ascii="Calibri" w:hAnsi="Calibri" w:cs="Times New Roman"/>
        </w:rPr>
        <w:t xml:space="preserve">five </w:t>
      </w:r>
      <w:r>
        <w:rPr>
          <w:rFonts w:ascii="Calibri" w:hAnsi="Calibri" w:cs="Times New Roman"/>
        </w:rPr>
        <w:t xml:space="preserve">recommendations: </w:t>
      </w:r>
    </w:p>
    <w:p w14:paraId="4CF31D33" w14:textId="77777777" w:rsidR="004E5EBC" w:rsidRDefault="004E5EBC" w:rsidP="004E5EBC">
      <w:pPr>
        <w:pStyle w:val="ListParagraph"/>
        <w:ind w:left="0"/>
        <w:jc w:val="both"/>
        <w:rPr>
          <w:rFonts w:ascii="Calibri" w:hAnsi="Calibri" w:cs="Times New Roman"/>
        </w:rPr>
      </w:pPr>
    </w:p>
    <w:p w14:paraId="19CF4D8F" w14:textId="2CE222B4" w:rsidR="00520942" w:rsidRPr="002837F4" w:rsidRDefault="00204652" w:rsidP="002837F4">
      <w:pPr>
        <w:pStyle w:val="ListParagraph"/>
        <w:spacing w:after="180"/>
        <w:ind w:left="0"/>
        <w:jc w:val="both"/>
        <w:rPr>
          <w:rFonts w:ascii="Calibri" w:eastAsiaTheme="minorHAnsi" w:hAnsi="Calibri" w:cs="Times New Roman"/>
          <w:b/>
          <w:color w:val="1F497D" w:themeColor="text2"/>
          <w:u w:val="single"/>
        </w:rPr>
      </w:pPr>
      <w:r w:rsidRPr="002837F4">
        <w:rPr>
          <w:rFonts w:ascii="Calibri" w:eastAsiaTheme="minorHAnsi" w:hAnsi="Calibri" w:cs="Times New Roman"/>
          <w:b/>
          <w:color w:val="1F497D" w:themeColor="text2"/>
          <w:u w:val="single"/>
        </w:rPr>
        <w:t>Recommendation</w:t>
      </w:r>
      <w:r w:rsidR="004E5EBC" w:rsidRPr="002837F4">
        <w:rPr>
          <w:rFonts w:ascii="Calibri" w:eastAsiaTheme="minorHAnsi" w:hAnsi="Calibri" w:cs="Times New Roman"/>
          <w:b/>
          <w:color w:val="1F497D" w:themeColor="text2"/>
          <w:u w:val="single"/>
        </w:rPr>
        <w:t xml:space="preserve"> 1: </w:t>
      </w:r>
      <w:r w:rsidR="00A91F3E" w:rsidRPr="002837F4">
        <w:rPr>
          <w:rFonts w:ascii="Calibri" w:eastAsiaTheme="minorHAnsi" w:hAnsi="Calibri" w:cs="Times New Roman"/>
          <w:b/>
          <w:color w:val="1F497D" w:themeColor="text2"/>
          <w:u w:val="single"/>
        </w:rPr>
        <w:t xml:space="preserve">Understand </w:t>
      </w:r>
      <w:r w:rsidR="004E5EBC" w:rsidRPr="002837F4">
        <w:rPr>
          <w:rFonts w:ascii="Calibri" w:eastAsiaTheme="minorHAnsi" w:hAnsi="Calibri" w:cs="Times New Roman"/>
          <w:b/>
          <w:color w:val="1F497D" w:themeColor="text2"/>
          <w:u w:val="single"/>
        </w:rPr>
        <w:t xml:space="preserve">the obligations in SCR 1325 </w:t>
      </w:r>
      <w:r w:rsidRPr="002837F4">
        <w:rPr>
          <w:rFonts w:ascii="Calibri" w:eastAsiaTheme="minorHAnsi" w:hAnsi="Calibri" w:cs="Times New Roman"/>
          <w:b/>
          <w:color w:val="1F497D" w:themeColor="text2"/>
          <w:u w:val="single"/>
        </w:rPr>
        <w:t>as an integrated part of the legal framewo</w:t>
      </w:r>
      <w:r w:rsidR="00680EA2">
        <w:rPr>
          <w:rFonts w:ascii="Calibri" w:eastAsiaTheme="minorHAnsi" w:hAnsi="Calibri" w:cs="Times New Roman"/>
          <w:b/>
          <w:color w:val="1F497D" w:themeColor="text2"/>
          <w:u w:val="single"/>
        </w:rPr>
        <w:t>rk on women, peace and security</w:t>
      </w:r>
      <w:r w:rsidR="00DC5DE2" w:rsidRPr="002837F4">
        <w:rPr>
          <w:rFonts w:ascii="Calibri" w:eastAsiaTheme="minorHAnsi" w:hAnsi="Calibri" w:cs="Times New Roman"/>
          <w:b/>
          <w:color w:val="1F497D" w:themeColor="text2"/>
          <w:u w:val="single"/>
        </w:rPr>
        <w:t xml:space="preserve"> (</w:t>
      </w:r>
      <w:r w:rsidR="00327141">
        <w:rPr>
          <w:rFonts w:ascii="Calibri" w:eastAsiaTheme="minorHAnsi" w:hAnsi="Calibri" w:cs="Times New Roman"/>
          <w:b/>
          <w:color w:val="1F497D" w:themeColor="text2"/>
          <w:u w:val="single"/>
        </w:rPr>
        <w:t xml:space="preserve">the </w:t>
      </w:r>
      <w:r w:rsidR="00DC0E2B" w:rsidRPr="002837F4">
        <w:rPr>
          <w:rFonts w:ascii="Calibri" w:eastAsiaTheme="minorHAnsi" w:hAnsi="Calibri" w:cs="Times New Roman"/>
          <w:b/>
          <w:color w:val="1F497D" w:themeColor="text2"/>
          <w:u w:val="single"/>
        </w:rPr>
        <w:t>legal framework)</w:t>
      </w:r>
    </w:p>
    <w:p w14:paraId="40DF297C" w14:textId="77777777" w:rsidR="00520942" w:rsidRPr="00A45CD5" w:rsidRDefault="00520942" w:rsidP="002837F4">
      <w:pPr>
        <w:pStyle w:val="ListParagraph"/>
        <w:spacing w:after="180"/>
        <w:ind w:left="0"/>
        <w:jc w:val="both"/>
        <w:rPr>
          <w:rFonts w:ascii="Calibri" w:hAnsi="Calibri" w:cs="Times New Roman"/>
        </w:rPr>
      </w:pPr>
      <w:r>
        <w:rPr>
          <w:rFonts w:ascii="Calibri" w:hAnsi="Calibri" w:cs="Times New Roman"/>
        </w:rPr>
        <w:tab/>
      </w:r>
    </w:p>
    <w:p w14:paraId="543A64DA" w14:textId="1E2BDBA0" w:rsidR="00B2494C" w:rsidRDefault="00520942" w:rsidP="002837F4">
      <w:pPr>
        <w:spacing w:line="360" w:lineRule="auto"/>
        <w:jc w:val="both"/>
        <w:rPr>
          <w:rFonts w:ascii="Calibri" w:hAnsi="Calibri" w:cs="Times New Roman"/>
        </w:rPr>
      </w:pPr>
      <w:r w:rsidRPr="00520942">
        <w:rPr>
          <w:rFonts w:ascii="Calibri" w:hAnsi="Calibri" w:cs="Times New Roman"/>
        </w:rPr>
        <w:t xml:space="preserve">SCR 1325 and subsequent Security Council resolutions on </w:t>
      </w:r>
      <w:r w:rsidR="00A82B7A">
        <w:rPr>
          <w:rFonts w:ascii="Calibri" w:hAnsi="Calibri" w:cs="Times New Roman"/>
        </w:rPr>
        <w:t>WPS</w:t>
      </w:r>
      <w:r w:rsidRPr="00520942">
        <w:rPr>
          <w:rFonts w:ascii="Calibri" w:hAnsi="Calibri" w:cs="Times New Roman"/>
        </w:rPr>
        <w:t xml:space="preserve"> should be understood in light of the </w:t>
      </w:r>
      <w:r w:rsidR="00A82B7A">
        <w:rPr>
          <w:rFonts w:ascii="Calibri" w:hAnsi="Calibri" w:cs="Times New Roman"/>
        </w:rPr>
        <w:t>binding obligations and commitments</w:t>
      </w:r>
      <w:r w:rsidRPr="00520942">
        <w:rPr>
          <w:rFonts w:ascii="Calibri" w:hAnsi="Calibri" w:cs="Times New Roman"/>
        </w:rPr>
        <w:t xml:space="preserve"> reflected in their contents. This understanding of the Resolutions should integrate both the Security Council’s political commitment</w:t>
      </w:r>
      <w:r w:rsidR="00DC0E2B">
        <w:rPr>
          <w:rFonts w:ascii="Calibri" w:hAnsi="Calibri" w:cs="Times New Roman"/>
        </w:rPr>
        <w:t xml:space="preserve"> to</w:t>
      </w:r>
      <w:r w:rsidRPr="00520942">
        <w:rPr>
          <w:rFonts w:ascii="Calibri" w:hAnsi="Calibri" w:cs="Times New Roman"/>
        </w:rPr>
        <w:t xml:space="preserve"> </w:t>
      </w:r>
      <w:r w:rsidR="004112D1">
        <w:rPr>
          <w:rFonts w:ascii="Calibri" w:hAnsi="Calibri" w:cs="Times New Roman"/>
        </w:rPr>
        <w:t>act</w:t>
      </w:r>
      <w:r w:rsidRPr="00520942">
        <w:rPr>
          <w:rFonts w:ascii="Calibri" w:hAnsi="Calibri" w:cs="Times New Roman"/>
        </w:rPr>
        <w:t xml:space="preserve"> on women’s rights in conflict, and obligations from the legal framework. The key elements of the legal framework that uphold </w:t>
      </w:r>
      <w:r w:rsidR="004112D1">
        <w:rPr>
          <w:rFonts w:ascii="Calibri" w:hAnsi="Calibri" w:cs="Times New Roman"/>
        </w:rPr>
        <w:t>commitments</w:t>
      </w:r>
      <w:r w:rsidRPr="00520942">
        <w:rPr>
          <w:rFonts w:ascii="Calibri" w:hAnsi="Calibri" w:cs="Times New Roman"/>
        </w:rPr>
        <w:t xml:space="preserve"> </w:t>
      </w:r>
      <w:r w:rsidR="00F54A43">
        <w:rPr>
          <w:rFonts w:ascii="Calibri" w:hAnsi="Calibri" w:cs="Times New Roman"/>
        </w:rPr>
        <w:t>held by</w:t>
      </w:r>
      <w:r w:rsidRPr="00520942">
        <w:rPr>
          <w:rFonts w:ascii="Calibri" w:hAnsi="Calibri" w:cs="Times New Roman"/>
        </w:rPr>
        <w:t xml:space="preserve"> all parties involved in conflicts include:</w:t>
      </w:r>
      <w:r w:rsidR="00DC0E2B" w:rsidRPr="00DC0E2B">
        <w:rPr>
          <w:rStyle w:val="FootnoteReference"/>
          <w:rFonts w:ascii="Calibri" w:hAnsi="Calibri" w:cs="Times New Roman"/>
        </w:rPr>
        <w:t xml:space="preserve"> </w:t>
      </w:r>
      <w:r w:rsidR="00DC0E2B">
        <w:rPr>
          <w:rStyle w:val="FootnoteReference"/>
          <w:rFonts w:ascii="Calibri" w:hAnsi="Calibri" w:cs="Times New Roman"/>
        </w:rPr>
        <w:footnoteReference w:id="4"/>
      </w:r>
      <w:r w:rsidR="00DC0E2B" w:rsidRPr="00B2494C">
        <w:rPr>
          <w:rFonts w:ascii="Calibri" w:hAnsi="Calibri" w:cs="Times New Roman"/>
        </w:rPr>
        <w:t xml:space="preserve"> </w:t>
      </w:r>
      <w:r w:rsidRPr="00520942">
        <w:rPr>
          <w:rFonts w:ascii="Calibri" w:hAnsi="Calibri" w:cs="Times New Roman"/>
        </w:rPr>
        <w:t xml:space="preserve"> </w:t>
      </w:r>
    </w:p>
    <w:p w14:paraId="14BE9E88" w14:textId="77777777" w:rsidR="00B2494C" w:rsidRDefault="00B2494C" w:rsidP="00520942">
      <w:pPr>
        <w:jc w:val="both"/>
        <w:rPr>
          <w:rFonts w:ascii="Calibri" w:hAnsi="Calibri" w:cs="Times New Roman"/>
        </w:rPr>
      </w:pPr>
    </w:p>
    <w:p w14:paraId="476EB517" w14:textId="1A8F5328" w:rsidR="00B2494C" w:rsidRDefault="00DC0E2B" w:rsidP="00CF4DA2">
      <w:pPr>
        <w:pStyle w:val="ListParagraph"/>
        <w:numPr>
          <w:ilvl w:val="0"/>
          <w:numId w:val="38"/>
        </w:numPr>
        <w:spacing w:line="360" w:lineRule="auto"/>
        <w:jc w:val="both"/>
        <w:rPr>
          <w:rFonts w:ascii="Calibri" w:hAnsi="Calibri" w:cs="Times New Roman"/>
        </w:rPr>
      </w:pPr>
      <w:r>
        <w:rPr>
          <w:rFonts w:ascii="Calibri" w:hAnsi="Calibri" w:cs="Times New Roman"/>
        </w:rPr>
        <w:t>T</w:t>
      </w:r>
      <w:r w:rsidR="004E5EBC" w:rsidRPr="00B2494C">
        <w:rPr>
          <w:rFonts w:ascii="Calibri" w:hAnsi="Calibri" w:cs="Times New Roman"/>
        </w:rPr>
        <w:t>he Convention on the Elimination of all Forms of Discr</w:t>
      </w:r>
      <w:r w:rsidR="00B2494C">
        <w:rPr>
          <w:rFonts w:ascii="Calibri" w:hAnsi="Calibri" w:cs="Times New Roman"/>
        </w:rPr>
        <w:t>imination against Women (CEDAW);</w:t>
      </w:r>
    </w:p>
    <w:p w14:paraId="37D228F7" w14:textId="06AEF8AA" w:rsidR="00B2494C" w:rsidRDefault="00143162" w:rsidP="00CF4DA2">
      <w:pPr>
        <w:pStyle w:val="ListParagraph"/>
        <w:numPr>
          <w:ilvl w:val="0"/>
          <w:numId w:val="38"/>
        </w:numPr>
        <w:spacing w:line="360" w:lineRule="auto"/>
        <w:jc w:val="both"/>
        <w:rPr>
          <w:rFonts w:ascii="Calibri" w:hAnsi="Calibri" w:cs="Times New Roman"/>
        </w:rPr>
      </w:pPr>
      <w:r w:rsidRPr="00B2494C">
        <w:rPr>
          <w:rFonts w:ascii="Calibri" w:hAnsi="Calibri" w:cs="Times New Roman"/>
        </w:rPr>
        <w:lastRenderedPageBreak/>
        <w:t>Committee on the Elimination of Discrimination against Women (CEDAW Committee) General Recommendation No. 30 on women in conflict prevention, conflict and post-confli</w:t>
      </w:r>
      <w:r w:rsidR="005460C4" w:rsidRPr="00B2494C">
        <w:rPr>
          <w:rFonts w:ascii="Calibri" w:hAnsi="Calibri" w:cs="Times New Roman"/>
        </w:rPr>
        <w:t>ct situations (CEDAW GR No. 30)</w:t>
      </w:r>
      <w:r w:rsidR="004E5EBC" w:rsidRPr="00B2494C">
        <w:rPr>
          <w:rFonts w:ascii="Calibri" w:hAnsi="Calibri" w:cs="Times New Roman"/>
        </w:rPr>
        <w:t xml:space="preserve">; </w:t>
      </w:r>
    </w:p>
    <w:p w14:paraId="37271D3F" w14:textId="13823EC6" w:rsidR="00B2494C" w:rsidRDefault="00DC0E2B" w:rsidP="00CF4DA2">
      <w:pPr>
        <w:pStyle w:val="ListParagraph"/>
        <w:numPr>
          <w:ilvl w:val="0"/>
          <w:numId w:val="38"/>
        </w:numPr>
        <w:spacing w:line="360" w:lineRule="auto"/>
        <w:jc w:val="both"/>
        <w:rPr>
          <w:rFonts w:ascii="Calibri" w:hAnsi="Calibri" w:cs="Times New Roman"/>
        </w:rPr>
      </w:pPr>
      <w:r>
        <w:rPr>
          <w:rFonts w:ascii="Calibri" w:hAnsi="Calibri" w:cs="Times New Roman"/>
        </w:rPr>
        <w:t>T</w:t>
      </w:r>
      <w:r w:rsidR="004E5EBC" w:rsidRPr="00B2494C">
        <w:rPr>
          <w:rFonts w:ascii="Calibri" w:hAnsi="Calibri" w:cs="Times New Roman"/>
        </w:rPr>
        <w:t>he Beij</w:t>
      </w:r>
      <w:r w:rsidR="00382F80" w:rsidRPr="00B2494C">
        <w:rPr>
          <w:rFonts w:ascii="Calibri" w:hAnsi="Calibri" w:cs="Times New Roman"/>
        </w:rPr>
        <w:t xml:space="preserve">ing </w:t>
      </w:r>
      <w:r w:rsidR="00B11E20" w:rsidRPr="00B2494C">
        <w:rPr>
          <w:rFonts w:ascii="Calibri" w:hAnsi="Calibri" w:cs="Times New Roman"/>
        </w:rPr>
        <w:t xml:space="preserve">Declaration and </w:t>
      </w:r>
      <w:r w:rsidR="00382F80" w:rsidRPr="00B2494C">
        <w:rPr>
          <w:rFonts w:ascii="Calibri" w:hAnsi="Calibri" w:cs="Times New Roman"/>
        </w:rPr>
        <w:t>Platform for Action</w:t>
      </w:r>
      <w:r w:rsidR="00515F65" w:rsidRPr="00B2494C">
        <w:rPr>
          <w:rFonts w:ascii="Calibri" w:hAnsi="Calibri" w:cs="Times New Roman"/>
        </w:rPr>
        <w:t xml:space="preserve"> 1995</w:t>
      </w:r>
      <w:r w:rsidR="00F67866">
        <w:rPr>
          <w:rFonts w:ascii="Calibri" w:hAnsi="Calibri" w:cs="Times New Roman"/>
        </w:rPr>
        <w:t xml:space="preserve"> (BPfA)</w:t>
      </w:r>
      <w:r w:rsidR="00382F80" w:rsidRPr="00B2494C">
        <w:rPr>
          <w:rFonts w:ascii="Calibri" w:hAnsi="Calibri" w:cs="Times New Roman"/>
        </w:rPr>
        <w:t xml:space="preserve"> notably </w:t>
      </w:r>
      <w:r w:rsidR="004E5EBC" w:rsidRPr="00B2494C">
        <w:rPr>
          <w:rFonts w:ascii="Calibri" w:hAnsi="Calibri" w:cs="Times New Roman"/>
        </w:rPr>
        <w:t>its two critical areas of concern on Violence against Wo</w:t>
      </w:r>
      <w:r w:rsidR="00382F80" w:rsidRPr="00B2494C">
        <w:rPr>
          <w:rFonts w:ascii="Calibri" w:hAnsi="Calibri" w:cs="Times New Roman"/>
        </w:rPr>
        <w:t>men and Women in Armed Conflict</w:t>
      </w:r>
      <w:r w:rsidR="004E5EBC" w:rsidRPr="00B2494C">
        <w:rPr>
          <w:rFonts w:ascii="Calibri" w:hAnsi="Calibri" w:cs="Times New Roman"/>
        </w:rPr>
        <w:t xml:space="preserve">; </w:t>
      </w:r>
    </w:p>
    <w:p w14:paraId="5B2BDFFC" w14:textId="667C1672" w:rsidR="00B2494C" w:rsidRDefault="00DC0E2B" w:rsidP="00CF4DA2">
      <w:pPr>
        <w:pStyle w:val="ListParagraph"/>
        <w:numPr>
          <w:ilvl w:val="0"/>
          <w:numId w:val="38"/>
        </w:numPr>
        <w:spacing w:line="360" w:lineRule="auto"/>
        <w:jc w:val="both"/>
        <w:rPr>
          <w:rFonts w:ascii="Calibri" w:hAnsi="Calibri" w:cs="Times New Roman"/>
        </w:rPr>
      </w:pPr>
      <w:r>
        <w:rPr>
          <w:rFonts w:ascii="Calibri" w:hAnsi="Calibri" w:cs="Times New Roman"/>
        </w:rPr>
        <w:t>T</w:t>
      </w:r>
      <w:r w:rsidR="004E5EBC" w:rsidRPr="00B2494C">
        <w:rPr>
          <w:rFonts w:ascii="Calibri" w:hAnsi="Calibri" w:cs="Times New Roman"/>
        </w:rPr>
        <w:t>he</w:t>
      </w:r>
      <w:r w:rsidR="000F7431" w:rsidRPr="00B2494C">
        <w:rPr>
          <w:rFonts w:ascii="Calibri" w:hAnsi="Calibri" w:cs="Times New Roman"/>
        </w:rPr>
        <w:t xml:space="preserve"> UN</w:t>
      </w:r>
      <w:r w:rsidR="00B11E20" w:rsidRPr="00B2494C">
        <w:rPr>
          <w:rFonts w:ascii="Calibri" w:hAnsi="Calibri" w:cs="Times New Roman"/>
        </w:rPr>
        <w:t xml:space="preserve"> General Assembly</w:t>
      </w:r>
      <w:r w:rsidR="004E5EBC" w:rsidRPr="00B2494C">
        <w:rPr>
          <w:rFonts w:ascii="Calibri" w:hAnsi="Calibri" w:cs="Times New Roman"/>
        </w:rPr>
        <w:t xml:space="preserve"> Outcome Document of </w:t>
      </w:r>
      <w:r w:rsidR="00B11E20" w:rsidRPr="00B2494C">
        <w:rPr>
          <w:rFonts w:ascii="Calibri" w:hAnsi="Calibri" w:cs="Times New Roman"/>
        </w:rPr>
        <w:t>its</w:t>
      </w:r>
      <w:r w:rsidR="004E5EBC" w:rsidRPr="00B2494C">
        <w:rPr>
          <w:rFonts w:ascii="Calibri" w:hAnsi="Calibri" w:cs="Times New Roman"/>
        </w:rPr>
        <w:t xml:space="preserve"> 23</w:t>
      </w:r>
      <w:r w:rsidR="004E5EBC" w:rsidRPr="00B2494C">
        <w:rPr>
          <w:rFonts w:ascii="Calibri" w:hAnsi="Calibri" w:cs="Times New Roman"/>
          <w:vertAlign w:val="superscript"/>
        </w:rPr>
        <w:t>rd</w:t>
      </w:r>
      <w:r w:rsidR="004E5EBC" w:rsidRPr="00B2494C">
        <w:rPr>
          <w:rFonts w:ascii="Calibri" w:hAnsi="Calibri" w:cs="Times New Roman"/>
        </w:rPr>
        <w:t xml:space="preserve"> Special on </w:t>
      </w:r>
      <w:r w:rsidR="00515F65" w:rsidRPr="00B2494C">
        <w:rPr>
          <w:rFonts w:ascii="Calibri" w:hAnsi="Calibri" w:cs="Times New Roman"/>
        </w:rPr>
        <w:t>Women</w:t>
      </w:r>
      <w:r w:rsidR="004E5EBC" w:rsidRPr="00B2494C">
        <w:rPr>
          <w:rFonts w:ascii="Calibri" w:hAnsi="Calibri" w:cs="Times New Roman"/>
        </w:rPr>
        <w:t xml:space="preserve"> 2000: Gender Equality, Development and Peace for the 21</w:t>
      </w:r>
      <w:r w:rsidR="004E5EBC" w:rsidRPr="00B2494C">
        <w:rPr>
          <w:rFonts w:ascii="Calibri" w:hAnsi="Calibri" w:cs="Times New Roman"/>
          <w:vertAlign w:val="superscript"/>
        </w:rPr>
        <w:t>st</w:t>
      </w:r>
      <w:r w:rsidR="004E5EBC" w:rsidRPr="00B2494C">
        <w:rPr>
          <w:rFonts w:ascii="Calibri" w:hAnsi="Calibri" w:cs="Times New Roman"/>
        </w:rPr>
        <w:t xml:space="preserve"> Century</w:t>
      </w:r>
      <w:r w:rsidR="00515F65" w:rsidRPr="00B2494C">
        <w:rPr>
          <w:rFonts w:ascii="Calibri" w:hAnsi="Calibri" w:cs="Times New Roman"/>
        </w:rPr>
        <w:t xml:space="preserve"> 2000</w:t>
      </w:r>
      <w:r w:rsidR="004E5EBC" w:rsidRPr="00B2494C">
        <w:rPr>
          <w:rFonts w:ascii="Calibri" w:hAnsi="Calibri" w:cs="Times New Roman"/>
        </w:rPr>
        <w:t xml:space="preserve"> (UNGA Outcome Document)</w:t>
      </w:r>
      <w:r w:rsidR="00CD53FF" w:rsidRPr="00B2494C">
        <w:rPr>
          <w:rFonts w:ascii="Calibri" w:hAnsi="Calibri" w:cs="Times New Roman"/>
        </w:rPr>
        <w:t>;</w:t>
      </w:r>
    </w:p>
    <w:p w14:paraId="4CE9F8CE" w14:textId="65C6F44D" w:rsidR="004E5EBC" w:rsidRPr="00B2494C" w:rsidRDefault="00DC0E2B" w:rsidP="00CF4DA2">
      <w:pPr>
        <w:pStyle w:val="ListParagraph"/>
        <w:numPr>
          <w:ilvl w:val="0"/>
          <w:numId w:val="38"/>
        </w:numPr>
        <w:spacing w:line="360" w:lineRule="auto"/>
        <w:jc w:val="both"/>
        <w:rPr>
          <w:rFonts w:ascii="Calibri" w:hAnsi="Calibri" w:cs="Times New Roman"/>
        </w:rPr>
      </w:pPr>
      <w:r>
        <w:rPr>
          <w:rFonts w:ascii="Calibri" w:hAnsi="Calibri" w:cs="Times New Roman"/>
        </w:rPr>
        <w:t xml:space="preserve">The </w:t>
      </w:r>
      <w:r w:rsidR="00B11E20" w:rsidRPr="00B2494C">
        <w:rPr>
          <w:rFonts w:ascii="Calibri" w:hAnsi="Calibri" w:cs="Times New Roman"/>
        </w:rPr>
        <w:t xml:space="preserve">UN </w:t>
      </w:r>
      <w:r w:rsidR="00CD53FF" w:rsidRPr="00B2494C">
        <w:rPr>
          <w:rFonts w:ascii="Calibri" w:hAnsi="Calibri" w:cs="Times New Roman"/>
        </w:rPr>
        <w:t>Commission on the Status of Women</w:t>
      </w:r>
      <w:r w:rsidR="00287EFE" w:rsidRPr="00B2494C">
        <w:rPr>
          <w:rFonts w:ascii="Calibri" w:hAnsi="Calibri" w:cs="Times New Roman"/>
        </w:rPr>
        <w:t xml:space="preserve"> Agreed Conclusions on the prevention and elimination of violence against women and girls</w:t>
      </w:r>
      <w:r w:rsidR="00CD53FF" w:rsidRPr="00B2494C">
        <w:rPr>
          <w:rFonts w:ascii="Calibri" w:hAnsi="Calibri" w:cs="Times New Roman"/>
        </w:rPr>
        <w:t xml:space="preserve"> 2013</w:t>
      </w:r>
      <w:r w:rsidR="004E5EBC" w:rsidRPr="00B2494C">
        <w:rPr>
          <w:rFonts w:ascii="Calibri" w:hAnsi="Calibri" w:cs="Times New Roman"/>
        </w:rPr>
        <w:t xml:space="preserve"> (</w:t>
      </w:r>
      <w:r w:rsidR="00216755" w:rsidRPr="00B2494C">
        <w:rPr>
          <w:rFonts w:ascii="Calibri" w:hAnsi="Calibri" w:cs="Times New Roman"/>
        </w:rPr>
        <w:t xml:space="preserve">CSW </w:t>
      </w:r>
      <w:r w:rsidR="00CD53FF" w:rsidRPr="00B2494C">
        <w:rPr>
          <w:rFonts w:ascii="Calibri" w:hAnsi="Calibri" w:cs="Times New Roman"/>
        </w:rPr>
        <w:t>Agreed Conclusions</w:t>
      </w:r>
      <w:r w:rsidR="00D43CEA" w:rsidRPr="00B2494C">
        <w:rPr>
          <w:rFonts w:ascii="Calibri" w:hAnsi="Calibri" w:cs="Times New Roman"/>
        </w:rPr>
        <w:t xml:space="preserve"> 2013</w:t>
      </w:r>
      <w:r w:rsidR="004E5EBC" w:rsidRPr="00B2494C">
        <w:rPr>
          <w:rFonts w:ascii="Calibri" w:hAnsi="Calibri" w:cs="Times New Roman"/>
        </w:rPr>
        <w:t xml:space="preserve">). </w:t>
      </w:r>
    </w:p>
    <w:p w14:paraId="46FAE594" w14:textId="77777777" w:rsidR="004E5EBC" w:rsidRPr="00AE75D5" w:rsidRDefault="004E5EBC" w:rsidP="00AE75D5">
      <w:pPr>
        <w:jc w:val="both"/>
        <w:rPr>
          <w:rFonts w:ascii="Calibri" w:hAnsi="Calibri" w:cs="Times New Roman"/>
          <w:b/>
        </w:rPr>
      </w:pPr>
    </w:p>
    <w:p w14:paraId="7DA28533" w14:textId="4E4C8538" w:rsidR="004E5EBC" w:rsidRPr="00CF4DA2" w:rsidRDefault="00204652" w:rsidP="00CF4DA2">
      <w:pPr>
        <w:pStyle w:val="ListParagraph"/>
        <w:spacing w:after="180"/>
        <w:ind w:left="0"/>
        <w:jc w:val="both"/>
        <w:rPr>
          <w:rFonts w:ascii="Calibri" w:eastAsiaTheme="minorHAnsi" w:hAnsi="Calibri" w:cs="Times New Roman"/>
          <w:b/>
          <w:color w:val="1F497D" w:themeColor="text2"/>
          <w:u w:val="single"/>
        </w:rPr>
      </w:pPr>
      <w:r w:rsidRPr="00CF4DA2">
        <w:rPr>
          <w:rFonts w:ascii="Calibri" w:eastAsiaTheme="minorHAnsi" w:hAnsi="Calibri" w:cs="Times New Roman"/>
          <w:b/>
          <w:color w:val="1F497D" w:themeColor="text2"/>
          <w:u w:val="single"/>
        </w:rPr>
        <w:t>Recommendation 2</w:t>
      </w:r>
      <w:r w:rsidR="004E5EBC" w:rsidRPr="00CF4DA2">
        <w:rPr>
          <w:rFonts w:ascii="Calibri" w:eastAsiaTheme="minorHAnsi" w:hAnsi="Calibri" w:cs="Times New Roman"/>
          <w:b/>
          <w:color w:val="1F497D" w:themeColor="text2"/>
          <w:u w:val="single"/>
        </w:rPr>
        <w:t xml:space="preserve">: </w:t>
      </w:r>
      <w:r w:rsidR="00766FAE" w:rsidRPr="00CF4DA2">
        <w:rPr>
          <w:rFonts w:ascii="Calibri" w:eastAsiaTheme="minorHAnsi" w:hAnsi="Calibri" w:cs="Times New Roman"/>
          <w:b/>
          <w:color w:val="1F497D" w:themeColor="text2"/>
          <w:u w:val="single"/>
        </w:rPr>
        <w:t>Implement</w:t>
      </w:r>
      <w:r w:rsidR="004E5EBC" w:rsidRPr="00CF4DA2">
        <w:rPr>
          <w:rFonts w:ascii="Calibri" w:eastAsiaTheme="minorHAnsi" w:hAnsi="Calibri" w:cs="Times New Roman"/>
          <w:b/>
          <w:color w:val="1F497D" w:themeColor="text2"/>
          <w:u w:val="single"/>
        </w:rPr>
        <w:t xml:space="preserve"> SCR 1325 and the</w:t>
      </w:r>
      <w:r w:rsidR="00A91F3E" w:rsidRPr="00CF4DA2">
        <w:rPr>
          <w:rFonts w:ascii="Calibri" w:eastAsiaTheme="minorHAnsi" w:hAnsi="Calibri" w:cs="Times New Roman"/>
          <w:b/>
          <w:color w:val="1F497D" w:themeColor="text2"/>
          <w:u w:val="single"/>
        </w:rPr>
        <w:t xml:space="preserve"> legal</w:t>
      </w:r>
      <w:r w:rsidR="004E5EBC" w:rsidRPr="00CF4DA2">
        <w:rPr>
          <w:rFonts w:ascii="Calibri" w:eastAsiaTheme="minorHAnsi" w:hAnsi="Calibri" w:cs="Times New Roman"/>
          <w:b/>
          <w:color w:val="1F497D" w:themeColor="text2"/>
          <w:u w:val="single"/>
        </w:rPr>
        <w:t xml:space="preserve"> framework</w:t>
      </w:r>
      <w:r w:rsidR="00A91F3E" w:rsidRPr="00CF4DA2">
        <w:rPr>
          <w:rFonts w:ascii="Calibri" w:eastAsiaTheme="minorHAnsi" w:hAnsi="Calibri" w:cs="Times New Roman"/>
          <w:b/>
          <w:color w:val="1F497D" w:themeColor="text2"/>
          <w:u w:val="single"/>
        </w:rPr>
        <w:t xml:space="preserve"> by increasing women and girls’ </w:t>
      </w:r>
      <w:r w:rsidRPr="00CF4DA2">
        <w:rPr>
          <w:rFonts w:ascii="Calibri" w:eastAsiaTheme="minorHAnsi" w:hAnsi="Calibri" w:cs="Times New Roman"/>
          <w:b/>
          <w:color w:val="1F497D" w:themeColor="text2"/>
          <w:u w:val="single"/>
        </w:rPr>
        <w:t xml:space="preserve">meaningful </w:t>
      </w:r>
      <w:r w:rsidR="00A91F3E" w:rsidRPr="00CF4DA2">
        <w:rPr>
          <w:rFonts w:ascii="Calibri" w:eastAsiaTheme="minorHAnsi" w:hAnsi="Calibri" w:cs="Times New Roman"/>
          <w:b/>
          <w:color w:val="1F497D" w:themeColor="text2"/>
          <w:u w:val="single"/>
        </w:rPr>
        <w:t>participation</w:t>
      </w:r>
      <w:r w:rsidRPr="00CF4DA2">
        <w:rPr>
          <w:rFonts w:ascii="Calibri" w:eastAsiaTheme="minorHAnsi" w:hAnsi="Calibri" w:cs="Times New Roman"/>
          <w:b/>
          <w:color w:val="1F497D" w:themeColor="text2"/>
          <w:u w:val="single"/>
        </w:rPr>
        <w:t xml:space="preserve"> and inclusion</w:t>
      </w:r>
      <w:r w:rsidR="00A91F3E" w:rsidRPr="00CF4DA2">
        <w:rPr>
          <w:rFonts w:ascii="Calibri" w:eastAsiaTheme="minorHAnsi" w:hAnsi="Calibri" w:cs="Times New Roman"/>
          <w:b/>
          <w:color w:val="1F497D" w:themeColor="text2"/>
          <w:u w:val="single"/>
        </w:rPr>
        <w:t xml:space="preserve"> in the National Action Plan (NAP) </w:t>
      </w:r>
      <w:r w:rsidR="00F66D08" w:rsidRPr="00CF4DA2">
        <w:rPr>
          <w:rFonts w:ascii="Calibri" w:eastAsiaTheme="minorHAnsi" w:hAnsi="Calibri" w:cs="Times New Roman"/>
          <w:b/>
          <w:color w:val="1F497D" w:themeColor="text2"/>
          <w:u w:val="single"/>
        </w:rPr>
        <w:t>process</w:t>
      </w:r>
      <w:r w:rsidRPr="00CF4DA2">
        <w:rPr>
          <w:rFonts w:ascii="Calibri" w:eastAsiaTheme="minorHAnsi" w:hAnsi="Calibri" w:cs="Times New Roman"/>
          <w:b/>
          <w:color w:val="1F497D" w:themeColor="text2"/>
          <w:u w:val="single"/>
        </w:rPr>
        <w:t xml:space="preserve"> (design, implementation, monitoring and evaluation)</w:t>
      </w:r>
      <w:r w:rsidR="00F66D08" w:rsidRPr="00CF4DA2">
        <w:rPr>
          <w:rFonts w:ascii="Calibri" w:eastAsiaTheme="minorHAnsi" w:hAnsi="Calibri" w:cs="Times New Roman"/>
          <w:b/>
          <w:color w:val="1F497D" w:themeColor="text2"/>
          <w:u w:val="single"/>
        </w:rPr>
        <w:t xml:space="preserve"> </w:t>
      </w:r>
    </w:p>
    <w:p w14:paraId="5D0C632A" w14:textId="77777777" w:rsidR="00B2494C" w:rsidRPr="005460C4" w:rsidRDefault="00B2494C" w:rsidP="005460C4">
      <w:pPr>
        <w:jc w:val="both"/>
        <w:rPr>
          <w:rFonts w:ascii="Calibri" w:hAnsi="Calibri" w:cs="Times New Roman"/>
        </w:rPr>
      </w:pPr>
    </w:p>
    <w:p w14:paraId="3F4536C6" w14:textId="66306CD5" w:rsidR="00B2494C" w:rsidRPr="00AE75D5" w:rsidRDefault="004E5EBC" w:rsidP="00AE75D5">
      <w:pPr>
        <w:pStyle w:val="ListParagraph"/>
        <w:numPr>
          <w:ilvl w:val="0"/>
          <w:numId w:val="38"/>
        </w:numPr>
        <w:spacing w:line="360" w:lineRule="auto"/>
        <w:jc w:val="both"/>
        <w:rPr>
          <w:rFonts w:ascii="Calibri" w:hAnsi="Calibri" w:cs="Times New Roman"/>
        </w:rPr>
      </w:pPr>
      <w:r w:rsidRPr="00AE75D5">
        <w:rPr>
          <w:rFonts w:ascii="Calibri" w:hAnsi="Calibri" w:cs="Times New Roman"/>
        </w:rPr>
        <w:t xml:space="preserve">SCR 1325 National Action Plans (NAPs) must be created with </w:t>
      </w:r>
      <w:r w:rsidR="00766FAE" w:rsidRPr="00AE75D5">
        <w:rPr>
          <w:rFonts w:ascii="Calibri" w:hAnsi="Calibri" w:cs="Times New Roman"/>
        </w:rPr>
        <w:t xml:space="preserve">the </w:t>
      </w:r>
      <w:r w:rsidR="00DC0E2B" w:rsidRPr="00AE75D5">
        <w:rPr>
          <w:rFonts w:ascii="Calibri" w:hAnsi="Calibri" w:cs="Times New Roman"/>
        </w:rPr>
        <w:t xml:space="preserve">meaningful </w:t>
      </w:r>
      <w:r w:rsidR="00766FAE" w:rsidRPr="00AE75D5">
        <w:rPr>
          <w:rFonts w:ascii="Calibri" w:hAnsi="Calibri" w:cs="Times New Roman"/>
        </w:rPr>
        <w:t>participation</w:t>
      </w:r>
      <w:r w:rsidR="00DC0E2B" w:rsidRPr="00AE75D5">
        <w:rPr>
          <w:rFonts w:ascii="Calibri" w:hAnsi="Calibri" w:cs="Times New Roman"/>
        </w:rPr>
        <w:t xml:space="preserve"> and inclusion</w:t>
      </w:r>
      <w:r w:rsidR="00766FAE" w:rsidRPr="00AE75D5">
        <w:rPr>
          <w:rFonts w:ascii="Calibri" w:hAnsi="Calibri" w:cs="Times New Roman"/>
        </w:rPr>
        <w:t xml:space="preserve"> of women and girls and their non-governmental organizations (NGOs) and allies. Women and girls</w:t>
      </w:r>
      <w:r w:rsidR="005460C4" w:rsidRPr="00AE75D5">
        <w:rPr>
          <w:rFonts w:ascii="Calibri" w:hAnsi="Calibri" w:cs="Times New Roman"/>
        </w:rPr>
        <w:t>, and their civil society organizations,</w:t>
      </w:r>
      <w:r w:rsidR="00766FAE" w:rsidRPr="00AE75D5">
        <w:rPr>
          <w:rFonts w:ascii="Calibri" w:hAnsi="Calibri" w:cs="Times New Roman"/>
        </w:rPr>
        <w:t xml:space="preserve"> </w:t>
      </w:r>
      <w:r w:rsidRPr="00AE75D5">
        <w:rPr>
          <w:rFonts w:ascii="Calibri" w:hAnsi="Calibri" w:cs="Times New Roman"/>
        </w:rPr>
        <w:t xml:space="preserve">should be empowered to jointly </w:t>
      </w:r>
      <w:r w:rsidR="005460C4" w:rsidRPr="00AE75D5">
        <w:rPr>
          <w:rFonts w:ascii="Calibri" w:hAnsi="Calibri" w:cs="Times New Roman"/>
        </w:rPr>
        <w:t xml:space="preserve">design, implement, monitor </w:t>
      </w:r>
      <w:r w:rsidRPr="00AE75D5">
        <w:rPr>
          <w:rFonts w:ascii="Calibri" w:hAnsi="Calibri" w:cs="Times New Roman"/>
        </w:rPr>
        <w:t>and evaluate NAPs together with governments</w:t>
      </w:r>
      <w:r w:rsidR="00766FAE" w:rsidRPr="00AE75D5">
        <w:rPr>
          <w:rFonts w:ascii="Calibri" w:hAnsi="Calibri" w:cs="Times New Roman"/>
        </w:rPr>
        <w:t xml:space="preserve">, </w:t>
      </w:r>
      <w:r w:rsidR="00AC36D1" w:rsidRPr="00AE75D5">
        <w:rPr>
          <w:rFonts w:ascii="Calibri" w:hAnsi="Calibri" w:cs="Times New Roman"/>
        </w:rPr>
        <w:t xml:space="preserve">development partners, and other stakeholders, including </w:t>
      </w:r>
      <w:r w:rsidR="005460C4" w:rsidRPr="00AE75D5">
        <w:rPr>
          <w:rFonts w:ascii="Calibri" w:hAnsi="Calibri" w:cs="Times New Roman"/>
        </w:rPr>
        <w:t>private actors (</w:t>
      </w:r>
      <w:r w:rsidR="00AC36D1" w:rsidRPr="00AE75D5">
        <w:rPr>
          <w:rFonts w:ascii="Calibri" w:hAnsi="Calibri" w:cs="Times New Roman"/>
        </w:rPr>
        <w:t xml:space="preserve">especially </w:t>
      </w:r>
      <w:r w:rsidR="005460C4" w:rsidRPr="00AE75D5">
        <w:rPr>
          <w:rFonts w:ascii="Calibri" w:hAnsi="Calibri" w:cs="Times New Roman"/>
        </w:rPr>
        <w:t xml:space="preserve">non-state actors involved in post-conflict </w:t>
      </w:r>
      <w:r w:rsidR="00AC36D1" w:rsidRPr="00AE75D5">
        <w:rPr>
          <w:rFonts w:ascii="Calibri" w:hAnsi="Calibri" w:cs="Times New Roman"/>
        </w:rPr>
        <w:t>reconstruction and transitional justice situations</w:t>
      </w:r>
      <w:r w:rsidR="005460C4" w:rsidRPr="00AE75D5">
        <w:rPr>
          <w:rFonts w:ascii="Calibri" w:hAnsi="Calibri" w:cs="Times New Roman"/>
        </w:rPr>
        <w:t>)</w:t>
      </w:r>
      <w:r w:rsidRPr="00AE75D5">
        <w:rPr>
          <w:rFonts w:ascii="Calibri" w:hAnsi="Calibri" w:cs="Times New Roman"/>
        </w:rPr>
        <w:t xml:space="preserve">. </w:t>
      </w:r>
    </w:p>
    <w:p w14:paraId="56685294" w14:textId="77777777" w:rsidR="00B2494C" w:rsidRDefault="00B2494C" w:rsidP="00AE75D5">
      <w:pPr>
        <w:pStyle w:val="ListParagraph"/>
        <w:jc w:val="both"/>
        <w:rPr>
          <w:rFonts w:ascii="Calibri" w:hAnsi="Calibri" w:cs="Times New Roman"/>
        </w:rPr>
      </w:pPr>
    </w:p>
    <w:p w14:paraId="5EDCDF8D" w14:textId="7AF3832B" w:rsidR="004E5EBC" w:rsidRPr="00AE75D5" w:rsidRDefault="00DC0E2B" w:rsidP="00AE75D5">
      <w:pPr>
        <w:pStyle w:val="ListParagraph"/>
        <w:numPr>
          <w:ilvl w:val="0"/>
          <w:numId w:val="38"/>
        </w:numPr>
        <w:spacing w:line="360" w:lineRule="auto"/>
        <w:jc w:val="both"/>
        <w:rPr>
          <w:rFonts w:ascii="Calibri" w:hAnsi="Calibri" w:cs="Times New Roman"/>
        </w:rPr>
      </w:pPr>
      <w:r w:rsidRPr="00AE75D5">
        <w:rPr>
          <w:rFonts w:ascii="Calibri" w:hAnsi="Calibri" w:cs="Times New Roman"/>
        </w:rPr>
        <w:t>An active and engaged civil society plays a key role in ensuring that NAPs are substantively implemented. States must</w:t>
      </w:r>
      <w:r w:rsidR="004E5EBC" w:rsidRPr="00AE75D5">
        <w:rPr>
          <w:rFonts w:ascii="Calibri" w:hAnsi="Calibri" w:cs="Times New Roman"/>
        </w:rPr>
        <w:t xml:space="preserve"> budget for adequate financial and human resources so that</w:t>
      </w:r>
      <w:r w:rsidR="00A6205A" w:rsidRPr="00AE75D5">
        <w:rPr>
          <w:rFonts w:ascii="Calibri" w:hAnsi="Calibri" w:cs="Times New Roman"/>
        </w:rPr>
        <w:t xml:space="preserve"> the following groups can shape, </w:t>
      </w:r>
      <w:r w:rsidR="004E5EBC" w:rsidRPr="00AE75D5">
        <w:rPr>
          <w:rFonts w:ascii="Calibri" w:hAnsi="Calibri" w:cs="Times New Roman"/>
        </w:rPr>
        <w:t>enforce</w:t>
      </w:r>
      <w:r w:rsidR="00A6205A" w:rsidRPr="00AE75D5">
        <w:rPr>
          <w:rFonts w:ascii="Calibri" w:hAnsi="Calibri" w:cs="Times New Roman"/>
        </w:rPr>
        <w:t xml:space="preserve"> and continually improve</w:t>
      </w:r>
      <w:r w:rsidR="004E5EBC" w:rsidRPr="00AE75D5">
        <w:rPr>
          <w:rFonts w:ascii="Calibri" w:hAnsi="Calibri" w:cs="Times New Roman"/>
        </w:rPr>
        <w:t xml:space="preserve"> </w:t>
      </w:r>
      <w:r w:rsidR="005460C4" w:rsidRPr="00AE75D5">
        <w:rPr>
          <w:rFonts w:ascii="Calibri" w:hAnsi="Calibri" w:cs="Times New Roman"/>
        </w:rPr>
        <w:t>the NAP process:</w:t>
      </w:r>
      <w:r w:rsidR="004E5EBC" w:rsidRPr="00AE75D5">
        <w:rPr>
          <w:rFonts w:ascii="Calibri" w:hAnsi="Calibri" w:cs="Times New Roman"/>
        </w:rPr>
        <w:t xml:space="preserve"> </w:t>
      </w:r>
      <w:r w:rsidR="005460C4" w:rsidRPr="00AE75D5">
        <w:rPr>
          <w:rFonts w:ascii="Calibri" w:hAnsi="Calibri" w:cs="Times New Roman"/>
        </w:rPr>
        <w:t xml:space="preserve">female </w:t>
      </w:r>
      <w:r w:rsidR="00766FAE" w:rsidRPr="00AE75D5">
        <w:rPr>
          <w:rFonts w:ascii="Calibri" w:hAnsi="Calibri" w:cs="Times New Roman"/>
        </w:rPr>
        <w:t xml:space="preserve">political leaders, </w:t>
      </w:r>
      <w:r w:rsidR="005460C4" w:rsidRPr="00AE75D5">
        <w:rPr>
          <w:rFonts w:ascii="Calibri" w:hAnsi="Calibri" w:cs="Times New Roman"/>
        </w:rPr>
        <w:t xml:space="preserve">women’s </w:t>
      </w:r>
      <w:r w:rsidRPr="00AE75D5">
        <w:rPr>
          <w:rFonts w:ascii="Calibri" w:hAnsi="Calibri" w:cs="Times New Roman"/>
        </w:rPr>
        <w:t xml:space="preserve">and </w:t>
      </w:r>
      <w:r w:rsidR="005460C4" w:rsidRPr="00AE75D5">
        <w:rPr>
          <w:rFonts w:ascii="Calibri" w:hAnsi="Calibri" w:cs="Times New Roman"/>
        </w:rPr>
        <w:t xml:space="preserve">girls’ organizations, victims and </w:t>
      </w:r>
      <w:r w:rsidR="004E5EBC" w:rsidRPr="00AE75D5">
        <w:rPr>
          <w:rFonts w:ascii="Calibri" w:hAnsi="Calibri" w:cs="Times New Roman"/>
        </w:rPr>
        <w:t>survivors</w:t>
      </w:r>
      <w:r w:rsidR="005460C4" w:rsidRPr="00AE75D5">
        <w:rPr>
          <w:rFonts w:ascii="Calibri" w:hAnsi="Calibri" w:cs="Times New Roman"/>
        </w:rPr>
        <w:t xml:space="preserve"> of conflict-related violence</w:t>
      </w:r>
      <w:r w:rsidR="004E5EBC" w:rsidRPr="00AE75D5">
        <w:rPr>
          <w:rFonts w:ascii="Calibri" w:hAnsi="Calibri" w:cs="Times New Roman"/>
        </w:rPr>
        <w:t xml:space="preserve">, and women, girls, men and boys affected by conflict. </w:t>
      </w:r>
    </w:p>
    <w:p w14:paraId="5A78FEF6" w14:textId="77777777" w:rsidR="004E5EBC" w:rsidRDefault="004E5EBC" w:rsidP="004E5EBC">
      <w:pPr>
        <w:jc w:val="both"/>
        <w:rPr>
          <w:rFonts w:ascii="Calibri" w:hAnsi="Calibri" w:cs="Times New Roman"/>
        </w:rPr>
      </w:pPr>
    </w:p>
    <w:p w14:paraId="1910C785" w14:textId="06FCC44F" w:rsidR="005460C4" w:rsidRPr="00CF4DA2" w:rsidRDefault="005460C4" w:rsidP="00CF4DA2">
      <w:pPr>
        <w:pStyle w:val="ListParagraph"/>
        <w:spacing w:after="180"/>
        <w:ind w:left="0"/>
        <w:jc w:val="both"/>
        <w:rPr>
          <w:rFonts w:ascii="Calibri" w:eastAsiaTheme="minorHAnsi" w:hAnsi="Calibri" w:cs="Times New Roman"/>
          <w:b/>
          <w:color w:val="1F497D" w:themeColor="text2"/>
          <w:u w:val="single"/>
        </w:rPr>
      </w:pPr>
      <w:r w:rsidRPr="00CF4DA2">
        <w:rPr>
          <w:rFonts w:ascii="Calibri" w:eastAsiaTheme="minorHAnsi" w:hAnsi="Calibri" w:cs="Times New Roman"/>
          <w:b/>
          <w:color w:val="1F497D" w:themeColor="text2"/>
          <w:u w:val="single"/>
        </w:rPr>
        <w:t xml:space="preserve">Recommendation 3: Implement SCR 1325 and the legal framework by ensuring government buy-in at all levels (national, regional, provincial/district and local) and across </w:t>
      </w:r>
      <w:r w:rsidR="00DC0E2B" w:rsidRPr="00CF4DA2">
        <w:rPr>
          <w:rFonts w:ascii="Calibri" w:eastAsiaTheme="minorHAnsi" w:hAnsi="Calibri" w:cs="Times New Roman"/>
          <w:b/>
          <w:color w:val="1F497D" w:themeColor="text2"/>
          <w:u w:val="single"/>
        </w:rPr>
        <w:t xml:space="preserve">all of government </w:t>
      </w:r>
    </w:p>
    <w:p w14:paraId="7B34D845" w14:textId="77777777" w:rsidR="00B2494C" w:rsidRPr="00AE75D5" w:rsidRDefault="00B2494C" w:rsidP="004E5EBC">
      <w:pPr>
        <w:jc w:val="both"/>
        <w:rPr>
          <w:rFonts w:ascii="Calibri" w:hAnsi="Calibri" w:cs="Times New Roman"/>
        </w:rPr>
      </w:pPr>
    </w:p>
    <w:p w14:paraId="512C5EEB" w14:textId="72317D55" w:rsidR="00B2494C" w:rsidRPr="00DC0E2B" w:rsidRDefault="00293648" w:rsidP="00AE75D5">
      <w:pPr>
        <w:pStyle w:val="ListParagraph"/>
        <w:numPr>
          <w:ilvl w:val="0"/>
          <w:numId w:val="9"/>
        </w:numPr>
        <w:spacing w:line="360" w:lineRule="auto"/>
        <w:jc w:val="both"/>
        <w:rPr>
          <w:rFonts w:ascii="Calibri" w:hAnsi="Calibri" w:cs="Times New Roman"/>
          <w:b/>
          <w:i/>
        </w:rPr>
      </w:pPr>
      <w:r>
        <w:rPr>
          <w:rFonts w:ascii="Calibri" w:hAnsi="Calibri" w:cs="Times New Roman"/>
        </w:rPr>
        <w:t xml:space="preserve">Government buy-in is essential to </w:t>
      </w:r>
      <w:r w:rsidR="00243BE2">
        <w:rPr>
          <w:rFonts w:ascii="Calibri" w:hAnsi="Calibri" w:cs="Times New Roman"/>
        </w:rPr>
        <w:t>creating</w:t>
      </w:r>
      <w:r>
        <w:rPr>
          <w:rFonts w:ascii="Calibri" w:hAnsi="Calibri" w:cs="Times New Roman"/>
        </w:rPr>
        <w:t xml:space="preserve"> NAPs via a </w:t>
      </w:r>
      <w:r w:rsidR="00DC0E2B">
        <w:rPr>
          <w:rFonts w:ascii="Calibri" w:hAnsi="Calibri" w:cs="Times New Roman"/>
        </w:rPr>
        <w:t xml:space="preserve">robust </w:t>
      </w:r>
      <w:r>
        <w:rPr>
          <w:rFonts w:ascii="Calibri" w:hAnsi="Calibri" w:cs="Times New Roman"/>
        </w:rPr>
        <w:t xml:space="preserve">process, and to </w:t>
      </w:r>
      <w:r w:rsidR="00243BE2">
        <w:rPr>
          <w:rFonts w:ascii="Calibri" w:hAnsi="Calibri" w:cs="Times New Roman"/>
        </w:rPr>
        <w:t>holding</w:t>
      </w:r>
      <w:r>
        <w:rPr>
          <w:rFonts w:ascii="Calibri" w:hAnsi="Calibri" w:cs="Times New Roman"/>
        </w:rPr>
        <w:t xml:space="preserve"> st</w:t>
      </w:r>
      <w:r w:rsidR="00243BE2">
        <w:rPr>
          <w:rFonts w:ascii="Calibri" w:hAnsi="Calibri" w:cs="Times New Roman"/>
        </w:rPr>
        <w:t>ates accountable to their obligations under SCR 1325, the other</w:t>
      </w:r>
      <w:r>
        <w:rPr>
          <w:rFonts w:ascii="Calibri" w:hAnsi="Calibri" w:cs="Times New Roman"/>
        </w:rPr>
        <w:t xml:space="preserve"> resolutions on WPS, </w:t>
      </w:r>
      <w:r w:rsidR="00243BE2">
        <w:rPr>
          <w:rFonts w:ascii="Calibri" w:hAnsi="Calibri" w:cs="Times New Roman"/>
        </w:rPr>
        <w:t>and</w:t>
      </w:r>
      <w:r>
        <w:rPr>
          <w:rFonts w:ascii="Calibri" w:hAnsi="Calibri" w:cs="Times New Roman"/>
        </w:rPr>
        <w:t xml:space="preserve"> the entire legal framework. Key decision-makers should lead the NAP process including legislators, policy-makers and political leaders, especially women, </w:t>
      </w:r>
      <w:r w:rsidR="00243BE2">
        <w:rPr>
          <w:rFonts w:ascii="Calibri" w:hAnsi="Calibri" w:cs="Times New Roman"/>
        </w:rPr>
        <w:t>supported by</w:t>
      </w:r>
      <w:r>
        <w:rPr>
          <w:rFonts w:ascii="Calibri" w:hAnsi="Calibri" w:cs="Times New Roman"/>
        </w:rPr>
        <w:t xml:space="preserve"> the highest levels of government. The NAP process should involve all levels of government (national, regional, provincial/district and local government, including urban and rural authorities). </w:t>
      </w:r>
    </w:p>
    <w:p w14:paraId="6AFBEFF2" w14:textId="77777777" w:rsidR="00DC0E2B" w:rsidRPr="00B2494C" w:rsidRDefault="00DC0E2B" w:rsidP="00DC0E2B">
      <w:pPr>
        <w:pStyle w:val="ListParagraph"/>
        <w:jc w:val="both"/>
        <w:rPr>
          <w:rFonts w:ascii="Calibri" w:hAnsi="Calibri" w:cs="Times New Roman"/>
          <w:b/>
          <w:i/>
        </w:rPr>
      </w:pPr>
    </w:p>
    <w:p w14:paraId="3F1CD998" w14:textId="3A178B53" w:rsidR="005460C4" w:rsidRPr="005460C4" w:rsidRDefault="00293648" w:rsidP="00AE75D5">
      <w:pPr>
        <w:pStyle w:val="ListParagraph"/>
        <w:numPr>
          <w:ilvl w:val="0"/>
          <w:numId w:val="9"/>
        </w:numPr>
        <w:spacing w:line="360" w:lineRule="auto"/>
        <w:jc w:val="both"/>
        <w:rPr>
          <w:rFonts w:ascii="Calibri" w:hAnsi="Calibri" w:cs="Times New Roman"/>
          <w:b/>
          <w:i/>
        </w:rPr>
      </w:pPr>
      <w:r>
        <w:rPr>
          <w:rFonts w:ascii="Calibri" w:hAnsi="Calibri" w:cs="Times New Roman"/>
        </w:rPr>
        <w:t xml:space="preserve">The NAP process </w:t>
      </w:r>
      <w:r w:rsidR="00243BE2">
        <w:rPr>
          <w:rFonts w:ascii="Calibri" w:hAnsi="Calibri" w:cs="Times New Roman"/>
        </w:rPr>
        <w:t>should take a multi-stakeholder</w:t>
      </w:r>
      <w:r>
        <w:rPr>
          <w:rFonts w:ascii="Calibri" w:hAnsi="Calibri" w:cs="Times New Roman"/>
        </w:rPr>
        <w:t>, multi-sectoral cross-government approach,</w:t>
      </w:r>
      <w:r w:rsidR="00AC36D1">
        <w:rPr>
          <w:rFonts w:ascii="Calibri" w:hAnsi="Calibri" w:cs="Times New Roman"/>
        </w:rPr>
        <w:t xml:space="preserve"> and provide adequate financial a</w:t>
      </w:r>
      <w:r w:rsidR="00B2494C">
        <w:rPr>
          <w:rFonts w:ascii="Calibri" w:hAnsi="Calibri" w:cs="Times New Roman"/>
        </w:rPr>
        <w:t>n</w:t>
      </w:r>
      <w:r w:rsidR="00AC36D1">
        <w:rPr>
          <w:rFonts w:ascii="Calibri" w:hAnsi="Calibri" w:cs="Times New Roman"/>
        </w:rPr>
        <w:t>d human resources to involve the following government bodies:</w:t>
      </w:r>
      <w:r>
        <w:rPr>
          <w:rFonts w:ascii="Calibri" w:hAnsi="Calibri" w:cs="Times New Roman"/>
        </w:rPr>
        <w:t xml:space="preserve"> women’s </w:t>
      </w:r>
      <w:r w:rsidR="00AC36D1">
        <w:rPr>
          <w:rFonts w:ascii="Calibri" w:hAnsi="Calibri" w:cs="Times New Roman"/>
        </w:rPr>
        <w:t xml:space="preserve">and children’s </w:t>
      </w:r>
      <w:r>
        <w:rPr>
          <w:rFonts w:ascii="Calibri" w:hAnsi="Calibri" w:cs="Times New Roman"/>
        </w:rPr>
        <w:t>ministries</w:t>
      </w:r>
      <w:r w:rsidR="00AC36D1">
        <w:rPr>
          <w:rFonts w:ascii="Calibri" w:hAnsi="Calibri" w:cs="Times New Roman"/>
        </w:rPr>
        <w:t>;</w:t>
      </w:r>
      <w:r>
        <w:rPr>
          <w:rFonts w:ascii="Calibri" w:hAnsi="Calibri" w:cs="Times New Roman"/>
        </w:rPr>
        <w:t xml:space="preserve"> national women’s machineries</w:t>
      </w:r>
      <w:r w:rsidR="00AC36D1">
        <w:rPr>
          <w:rFonts w:ascii="Calibri" w:hAnsi="Calibri" w:cs="Times New Roman"/>
        </w:rPr>
        <w:t xml:space="preserve"> and government bodies dealing with children’s rights e.g. children’s commission</w:t>
      </w:r>
      <w:r w:rsidR="00DC0E2B">
        <w:rPr>
          <w:rFonts w:ascii="Calibri" w:hAnsi="Calibri" w:cs="Times New Roman"/>
        </w:rPr>
        <w:t>s</w:t>
      </w:r>
      <w:r w:rsidR="00AC36D1">
        <w:rPr>
          <w:rFonts w:ascii="Calibri" w:hAnsi="Calibri" w:cs="Times New Roman"/>
        </w:rPr>
        <w:t>;</w:t>
      </w:r>
      <w:r>
        <w:rPr>
          <w:rFonts w:ascii="Calibri" w:hAnsi="Calibri" w:cs="Times New Roman"/>
        </w:rPr>
        <w:t xml:space="preserve"> nat</w:t>
      </w:r>
      <w:r w:rsidR="00AC36D1">
        <w:rPr>
          <w:rFonts w:ascii="Calibri" w:hAnsi="Calibri" w:cs="Times New Roman"/>
        </w:rPr>
        <w:t>ional human rights institutions;</w:t>
      </w:r>
      <w:r>
        <w:rPr>
          <w:rFonts w:ascii="Calibri" w:hAnsi="Calibri" w:cs="Times New Roman"/>
        </w:rPr>
        <w:t xml:space="preserve"> truth and reconciliation commissions and</w:t>
      </w:r>
      <w:r w:rsidR="00AC36D1">
        <w:rPr>
          <w:rFonts w:ascii="Calibri" w:hAnsi="Calibri" w:cs="Times New Roman"/>
        </w:rPr>
        <w:t xml:space="preserve"> other</w:t>
      </w:r>
      <w:r>
        <w:rPr>
          <w:rFonts w:ascii="Calibri" w:hAnsi="Calibri" w:cs="Times New Roman"/>
        </w:rPr>
        <w:t xml:space="preserve"> transitional justice </w:t>
      </w:r>
      <w:r w:rsidR="00AC36D1">
        <w:rPr>
          <w:rFonts w:ascii="Calibri" w:hAnsi="Calibri" w:cs="Times New Roman"/>
        </w:rPr>
        <w:t>bodies; and ministries and agencies res</w:t>
      </w:r>
      <w:r w:rsidR="00DC0E2B">
        <w:rPr>
          <w:rFonts w:ascii="Calibri" w:hAnsi="Calibri" w:cs="Times New Roman"/>
        </w:rPr>
        <w:t>ponsible for: justice, security, peace and reconstruction,</w:t>
      </w:r>
      <w:r w:rsidR="00AC36D1">
        <w:rPr>
          <w:rFonts w:ascii="Calibri" w:hAnsi="Calibri" w:cs="Times New Roman"/>
        </w:rPr>
        <w:t xml:space="preserve"> migration, economic and social development, labour and employment, education, foreign affairs, and all issues relevant to the </w:t>
      </w:r>
      <w:r w:rsidR="00DC0E2B">
        <w:rPr>
          <w:rFonts w:ascii="Calibri" w:hAnsi="Calibri" w:cs="Times New Roman"/>
        </w:rPr>
        <w:t>legal framework</w:t>
      </w:r>
      <w:r w:rsidR="00AC36D1">
        <w:rPr>
          <w:rFonts w:ascii="Calibri" w:hAnsi="Calibri" w:cs="Times New Roman"/>
        </w:rPr>
        <w:t xml:space="preserve">.  </w:t>
      </w:r>
      <w:r>
        <w:rPr>
          <w:rFonts w:ascii="Calibri" w:hAnsi="Calibri" w:cs="Times New Roman"/>
        </w:rPr>
        <w:t>It should budget for adequate financial and human resources</w:t>
      </w:r>
      <w:r w:rsidR="00793F4F">
        <w:rPr>
          <w:rFonts w:ascii="Calibri" w:hAnsi="Calibri" w:cs="Times New Roman"/>
        </w:rPr>
        <w:t xml:space="preserve"> </w:t>
      </w:r>
      <w:r w:rsidR="00DC0E2B">
        <w:rPr>
          <w:rFonts w:ascii="Calibri" w:hAnsi="Calibri" w:cs="Times New Roman"/>
        </w:rPr>
        <w:t>build political will across</w:t>
      </w:r>
      <w:r w:rsidR="00793F4F">
        <w:rPr>
          <w:rFonts w:ascii="Calibri" w:hAnsi="Calibri" w:cs="Times New Roman"/>
        </w:rPr>
        <w:t xml:space="preserve"> of all relevant levels of government, especially women leaders. </w:t>
      </w:r>
    </w:p>
    <w:p w14:paraId="3BA2CE20" w14:textId="77777777" w:rsidR="004E5EBC" w:rsidRDefault="004E5EBC" w:rsidP="004E5EBC">
      <w:pPr>
        <w:jc w:val="both"/>
        <w:rPr>
          <w:rFonts w:ascii="Calibri" w:hAnsi="Calibri" w:cs="Times New Roman"/>
        </w:rPr>
      </w:pPr>
    </w:p>
    <w:p w14:paraId="5D864BDC" w14:textId="77777777" w:rsidR="008932CA" w:rsidRPr="00CF4DA2" w:rsidRDefault="008932CA" w:rsidP="008932CA">
      <w:pPr>
        <w:pStyle w:val="ListParagraph"/>
        <w:spacing w:after="180"/>
        <w:ind w:left="0"/>
        <w:jc w:val="both"/>
        <w:rPr>
          <w:rFonts w:ascii="Calibri" w:eastAsiaTheme="minorHAnsi" w:hAnsi="Calibri" w:cs="Times New Roman"/>
          <w:b/>
          <w:color w:val="1F497D" w:themeColor="text2"/>
          <w:u w:val="single"/>
        </w:rPr>
      </w:pPr>
      <w:r>
        <w:rPr>
          <w:rFonts w:ascii="Calibri" w:eastAsiaTheme="minorHAnsi" w:hAnsi="Calibri" w:cs="Times New Roman"/>
          <w:b/>
          <w:color w:val="1F497D" w:themeColor="text2"/>
          <w:u w:val="single"/>
        </w:rPr>
        <w:t>Recommendation 4: T</w:t>
      </w:r>
      <w:r w:rsidRPr="00CF4DA2">
        <w:rPr>
          <w:rFonts w:ascii="Calibri" w:eastAsiaTheme="minorHAnsi" w:hAnsi="Calibri" w:cs="Times New Roman"/>
          <w:b/>
          <w:color w:val="1F497D" w:themeColor="text2"/>
          <w:u w:val="single"/>
        </w:rPr>
        <w:t xml:space="preserve">o guarantee substantive equality, </w:t>
      </w:r>
      <w:proofErr w:type="gramStart"/>
      <w:r w:rsidRPr="00CF4DA2">
        <w:rPr>
          <w:rFonts w:ascii="Calibri" w:eastAsiaTheme="minorHAnsi" w:hAnsi="Calibri" w:cs="Times New Roman"/>
          <w:b/>
          <w:color w:val="1F497D" w:themeColor="text2"/>
          <w:u w:val="single"/>
        </w:rPr>
        <w:t>which is a minimum protection under the legal framework on women, peace and security</w:t>
      </w:r>
      <w:proofErr w:type="gramEnd"/>
      <w:r w:rsidRPr="00CF4DA2">
        <w:rPr>
          <w:rFonts w:ascii="Calibri" w:eastAsiaTheme="minorHAnsi" w:hAnsi="Calibri" w:cs="Times New Roman"/>
          <w:b/>
          <w:color w:val="1F497D" w:themeColor="text2"/>
          <w:u w:val="single"/>
        </w:rPr>
        <w:t xml:space="preserve"> </w:t>
      </w:r>
    </w:p>
    <w:p w14:paraId="04191BEE" w14:textId="77777777" w:rsidR="008932CA" w:rsidRPr="00C268C1" w:rsidRDefault="008932CA" w:rsidP="008932CA">
      <w:pPr>
        <w:pStyle w:val="ListParagraph"/>
        <w:ind w:left="0"/>
        <w:jc w:val="both"/>
        <w:rPr>
          <w:rFonts w:ascii="Calibri" w:hAnsi="Calibri" w:cs="Times New Roman"/>
          <w:b/>
          <w:i/>
        </w:rPr>
      </w:pPr>
    </w:p>
    <w:p w14:paraId="5251273E" w14:textId="77777777" w:rsidR="008932CA" w:rsidRDefault="008932CA" w:rsidP="008932CA">
      <w:pPr>
        <w:pStyle w:val="ListParagraph"/>
        <w:numPr>
          <w:ilvl w:val="0"/>
          <w:numId w:val="9"/>
        </w:numPr>
        <w:spacing w:line="360" w:lineRule="auto"/>
        <w:jc w:val="both"/>
        <w:rPr>
          <w:rFonts w:ascii="Calibri" w:hAnsi="Calibri" w:cs="Times New Roman"/>
        </w:rPr>
      </w:pPr>
      <w:r>
        <w:rPr>
          <w:rFonts w:ascii="Calibri" w:hAnsi="Calibri" w:cs="Times New Roman"/>
        </w:rPr>
        <w:t xml:space="preserve">To guarantee </w:t>
      </w:r>
      <w:r w:rsidRPr="0007733F">
        <w:rPr>
          <w:rFonts w:ascii="Calibri" w:hAnsi="Calibri" w:cs="Times New Roman"/>
          <w:i/>
        </w:rPr>
        <w:t>substantive equality</w:t>
      </w:r>
      <w:r>
        <w:rPr>
          <w:rFonts w:ascii="Calibri" w:hAnsi="Calibri" w:cs="Times New Roman"/>
        </w:rPr>
        <w:t>, the UN’s existing monitoring and accountability processes must be accessible to women and girls and their organizations and advocates, to ensure access to justice, and provide effective monitoring and reporting on state compliance with the legal framework, including by:</w:t>
      </w:r>
    </w:p>
    <w:p w14:paraId="0E5B4EB1" w14:textId="77777777" w:rsidR="008932CA" w:rsidRPr="00AA5083" w:rsidRDefault="008932CA" w:rsidP="008932CA">
      <w:pPr>
        <w:pStyle w:val="ListParagraph"/>
        <w:jc w:val="both"/>
        <w:rPr>
          <w:rFonts w:ascii="Calibri" w:hAnsi="Calibri" w:cs="Times New Roman"/>
        </w:rPr>
      </w:pPr>
    </w:p>
    <w:p w14:paraId="5FE6959F" w14:textId="77777777" w:rsidR="008932CA" w:rsidRDefault="008932CA" w:rsidP="008932CA">
      <w:pPr>
        <w:pStyle w:val="ListParagraph"/>
        <w:numPr>
          <w:ilvl w:val="1"/>
          <w:numId w:val="9"/>
        </w:numPr>
        <w:spacing w:line="360" w:lineRule="auto"/>
        <w:jc w:val="both"/>
        <w:rPr>
          <w:rFonts w:ascii="Calibri" w:hAnsi="Calibri" w:cs="Times New Roman"/>
        </w:rPr>
      </w:pPr>
      <w:r>
        <w:rPr>
          <w:rFonts w:ascii="Calibri" w:hAnsi="Calibri" w:cs="Times New Roman"/>
        </w:rPr>
        <w:t>Creating a dedicated “Women, Peace and Security” section in key Universal Periodic Review (UPR) and CSW reports and outcome documents,</w:t>
      </w:r>
      <w:r w:rsidRPr="00F62D05">
        <w:rPr>
          <w:rFonts w:ascii="Calibri" w:hAnsi="Calibri" w:cs="Times New Roman"/>
        </w:rPr>
        <w:t xml:space="preserve"> and </w:t>
      </w:r>
      <w:r>
        <w:rPr>
          <w:rFonts w:ascii="Calibri" w:hAnsi="Calibri" w:cs="Times New Roman"/>
        </w:rPr>
        <w:t>building the capacity of government officials and civil society, especially women’s and girls’ organizations, for gender-responsive reporting on conflict;</w:t>
      </w:r>
      <w:r w:rsidRPr="00F62D05">
        <w:rPr>
          <w:rFonts w:ascii="Calibri" w:hAnsi="Calibri" w:cs="Times New Roman"/>
        </w:rPr>
        <w:t xml:space="preserve"> </w:t>
      </w:r>
    </w:p>
    <w:p w14:paraId="2C06CCE1" w14:textId="77777777" w:rsidR="008932CA" w:rsidRDefault="008932CA" w:rsidP="008932CA">
      <w:pPr>
        <w:pStyle w:val="ListParagraph"/>
        <w:ind w:left="1440"/>
        <w:jc w:val="both"/>
        <w:rPr>
          <w:rFonts w:ascii="Calibri" w:hAnsi="Calibri" w:cs="Times New Roman"/>
        </w:rPr>
      </w:pPr>
    </w:p>
    <w:p w14:paraId="1BEE9E98" w14:textId="77777777" w:rsidR="008932CA" w:rsidRDefault="008932CA" w:rsidP="008932CA">
      <w:pPr>
        <w:pStyle w:val="ListParagraph"/>
        <w:numPr>
          <w:ilvl w:val="1"/>
          <w:numId w:val="9"/>
        </w:numPr>
        <w:spacing w:line="360" w:lineRule="auto"/>
        <w:jc w:val="both"/>
        <w:rPr>
          <w:rFonts w:ascii="Calibri" w:hAnsi="Calibri" w:cs="Times New Roman"/>
        </w:rPr>
      </w:pPr>
      <w:r>
        <w:rPr>
          <w:rFonts w:ascii="Calibri" w:hAnsi="Calibri" w:cs="Times New Roman"/>
        </w:rPr>
        <w:t>Mainstreaming the CEDAW GR No. 30 into CEDAW country and shadow reporting, and budgeting for adequate financial and human resources to the CEDAW Committee, governments, women’s and girls’ organizations and others to provide capacity-building training on implementing the SCR 1325 and the CEDAW GR. No 30 in the context of the overarching legal framework on women, peace and security.</w:t>
      </w:r>
    </w:p>
    <w:p w14:paraId="2C46F24E" w14:textId="77777777" w:rsidR="008932CA" w:rsidRPr="00B2494C" w:rsidRDefault="008932CA" w:rsidP="008932CA">
      <w:pPr>
        <w:pStyle w:val="ListParagraph"/>
        <w:rPr>
          <w:rFonts w:ascii="Calibri" w:hAnsi="Calibri" w:cs="Times New Roman"/>
        </w:rPr>
      </w:pPr>
    </w:p>
    <w:p w14:paraId="38CA5FF2" w14:textId="77777777" w:rsidR="008932CA" w:rsidRPr="007B54BE" w:rsidRDefault="008932CA" w:rsidP="008932CA">
      <w:pPr>
        <w:pStyle w:val="ListParagraph"/>
        <w:numPr>
          <w:ilvl w:val="1"/>
          <w:numId w:val="9"/>
        </w:numPr>
        <w:spacing w:line="360" w:lineRule="auto"/>
        <w:jc w:val="both"/>
        <w:rPr>
          <w:rFonts w:ascii="Calibri" w:hAnsi="Calibri" w:cs="Times New Roman"/>
        </w:rPr>
      </w:pPr>
      <w:r>
        <w:rPr>
          <w:rFonts w:ascii="Calibri" w:hAnsi="Calibri" w:cs="Times New Roman"/>
        </w:rPr>
        <w:t xml:space="preserve">Improving the CEDAW communication procedure by publicising its availability and enabling women and girls to meaningfully access the procedure, including by </w:t>
      </w:r>
      <w:r w:rsidRPr="00471761">
        <w:rPr>
          <w:rFonts w:ascii="Calibri" w:hAnsi="Calibri"/>
        </w:rPr>
        <w:t xml:space="preserve">removing the requirement to exhaust domestic remedies, providing legal aid, and publicising </w:t>
      </w:r>
      <w:r>
        <w:rPr>
          <w:rFonts w:ascii="Calibri" w:hAnsi="Calibri"/>
        </w:rPr>
        <w:t>all decisions.</w:t>
      </w:r>
    </w:p>
    <w:p w14:paraId="3D46B196" w14:textId="77777777" w:rsidR="00AE75D5" w:rsidRDefault="00AE75D5" w:rsidP="00CF4DA2">
      <w:pPr>
        <w:pStyle w:val="ListParagraph"/>
        <w:spacing w:after="180"/>
        <w:ind w:left="0"/>
        <w:jc w:val="both"/>
        <w:rPr>
          <w:rFonts w:ascii="Calibri" w:eastAsiaTheme="minorHAnsi" w:hAnsi="Calibri" w:cs="Times New Roman"/>
          <w:b/>
          <w:color w:val="1F497D" w:themeColor="text2"/>
          <w:u w:val="single"/>
        </w:rPr>
      </w:pPr>
    </w:p>
    <w:p w14:paraId="191EAEFD" w14:textId="77777777" w:rsidR="00E07988" w:rsidRDefault="00E07988" w:rsidP="00CF4DA2">
      <w:pPr>
        <w:pStyle w:val="ListParagraph"/>
        <w:spacing w:after="180"/>
        <w:ind w:left="0"/>
        <w:jc w:val="both"/>
        <w:rPr>
          <w:rFonts w:ascii="Calibri" w:eastAsiaTheme="minorHAnsi" w:hAnsi="Calibri" w:cs="Times New Roman"/>
          <w:b/>
          <w:color w:val="1F497D" w:themeColor="text2"/>
          <w:u w:val="single"/>
        </w:rPr>
      </w:pPr>
    </w:p>
    <w:p w14:paraId="492BE72B" w14:textId="77777777" w:rsidR="00E07988" w:rsidRDefault="00E07988" w:rsidP="00CF4DA2">
      <w:pPr>
        <w:pStyle w:val="ListParagraph"/>
        <w:spacing w:after="180"/>
        <w:ind w:left="0"/>
        <w:jc w:val="both"/>
        <w:rPr>
          <w:rFonts w:ascii="Calibri" w:eastAsiaTheme="minorHAnsi" w:hAnsi="Calibri" w:cs="Times New Roman"/>
          <w:b/>
          <w:color w:val="1F497D" w:themeColor="text2"/>
          <w:u w:val="single"/>
        </w:rPr>
      </w:pPr>
    </w:p>
    <w:p w14:paraId="34502C7F" w14:textId="77777777" w:rsidR="00E07988" w:rsidRDefault="00E07988" w:rsidP="00CF4DA2">
      <w:pPr>
        <w:pStyle w:val="ListParagraph"/>
        <w:spacing w:after="180"/>
        <w:ind w:left="0"/>
        <w:jc w:val="both"/>
        <w:rPr>
          <w:rFonts w:ascii="Calibri" w:eastAsiaTheme="minorHAnsi" w:hAnsi="Calibri" w:cs="Times New Roman"/>
          <w:b/>
          <w:color w:val="1F497D" w:themeColor="text2"/>
          <w:u w:val="single"/>
        </w:rPr>
      </w:pPr>
    </w:p>
    <w:p w14:paraId="515F16E5" w14:textId="76522095" w:rsidR="009C4D86" w:rsidRPr="00CF4DA2" w:rsidRDefault="009C4D86" w:rsidP="00CF4DA2">
      <w:pPr>
        <w:pStyle w:val="ListParagraph"/>
        <w:spacing w:after="180"/>
        <w:ind w:left="0"/>
        <w:jc w:val="both"/>
        <w:rPr>
          <w:rFonts w:ascii="Calibri" w:eastAsiaTheme="minorHAnsi" w:hAnsi="Calibri" w:cs="Times New Roman"/>
          <w:b/>
          <w:color w:val="1F497D" w:themeColor="text2"/>
          <w:u w:val="single"/>
        </w:rPr>
      </w:pPr>
      <w:r w:rsidRPr="00CF4DA2">
        <w:rPr>
          <w:rFonts w:ascii="Calibri" w:eastAsiaTheme="minorHAnsi" w:hAnsi="Calibri" w:cs="Times New Roman"/>
          <w:b/>
          <w:color w:val="1F497D" w:themeColor="text2"/>
          <w:u w:val="single"/>
        </w:rPr>
        <w:lastRenderedPageBreak/>
        <w:t xml:space="preserve">Recommendation 5: To allow for transformative equality, </w:t>
      </w:r>
      <w:proofErr w:type="gramStart"/>
      <w:r w:rsidRPr="00CF4DA2">
        <w:rPr>
          <w:rFonts w:ascii="Calibri" w:eastAsiaTheme="minorHAnsi" w:hAnsi="Calibri" w:cs="Times New Roman"/>
          <w:b/>
          <w:color w:val="1F497D" w:themeColor="text2"/>
          <w:u w:val="single"/>
        </w:rPr>
        <w:t>which is provided for in the legal framework, especially under CEDAW, including by providing transformative remedies for women and girl victims of rights violations</w:t>
      </w:r>
      <w:proofErr w:type="gramEnd"/>
      <w:r w:rsidRPr="00CF4DA2">
        <w:rPr>
          <w:rFonts w:ascii="Calibri" w:eastAsiaTheme="minorHAnsi" w:hAnsi="Calibri" w:cs="Times New Roman"/>
          <w:b/>
          <w:color w:val="1F497D" w:themeColor="text2"/>
          <w:u w:val="single"/>
        </w:rPr>
        <w:t xml:space="preserve"> </w:t>
      </w:r>
    </w:p>
    <w:p w14:paraId="150AAE87" w14:textId="77777777" w:rsidR="00B2494C" w:rsidRPr="005460C4" w:rsidRDefault="00B2494C" w:rsidP="009C4D86">
      <w:pPr>
        <w:jc w:val="both"/>
        <w:rPr>
          <w:rFonts w:ascii="Calibri" w:hAnsi="Calibri" w:cs="Times New Roman"/>
        </w:rPr>
      </w:pPr>
    </w:p>
    <w:p w14:paraId="47FE2C1A" w14:textId="6909D87A" w:rsidR="009C4D86" w:rsidRDefault="009C4D86" w:rsidP="00AE75D5">
      <w:pPr>
        <w:pStyle w:val="ListParagraph"/>
        <w:numPr>
          <w:ilvl w:val="0"/>
          <w:numId w:val="9"/>
        </w:numPr>
        <w:spacing w:line="360" w:lineRule="auto"/>
        <w:jc w:val="both"/>
        <w:rPr>
          <w:rFonts w:ascii="Calibri" w:hAnsi="Calibri" w:cs="Times New Roman"/>
        </w:rPr>
      </w:pPr>
      <w:r>
        <w:rPr>
          <w:rFonts w:ascii="Calibri" w:hAnsi="Calibri" w:cs="Times New Roman"/>
        </w:rPr>
        <w:t xml:space="preserve">To </w:t>
      </w:r>
      <w:r w:rsidR="00AF0B63">
        <w:rPr>
          <w:rFonts w:ascii="Calibri" w:hAnsi="Calibri" w:cs="Times New Roman"/>
        </w:rPr>
        <w:t>guarantee</w:t>
      </w:r>
      <w:r>
        <w:rPr>
          <w:rFonts w:ascii="Calibri" w:hAnsi="Calibri" w:cs="Times New Roman"/>
        </w:rPr>
        <w:t xml:space="preserve"> </w:t>
      </w:r>
      <w:r w:rsidRPr="0007733F">
        <w:rPr>
          <w:rFonts w:ascii="Calibri" w:hAnsi="Calibri" w:cs="Times New Roman"/>
          <w:i/>
        </w:rPr>
        <w:t>transformative equality</w:t>
      </w:r>
      <w:r>
        <w:rPr>
          <w:rFonts w:ascii="Calibri" w:hAnsi="Calibri" w:cs="Times New Roman"/>
        </w:rPr>
        <w:t>, international, regional and national courts</w:t>
      </w:r>
      <w:r w:rsidR="00AF0B63">
        <w:rPr>
          <w:rFonts w:ascii="Calibri" w:hAnsi="Calibri" w:cs="Times New Roman"/>
        </w:rPr>
        <w:t xml:space="preserve">, judicial and quasi-judicial bodies, informal justice mechanisms and all relevant bodies with the power to provide remedies to victims of rights violations, including those in transitional justice situations, should </w:t>
      </w:r>
      <w:r>
        <w:rPr>
          <w:rFonts w:ascii="Calibri" w:hAnsi="Calibri" w:cs="Times New Roman"/>
        </w:rPr>
        <w:t xml:space="preserve">apply transformative remedies that both provide meaningful redress for victims </w:t>
      </w:r>
      <w:r w:rsidR="00AF0B63">
        <w:rPr>
          <w:rFonts w:ascii="Calibri" w:hAnsi="Calibri" w:cs="Times New Roman"/>
        </w:rPr>
        <w:t>and survivors</w:t>
      </w:r>
      <w:r>
        <w:rPr>
          <w:rFonts w:ascii="Calibri" w:hAnsi="Calibri" w:cs="Times New Roman"/>
        </w:rPr>
        <w:t xml:space="preserve">, and hold perpetrators fully accountable for their actions. </w:t>
      </w:r>
    </w:p>
    <w:p w14:paraId="38F33118" w14:textId="77777777" w:rsidR="004E5EBC" w:rsidRDefault="004E5EBC" w:rsidP="004E5EBC">
      <w:pPr>
        <w:pStyle w:val="ListParagraph"/>
        <w:ind w:left="0"/>
        <w:jc w:val="both"/>
        <w:rPr>
          <w:rFonts w:ascii="Calibri" w:hAnsi="Calibri" w:cs="Times New Roman"/>
        </w:rPr>
      </w:pPr>
    </w:p>
    <w:p w14:paraId="55D630F5" w14:textId="3842DC43" w:rsidR="00B2494C" w:rsidRDefault="004E5EBC" w:rsidP="00AE75D5">
      <w:pPr>
        <w:pStyle w:val="ListParagraph"/>
        <w:spacing w:line="360" w:lineRule="auto"/>
        <w:ind w:left="0"/>
        <w:jc w:val="both"/>
        <w:rPr>
          <w:rFonts w:ascii="Calibri" w:hAnsi="Calibri" w:cs="Times New Roman"/>
        </w:rPr>
      </w:pPr>
      <w:r>
        <w:rPr>
          <w:rFonts w:ascii="Calibri" w:hAnsi="Calibri" w:cs="Times New Roman"/>
        </w:rPr>
        <w:t xml:space="preserve">Section 1 </w:t>
      </w:r>
      <w:r w:rsidR="0026176D">
        <w:rPr>
          <w:rFonts w:ascii="Calibri" w:hAnsi="Calibri" w:cs="Times New Roman"/>
        </w:rPr>
        <w:t xml:space="preserve">shows that making the normative case </w:t>
      </w:r>
      <w:r>
        <w:rPr>
          <w:rFonts w:ascii="Calibri" w:hAnsi="Calibri" w:cs="Times New Roman"/>
        </w:rPr>
        <w:t>requires seeing SCR 1325</w:t>
      </w:r>
      <w:r w:rsidR="0026176D">
        <w:rPr>
          <w:rFonts w:ascii="Calibri" w:hAnsi="Calibri" w:cs="Times New Roman"/>
        </w:rPr>
        <w:t xml:space="preserve"> and its related resolutions as more than political documents, fixed to </w:t>
      </w:r>
      <w:r>
        <w:rPr>
          <w:rFonts w:ascii="Calibri" w:hAnsi="Calibri" w:cs="Times New Roman"/>
        </w:rPr>
        <w:t>particular moment</w:t>
      </w:r>
      <w:r w:rsidR="0026176D">
        <w:rPr>
          <w:rFonts w:ascii="Calibri" w:hAnsi="Calibri" w:cs="Times New Roman"/>
        </w:rPr>
        <w:t>s</w:t>
      </w:r>
      <w:r>
        <w:rPr>
          <w:rFonts w:ascii="Calibri" w:hAnsi="Calibri" w:cs="Times New Roman"/>
        </w:rPr>
        <w:t xml:space="preserve"> in the </w:t>
      </w:r>
      <w:r w:rsidR="00C20E43">
        <w:rPr>
          <w:rFonts w:ascii="Calibri" w:hAnsi="Calibri" w:cs="Times New Roman"/>
        </w:rPr>
        <w:t xml:space="preserve">Security </w:t>
      </w:r>
      <w:r>
        <w:rPr>
          <w:rFonts w:ascii="Calibri" w:hAnsi="Calibri" w:cs="Times New Roman"/>
        </w:rPr>
        <w:t xml:space="preserve">Council’s history. </w:t>
      </w:r>
      <w:r w:rsidR="00AF0B63">
        <w:rPr>
          <w:rFonts w:ascii="Calibri" w:hAnsi="Calibri" w:cs="Times New Roman"/>
        </w:rPr>
        <w:t xml:space="preserve">Making the normative case </w:t>
      </w:r>
      <w:r>
        <w:rPr>
          <w:rFonts w:ascii="Calibri" w:hAnsi="Calibri" w:cs="Times New Roman"/>
        </w:rPr>
        <w:t>means understanding the legal obl</w:t>
      </w:r>
      <w:r w:rsidR="0026176D">
        <w:rPr>
          <w:rFonts w:ascii="Calibri" w:hAnsi="Calibri" w:cs="Times New Roman"/>
        </w:rPr>
        <w:t>igations that underpin SCR 1325 and the subsequent resoluti</w:t>
      </w:r>
      <w:r w:rsidR="00AF0B63">
        <w:rPr>
          <w:rFonts w:ascii="Calibri" w:hAnsi="Calibri" w:cs="Times New Roman"/>
        </w:rPr>
        <w:t>ons on WPS. Section 1 situates</w:t>
      </w:r>
      <w:r w:rsidR="0026176D">
        <w:rPr>
          <w:rFonts w:ascii="Calibri" w:hAnsi="Calibri" w:cs="Times New Roman"/>
        </w:rPr>
        <w:t xml:space="preserve"> the resolutions on WPS </w:t>
      </w:r>
      <w:r w:rsidR="008D35DB">
        <w:rPr>
          <w:rFonts w:ascii="Calibri" w:hAnsi="Calibri" w:cs="Times New Roman"/>
        </w:rPr>
        <w:t xml:space="preserve">in the context of an </w:t>
      </w:r>
      <w:r>
        <w:rPr>
          <w:rFonts w:ascii="Calibri" w:hAnsi="Calibri" w:cs="Times New Roman"/>
        </w:rPr>
        <w:t>established and growing legal framework that recognises the duties</w:t>
      </w:r>
      <w:r w:rsidR="0026176D">
        <w:rPr>
          <w:rFonts w:ascii="Calibri" w:hAnsi="Calibri" w:cs="Times New Roman"/>
        </w:rPr>
        <w:t xml:space="preserve"> to uphold the human rights of women, girls, men and boys,</w:t>
      </w:r>
      <w:r>
        <w:rPr>
          <w:rFonts w:ascii="Calibri" w:hAnsi="Calibri" w:cs="Times New Roman"/>
        </w:rPr>
        <w:t xml:space="preserve"> held by all parties involved in conflicts, including states, non-state actors, and internati</w:t>
      </w:r>
      <w:r w:rsidR="0026176D">
        <w:rPr>
          <w:rFonts w:ascii="Calibri" w:hAnsi="Calibri" w:cs="Times New Roman"/>
        </w:rPr>
        <w:t>onal and regional organizations. The legal framework</w:t>
      </w:r>
      <w:r w:rsidR="00B1672D">
        <w:rPr>
          <w:rFonts w:ascii="Calibri" w:hAnsi="Calibri" w:cs="Times New Roman"/>
        </w:rPr>
        <w:t xml:space="preserve">, </w:t>
      </w:r>
      <w:r w:rsidR="008D35DB">
        <w:rPr>
          <w:rFonts w:ascii="Calibri" w:hAnsi="Calibri" w:cs="Times New Roman"/>
        </w:rPr>
        <w:t xml:space="preserve">when </w:t>
      </w:r>
      <w:r w:rsidR="00B1672D">
        <w:rPr>
          <w:rFonts w:ascii="Calibri" w:hAnsi="Calibri" w:cs="Times New Roman"/>
        </w:rPr>
        <w:t>fully implemented,</w:t>
      </w:r>
      <w:r>
        <w:rPr>
          <w:rFonts w:ascii="Calibri" w:hAnsi="Calibri" w:cs="Times New Roman"/>
        </w:rPr>
        <w:t xml:space="preserve"> allows women and girls, and men and boys, to claim their rights and hold perpetrators accountable for violations of those rights, in ways </w:t>
      </w:r>
      <w:r w:rsidR="0026176D">
        <w:rPr>
          <w:rFonts w:ascii="Calibri" w:hAnsi="Calibri" w:cs="Times New Roman"/>
        </w:rPr>
        <w:t>that guarantee</w:t>
      </w:r>
      <w:r>
        <w:rPr>
          <w:rFonts w:ascii="Calibri" w:hAnsi="Calibri" w:cs="Times New Roman"/>
        </w:rPr>
        <w:t xml:space="preserve"> </w:t>
      </w:r>
      <w:r w:rsidR="008D35DB">
        <w:rPr>
          <w:rFonts w:ascii="Calibri" w:hAnsi="Calibri" w:cs="Times New Roman"/>
        </w:rPr>
        <w:t xml:space="preserve">both </w:t>
      </w:r>
      <w:r>
        <w:rPr>
          <w:rFonts w:ascii="Calibri" w:hAnsi="Calibri" w:cs="Times New Roman"/>
        </w:rPr>
        <w:t>substantive</w:t>
      </w:r>
      <w:r w:rsidR="0026176D">
        <w:rPr>
          <w:rFonts w:ascii="Calibri" w:hAnsi="Calibri" w:cs="Times New Roman"/>
        </w:rPr>
        <w:t xml:space="preserve"> </w:t>
      </w:r>
      <w:r w:rsidR="008D35DB">
        <w:rPr>
          <w:rFonts w:ascii="Calibri" w:hAnsi="Calibri" w:cs="Times New Roman"/>
        </w:rPr>
        <w:t>and</w:t>
      </w:r>
      <w:r>
        <w:rPr>
          <w:rFonts w:ascii="Calibri" w:hAnsi="Calibri" w:cs="Times New Roman"/>
        </w:rPr>
        <w:t xml:space="preserve"> </w:t>
      </w:r>
      <w:r w:rsidR="0026176D">
        <w:rPr>
          <w:rFonts w:ascii="Calibri" w:hAnsi="Calibri" w:cs="Times New Roman"/>
        </w:rPr>
        <w:t>transformative equality.</w:t>
      </w:r>
      <w:r w:rsidR="006251E3">
        <w:rPr>
          <w:rFonts w:ascii="Calibri" w:hAnsi="Calibri" w:cs="Times New Roman"/>
        </w:rPr>
        <w:t xml:space="preserve"> </w:t>
      </w:r>
    </w:p>
    <w:p w14:paraId="2DD11427" w14:textId="77777777" w:rsidR="00B2494C" w:rsidRDefault="00B2494C" w:rsidP="004E5EBC">
      <w:pPr>
        <w:pStyle w:val="ListParagraph"/>
        <w:ind w:left="0"/>
        <w:jc w:val="both"/>
        <w:rPr>
          <w:rFonts w:ascii="Calibri" w:hAnsi="Calibri" w:cs="Times New Roman"/>
        </w:rPr>
      </w:pPr>
    </w:p>
    <w:p w14:paraId="64AF3511" w14:textId="1520FE86" w:rsidR="004E5EBC" w:rsidRDefault="006251E3" w:rsidP="00AE75D5">
      <w:pPr>
        <w:pStyle w:val="ListParagraph"/>
        <w:spacing w:line="360" w:lineRule="auto"/>
        <w:ind w:left="0"/>
        <w:jc w:val="both"/>
        <w:rPr>
          <w:rFonts w:ascii="Calibri" w:hAnsi="Calibri" w:cs="Times New Roman"/>
        </w:rPr>
      </w:pPr>
      <w:r>
        <w:rPr>
          <w:rFonts w:ascii="Calibri" w:hAnsi="Calibri" w:cs="Times New Roman"/>
        </w:rPr>
        <w:t xml:space="preserve">The following sections </w:t>
      </w:r>
      <w:r w:rsidR="00CF7112">
        <w:rPr>
          <w:rFonts w:ascii="Calibri" w:hAnsi="Calibri" w:cs="Times New Roman"/>
        </w:rPr>
        <w:t>consider how the legal framework could be implemented, at the country level (Section 2) and via processes and remedies available to victims of rights violations</w:t>
      </w:r>
      <w:r w:rsidR="00A6205A">
        <w:rPr>
          <w:rFonts w:ascii="Calibri" w:hAnsi="Calibri" w:cs="Times New Roman"/>
        </w:rPr>
        <w:t xml:space="preserve"> (Section 3)</w:t>
      </w:r>
      <w:r w:rsidR="00CF7112">
        <w:rPr>
          <w:rFonts w:ascii="Calibri" w:hAnsi="Calibri" w:cs="Times New Roman"/>
        </w:rPr>
        <w:t xml:space="preserve">. </w:t>
      </w:r>
    </w:p>
    <w:p w14:paraId="3093B4BA" w14:textId="77777777" w:rsidR="004E5EBC" w:rsidRDefault="004E5EBC" w:rsidP="004E5EBC">
      <w:pPr>
        <w:pStyle w:val="ListParagraph"/>
        <w:ind w:left="0"/>
        <w:jc w:val="both"/>
        <w:rPr>
          <w:rFonts w:ascii="Calibri" w:hAnsi="Calibri" w:cs="Times New Roman"/>
        </w:rPr>
      </w:pPr>
    </w:p>
    <w:p w14:paraId="66B6361C" w14:textId="56C06B7D" w:rsidR="001611F0" w:rsidRDefault="004E5EBC" w:rsidP="00034169">
      <w:pPr>
        <w:pStyle w:val="ListParagraph"/>
        <w:spacing w:line="360" w:lineRule="auto"/>
        <w:ind w:left="0"/>
        <w:jc w:val="both"/>
        <w:rPr>
          <w:rFonts w:ascii="Calibri" w:hAnsi="Calibri" w:cs="Times New Roman"/>
        </w:rPr>
      </w:pPr>
      <w:r>
        <w:rPr>
          <w:rFonts w:ascii="Calibri" w:hAnsi="Calibri" w:cs="Times New Roman"/>
        </w:rPr>
        <w:t xml:space="preserve">Section 2 of the submission considers </w:t>
      </w:r>
      <w:r w:rsidR="003C40D4">
        <w:rPr>
          <w:rFonts w:ascii="Calibri" w:hAnsi="Calibri" w:cs="Times New Roman"/>
        </w:rPr>
        <w:t xml:space="preserve">how the legal framework on WPS outlined in Section 1 could be implemented, via </w:t>
      </w:r>
      <w:r w:rsidR="00561836">
        <w:rPr>
          <w:rFonts w:ascii="Calibri" w:hAnsi="Calibri" w:cs="Times New Roman"/>
        </w:rPr>
        <w:t xml:space="preserve">National Action Plans (NAPs). This section </w:t>
      </w:r>
      <w:r w:rsidR="00AC36D1">
        <w:rPr>
          <w:rFonts w:ascii="Calibri" w:hAnsi="Calibri" w:cs="Times New Roman"/>
        </w:rPr>
        <w:t>contains</w:t>
      </w:r>
      <w:r>
        <w:rPr>
          <w:rFonts w:ascii="Calibri" w:hAnsi="Calibri" w:cs="Times New Roman"/>
        </w:rPr>
        <w:t xml:space="preserve"> six case studies of SCR 1325 </w:t>
      </w:r>
      <w:r w:rsidR="00AC36D1">
        <w:rPr>
          <w:rFonts w:ascii="Calibri" w:hAnsi="Calibri" w:cs="Times New Roman"/>
        </w:rPr>
        <w:t>NAPs</w:t>
      </w:r>
      <w:r>
        <w:rPr>
          <w:rFonts w:ascii="Calibri" w:hAnsi="Calibri" w:cs="Times New Roman"/>
        </w:rPr>
        <w:t xml:space="preserve"> from different regions around the world. The NAPs, recommended by the Security Council to governments to better implement SCR 1325, are </w:t>
      </w:r>
      <w:r w:rsidR="00561836">
        <w:rPr>
          <w:rFonts w:ascii="Calibri" w:hAnsi="Calibri" w:cs="Times New Roman"/>
        </w:rPr>
        <w:t>one of the main</w:t>
      </w:r>
      <w:r>
        <w:rPr>
          <w:rFonts w:ascii="Calibri" w:hAnsi="Calibri" w:cs="Times New Roman"/>
        </w:rPr>
        <w:t xml:space="preserve"> mechanism</w:t>
      </w:r>
      <w:r w:rsidR="00561836">
        <w:rPr>
          <w:rFonts w:ascii="Calibri" w:hAnsi="Calibri" w:cs="Times New Roman"/>
        </w:rPr>
        <w:t>s</w:t>
      </w:r>
      <w:r>
        <w:rPr>
          <w:rFonts w:ascii="Calibri" w:hAnsi="Calibri" w:cs="Times New Roman"/>
        </w:rPr>
        <w:t xml:space="preserve"> that the </w:t>
      </w:r>
      <w:r w:rsidR="00AC36D1">
        <w:rPr>
          <w:rFonts w:ascii="Calibri" w:hAnsi="Calibri" w:cs="Times New Roman"/>
        </w:rPr>
        <w:t xml:space="preserve">Security </w:t>
      </w:r>
      <w:r>
        <w:rPr>
          <w:rFonts w:ascii="Calibri" w:hAnsi="Calibri" w:cs="Times New Roman"/>
        </w:rPr>
        <w:t xml:space="preserve">Council, </w:t>
      </w:r>
      <w:r w:rsidR="00B1672D">
        <w:rPr>
          <w:rFonts w:ascii="Calibri" w:hAnsi="Calibri" w:cs="Times New Roman"/>
        </w:rPr>
        <w:t>other UN organs and bodies</w:t>
      </w:r>
      <w:r>
        <w:rPr>
          <w:rFonts w:ascii="Calibri" w:hAnsi="Calibri" w:cs="Times New Roman"/>
        </w:rPr>
        <w:t xml:space="preserve">, </w:t>
      </w:r>
      <w:r w:rsidR="00AC36D1">
        <w:rPr>
          <w:rFonts w:ascii="Calibri" w:hAnsi="Calibri" w:cs="Times New Roman"/>
        </w:rPr>
        <w:t>states, non-governmental organizations (</w:t>
      </w:r>
      <w:r>
        <w:rPr>
          <w:rFonts w:ascii="Calibri" w:hAnsi="Calibri" w:cs="Times New Roman"/>
        </w:rPr>
        <w:t>NGOs</w:t>
      </w:r>
      <w:r w:rsidR="00AC36D1">
        <w:rPr>
          <w:rFonts w:ascii="Calibri" w:hAnsi="Calibri" w:cs="Times New Roman"/>
        </w:rPr>
        <w:t>)</w:t>
      </w:r>
      <w:r>
        <w:rPr>
          <w:rFonts w:ascii="Calibri" w:hAnsi="Calibri" w:cs="Times New Roman"/>
        </w:rPr>
        <w:t xml:space="preserve"> and others use to track the enforcement of the </w:t>
      </w:r>
      <w:r w:rsidR="00561836">
        <w:rPr>
          <w:rFonts w:ascii="Calibri" w:hAnsi="Calibri" w:cs="Times New Roman"/>
        </w:rPr>
        <w:t>Security Council resolutions in women, peace and security</w:t>
      </w:r>
      <w:r>
        <w:rPr>
          <w:rFonts w:ascii="Calibri" w:hAnsi="Calibri" w:cs="Times New Roman"/>
        </w:rPr>
        <w:t xml:space="preserve">. The case studies include a range of countries </w:t>
      </w:r>
      <w:r w:rsidR="00AC36D1">
        <w:rPr>
          <w:rFonts w:ascii="Calibri" w:hAnsi="Calibri" w:cs="Times New Roman"/>
        </w:rPr>
        <w:t>at</w:t>
      </w:r>
      <w:r>
        <w:rPr>
          <w:rFonts w:ascii="Calibri" w:hAnsi="Calibri" w:cs="Times New Roman"/>
        </w:rPr>
        <w:t xml:space="preserve"> various stages of the conflict </w:t>
      </w:r>
      <w:r w:rsidR="00561836">
        <w:rPr>
          <w:rFonts w:ascii="Calibri" w:hAnsi="Calibri" w:cs="Times New Roman"/>
        </w:rPr>
        <w:t xml:space="preserve">process </w:t>
      </w:r>
      <w:r>
        <w:rPr>
          <w:rFonts w:ascii="Calibri" w:hAnsi="Calibri" w:cs="Times New Roman"/>
        </w:rPr>
        <w:t>(conflict prevention, conflict, conflict resolution, post-conflict and transitional justice s</w:t>
      </w:r>
      <w:r w:rsidR="00C7221E">
        <w:rPr>
          <w:rFonts w:ascii="Calibri" w:hAnsi="Calibri" w:cs="Times New Roman"/>
        </w:rPr>
        <w:t>ituations</w:t>
      </w:r>
      <w:r>
        <w:rPr>
          <w:rFonts w:ascii="Calibri" w:hAnsi="Calibri" w:cs="Times New Roman"/>
        </w:rPr>
        <w:t>).</w:t>
      </w:r>
      <w:r w:rsidR="00C7221E">
        <w:rPr>
          <w:rFonts w:ascii="Calibri" w:hAnsi="Calibri" w:cs="Times New Roman"/>
        </w:rPr>
        <w:t xml:space="preserve"> Most countries have been chosen because of an existing or multiple NAPs. Myanmar has been chosen as a country that is moving towards adopting a NAP. The case studies are: </w:t>
      </w:r>
    </w:p>
    <w:p w14:paraId="00625503" w14:textId="0BEC328F" w:rsidR="004E5EBC" w:rsidRDefault="004E5EBC" w:rsidP="001611F0">
      <w:pPr>
        <w:pStyle w:val="ListParagraph"/>
        <w:numPr>
          <w:ilvl w:val="0"/>
          <w:numId w:val="8"/>
        </w:numPr>
        <w:spacing w:line="360" w:lineRule="auto"/>
        <w:jc w:val="both"/>
        <w:rPr>
          <w:rFonts w:ascii="Calibri" w:hAnsi="Calibri" w:cs="Times New Roman"/>
        </w:rPr>
      </w:pPr>
      <w:r>
        <w:rPr>
          <w:rFonts w:ascii="Calibri" w:hAnsi="Calibri" w:cs="Times New Roman"/>
        </w:rPr>
        <w:t>The Democratic Republic of the Congo (Africa)</w:t>
      </w:r>
    </w:p>
    <w:p w14:paraId="52127CC5" w14:textId="7A513BD5" w:rsidR="00DB3C66" w:rsidRPr="00DB3C66" w:rsidRDefault="004E5EBC" w:rsidP="00AE75D5">
      <w:pPr>
        <w:pStyle w:val="ListParagraph"/>
        <w:numPr>
          <w:ilvl w:val="0"/>
          <w:numId w:val="8"/>
        </w:numPr>
        <w:spacing w:line="360" w:lineRule="auto"/>
        <w:jc w:val="both"/>
        <w:rPr>
          <w:rFonts w:ascii="Calibri" w:hAnsi="Calibri" w:cs="Times New Roman"/>
        </w:rPr>
      </w:pPr>
      <w:r>
        <w:rPr>
          <w:rFonts w:ascii="Calibri" w:hAnsi="Calibri" w:cs="Times New Roman"/>
        </w:rPr>
        <w:t xml:space="preserve">Myanmar </w:t>
      </w:r>
      <w:r w:rsidR="00DB3C66">
        <w:rPr>
          <w:rFonts w:ascii="Calibri" w:hAnsi="Calibri" w:cs="Times New Roman"/>
        </w:rPr>
        <w:t xml:space="preserve">(Asia) </w:t>
      </w:r>
    </w:p>
    <w:p w14:paraId="5763F3C9" w14:textId="610E5F65" w:rsidR="004E5EBC" w:rsidRDefault="00DB3C66" w:rsidP="00AE75D5">
      <w:pPr>
        <w:pStyle w:val="ListParagraph"/>
        <w:numPr>
          <w:ilvl w:val="0"/>
          <w:numId w:val="8"/>
        </w:numPr>
        <w:spacing w:line="360" w:lineRule="auto"/>
        <w:jc w:val="both"/>
        <w:rPr>
          <w:rFonts w:ascii="Calibri" w:hAnsi="Calibri" w:cs="Times New Roman"/>
        </w:rPr>
      </w:pPr>
      <w:r>
        <w:rPr>
          <w:rFonts w:ascii="Calibri" w:hAnsi="Calibri" w:cs="Times New Roman"/>
        </w:rPr>
        <w:lastRenderedPageBreak/>
        <w:t xml:space="preserve">Nepal </w:t>
      </w:r>
      <w:r w:rsidR="004E5EBC">
        <w:rPr>
          <w:rFonts w:ascii="Calibri" w:hAnsi="Calibri" w:cs="Times New Roman"/>
        </w:rPr>
        <w:t xml:space="preserve">(Asia) </w:t>
      </w:r>
    </w:p>
    <w:p w14:paraId="308C397E" w14:textId="77777777" w:rsidR="004E5EBC" w:rsidRDefault="004E5EBC" w:rsidP="00AE75D5">
      <w:pPr>
        <w:pStyle w:val="ListParagraph"/>
        <w:numPr>
          <w:ilvl w:val="0"/>
          <w:numId w:val="8"/>
        </w:numPr>
        <w:spacing w:line="360" w:lineRule="auto"/>
        <w:jc w:val="both"/>
        <w:rPr>
          <w:rFonts w:ascii="Calibri" w:hAnsi="Calibri" w:cs="Times New Roman"/>
        </w:rPr>
      </w:pPr>
      <w:r>
        <w:rPr>
          <w:rFonts w:ascii="Calibri" w:hAnsi="Calibri" w:cs="Times New Roman"/>
        </w:rPr>
        <w:t xml:space="preserve">Bosnia and Herzegovina (Europe) </w:t>
      </w:r>
    </w:p>
    <w:p w14:paraId="0E8665FA" w14:textId="18B95942" w:rsidR="004E5EBC" w:rsidRDefault="00BB71B2" w:rsidP="00AE75D5">
      <w:pPr>
        <w:pStyle w:val="ListParagraph"/>
        <w:numPr>
          <w:ilvl w:val="0"/>
          <w:numId w:val="8"/>
        </w:numPr>
        <w:spacing w:line="360" w:lineRule="auto"/>
        <w:jc w:val="both"/>
        <w:rPr>
          <w:rFonts w:ascii="Calibri" w:hAnsi="Calibri" w:cs="Times New Roman"/>
        </w:rPr>
      </w:pPr>
      <w:r>
        <w:rPr>
          <w:rFonts w:ascii="Calibri" w:hAnsi="Calibri" w:cs="Times New Roman"/>
        </w:rPr>
        <w:t>Chile (Latin America)</w:t>
      </w:r>
    </w:p>
    <w:p w14:paraId="5502DB12" w14:textId="77777777" w:rsidR="004E5EBC" w:rsidRDefault="004E5EBC" w:rsidP="00AE75D5">
      <w:pPr>
        <w:pStyle w:val="ListParagraph"/>
        <w:numPr>
          <w:ilvl w:val="0"/>
          <w:numId w:val="8"/>
        </w:numPr>
        <w:spacing w:line="360" w:lineRule="auto"/>
        <w:jc w:val="both"/>
        <w:rPr>
          <w:rFonts w:ascii="Calibri" w:hAnsi="Calibri" w:cs="Times New Roman"/>
        </w:rPr>
      </w:pPr>
      <w:r>
        <w:rPr>
          <w:rFonts w:ascii="Calibri" w:hAnsi="Calibri" w:cs="Times New Roman"/>
        </w:rPr>
        <w:t xml:space="preserve">Iraq (The Middle East) </w:t>
      </w:r>
    </w:p>
    <w:p w14:paraId="699B24AB" w14:textId="77777777" w:rsidR="004E5EBC" w:rsidRDefault="004E5EBC" w:rsidP="004E5EBC">
      <w:pPr>
        <w:pStyle w:val="ListParagraph"/>
        <w:ind w:left="0"/>
        <w:jc w:val="both"/>
        <w:rPr>
          <w:rFonts w:ascii="Calibri" w:hAnsi="Calibri" w:cs="Times New Roman"/>
        </w:rPr>
      </w:pPr>
    </w:p>
    <w:p w14:paraId="21D3ACF8" w14:textId="5F1613E8" w:rsidR="005460C4" w:rsidRDefault="004E5EBC" w:rsidP="001611F0">
      <w:pPr>
        <w:pStyle w:val="ListParagraph"/>
        <w:spacing w:line="360" w:lineRule="auto"/>
        <w:ind w:left="0"/>
        <w:jc w:val="both"/>
        <w:rPr>
          <w:rFonts w:ascii="Calibri" w:hAnsi="Calibri" w:cs="Times New Roman"/>
        </w:rPr>
      </w:pPr>
      <w:r>
        <w:rPr>
          <w:rFonts w:ascii="Calibri" w:hAnsi="Calibri" w:cs="Times New Roman"/>
        </w:rPr>
        <w:t xml:space="preserve">Section 3 of the submission </w:t>
      </w:r>
      <w:r w:rsidR="00CF7112">
        <w:rPr>
          <w:rFonts w:ascii="Calibri" w:hAnsi="Calibri" w:cs="Times New Roman"/>
        </w:rPr>
        <w:t>assesses</w:t>
      </w:r>
      <w:r>
        <w:rPr>
          <w:rFonts w:ascii="Calibri" w:hAnsi="Calibri" w:cs="Times New Roman"/>
        </w:rPr>
        <w:t xml:space="preserve"> existing </w:t>
      </w:r>
      <w:r w:rsidR="00B1672D">
        <w:rPr>
          <w:rFonts w:ascii="Calibri" w:hAnsi="Calibri" w:cs="Times New Roman"/>
        </w:rPr>
        <w:t>monitoring processes</w:t>
      </w:r>
      <w:r>
        <w:rPr>
          <w:rFonts w:ascii="Calibri" w:hAnsi="Calibri" w:cs="Times New Roman"/>
        </w:rPr>
        <w:t xml:space="preserve"> and </w:t>
      </w:r>
      <w:r w:rsidR="00B1672D">
        <w:rPr>
          <w:rFonts w:ascii="Calibri" w:hAnsi="Calibri" w:cs="Times New Roman"/>
        </w:rPr>
        <w:t xml:space="preserve">remedies </w:t>
      </w:r>
      <w:r>
        <w:rPr>
          <w:rFonts w:ascii="Calibri" w:hAnsi="Calibri" w:cs="Times New Roman"/>
        </w:rPr>
        <w:t xml:space="preserve">at the UN, and how these could be </w:t>
      </w:r>
      <w:r w:rsidR="00616F81">
        <w:rPr>
          <w:rFonts w:ascii="Calibri" w:hAnsi="Calibri" w:cs="Times New Roman"/>
        </w:rPr>
        <w:t>improved</w:t>
      </w:r>
      <w:r>
        <w:rPr>
          <w:rFonts w:ascii="Calibri" w:hAnsi="Calibri" w:cs="Times New Roman"/>
        </w:rPr>
        <w:t xml:space="preserve"> to </w:t>
      </w:r>
      <w:r w:rsidR="00616F81">
        <w:rPr>
          <w:rFonts w:ascii="Calibri" w:hAnsi="Calibri" w:cs="Times New Roman"/>
        </w:rPr>
        <w:t>guarantee</w:t>
      </w:r>
      <w:r w:rsidR="00561836">
        <w:rPr>
          <w:rFonts w:ascii="Calibri" w:hAnsi="Calibri" w:cs="Times New Roman"/>
        </w:rPr>
        <w:t xml:space="preserve"> substantive equality. This section</w:t>
      </w:r>
      <w:r>
        <w:rPr>
          <w:rFonts w:ascii="Calibri" w:hAnsi="Calibri" w:cs="Times New Roman"/>
        </w:rPr>
        <w:t xml:space="preserve"> also discusses the emergence of transformative reparations</w:t>
      </w:r>
      <w:r w:rsidR="00561836">
        <w:rPr>
          <w:rFonts w:ascii="Calibri" w:hAnsi="Calibri" w:cs="Times New Roman"/>
        </w:rPr>
        <w:t xml:space="preserve"> for women and gi</w:t>
      </w:r>
      <w:r w:rsidR="005F20A5">
        <w:rPr>
          <w:rFonts w:ascii="Calibri" w:hAnsi="Calibri" w:cs="Times New Roman"/>
        </w:rPr>
        <w:t>rl victims of rights violations</w:t>
      </w:r>
      <w:bookmarkStart w:id="2" w:name="_GoBack"/>
      <w:bookmarkEnd w:id="2"/>
      <w:r w:rsidR="00561836">
        <w:rPr>
          <w:rFonts w:ascii="Calibri" w:hAnsi="Calibri" w:cs="Times New Roman"/>
        </w:rPr>
        <w:t xml:space="preserve"> including sexual and gender-based violence (SGBV)</w:t>
      </w:r>
      <w:r>
        <w:rPr>
          <w:rFonts w:ascii="Calibri" w:hAnsi="Calibri" w:cs="Times New Roman"/>
        </w:rPr>
        <w:t xml:space="preserve">. The UN’s </w:t>
      </w:r>
      <w:r w:rsidR="005F20A5">
        <w:rPr>
          <w:rFonts w:ascii="Calibri" w:hAnsi="Calibri" w:cs="Times New Roman"/>
        </w:rPr>
        <w:t xml:space="preserve">currently </w:t>
      </w:r>
      <w:r w:rsidR="00561836">
        <w:rPr>
          <w:rFonts w:ascii="Calibri" w:hAnsi="Calibri" w:cs="Times New Roman"/>
        </w:rPr>
        <w:t xml:space="preserve">fragmented </w:t>
      </w:r>
      <w:r w:rsidR="005F20A5">
        <w:rPr>
          <w:rFonts w:ascii="Calibri" w:hAnsi="Calibri" w:cs="Times New Roman"/>
        </w:rPr>
        <w:t>system</w:t>
      </w:r>
      <w:r w:rsidR="00561836">
        <w:rPr>
          <w:rFonts w:ascii="Calibri" w:hAnsi="Calibri" w:cs="Times New Roman"/>
        </w:rPr>
        <w:t xml:space="preserve"> </w:t>
      </w:r>
      <w:r w:rsidR="005F20A5">
        <w:rPr>
          <w:rFonts w:ascii="Calibri" w:hAnsi="Calibri" w:cs="Times New Roman"/>
        </w:rPr>
        <w:t>must be reformed</w:t>
      </w:r>
      <w:r w:rsidR="00561836">
        <w:rPr>
          <w:rFonts w:ascii="Calibri" w:hAnsi="Calibri" w:cs="Times New Roman"/>
        </w:rPr>
        <w:t xml:space="preserve"> to effectively</w:t>
      </w:r>
      <w:r>
        <w:rPr>
          <w:rFonts w:ascii="Calibri" w:hAnsi="Calibri" w:cs="Times New Roman"/>
        </w:rPr>
        <w:t xml:space="preserve"> to monitor the accountability of states and other actors involved in conflict, and to provide redres</w:t>
      </w:r>
      <w:r w:rsidR="00B1672D">
        <w:rPr>
          <w:rFonts w:ascii="Calibri" w:hAnsi="Calibri" w:cs="Times New Roman"/>
        </w:rPr>
        <w:t>s for</w:t>
      </w:r>
      <w:r w:rsidR="003D792C">
        <w:rPr>
          <w:rFonts w:ascii="Calibri" w:hAnsi="Calibri" w:cs="Times New Roman"/>
        </w:rPr>
        <w:t xml:space="preserve"> victims</w:t>
      </w:r>
      <w:r w:rsidR="00561836">
        <w:rPr>
          <w:rFonts w:ascii="Calibri" w:hAnsi="Calibri" w:cs="Times New Roman"/>
        </w:rPr>
        <w:t>. Women and girls must be empowered</w:t>
      </w:r>
      <w:r w:rsidR="003D792C">
        <w:rPr>
          <w:rFonts w:ascii="Calibri" w:hAnsi="Calibri" w:cs="Times New Roman"/>
        </w:rPr>
        <w:t xml:space="preserve"> </w:t>
      </w:r>
      <w:r w:rsidR="00561836">
        <w:rPr>
          <w:rFonts w:ascii="Calibri" w:hAnsi="Calibri" w:cs="Times New Roman"/>
        </w:rPr>
        <w:t>to access</w:t>
      </w:r>
      <w:r w:rsidR="00CF7112">
        <w:rPr>
          <w:rFonts w:ascii="Calibri" w:hAnsi="Calibri" w:cs="Times New Roman"/>
        </w:rPr>
        <w:t xml:space="preserve"> remedy</w:t>
      </w:r>
      <w:r>
        <w:rPr>
          <w:rFonts w:ascii="Calibri" w:hAnsi="Calibri" w:cs="Times New Roman"/>
        </w:rPr>
        <w:t xml:space="preserve"> mechanisms</w:t>
      </w:r>
      <w:r w:rsidR="003D792C">
        <w:rPr>
          <w:rFonts w:ascii="Calibri" w:hAnsi="Calibri" w:cs="Times New Roman"/>
        </w:rPr>
        <w:t xml:space="preserve"> that </w:t>
      </w:r>
      <w:r w:rsidR="005F20A5">
        <w:rPr>
          <w:rFonts w:ascii="Calibri" w:hAnsi="Calibri" w:cs="Times New Roman"/>
        </w:rPr>
        <w:t xml:space="preserve">provide for </w:t>
      </w:r>
      <w:r w:rsidR="00616F81">
        <w:rPr>
          <w:rFonts w:ascii="Calibri" w:hAnsi="Calibri" w:cs="Times New Roman"/>
        </w:rPr>
        <w:t>transformative equality</w:t>
      </w:r>
      <w:r w:rsidR="008F4727">
        <w:rPr>
          <w:rFonts w:ascii="Calibri" w:hAnsi="Calibri" w:cs="Times New Roman"/>
        </w:rPr>
        <w:t>.</w:t>
      </w:r>
    </w:p>
    <w:p w14:paraId="5108A406" w14:textId="0828D77C" w:rsidR="003742A9" w:rsidRPr="00B107F5" w:rsidRDefault="005460C4" w:rsidP="00B107F5">
      <w:pPr>
        <w:pStyle w:val="Heading2"/>
        <w:jc w:val="center"/>
        <w:rPr>
          <w:rFonts w:asciiTheme="majorHAnsi" w:hAnsiTheme="majorHAnsi"/>
          <w:b/>
          <w:color w:val="1F497D" w:themeColor="text2"/>
          <w:spacing w:val="14"/>
          <w:sz w:val="32"/>
          <w:szCs w:val="32"/>
          <w:lang w:val="en-GB"/>
        </w:rPr>
      </w:pPr>
      <w:r>
        <w:rPr>
          <w:rFonts w:ascii="Calibri" w:hAnsi="Calibri" w:cs="Times New Roman"/>
        </w:rPr>
        <w:br w:type="page"/>
      </w:r>
      <w:bookmarkStart w:id="3" w:name="_Toc416867081"/>
      <w:r w:rsidR="004E5EBC" w:rsidRPr="00B107F5">
        <w:rPr>
          <w:rFonts w:asciiTheme="majorHAnsi" w:hAnsiTheme="majorHAnsi"/>
          <w:b/>
          <w:color w:val="4F81BD" w:themeColor="accent1"/>
          <w:spacing w:val="20"/>
          <w:sz w:val="32"/>
          <w:szCs w:val="32"/>
        </w:rPr>
        <w:lastRenderedPageBreak/>
        <w:t xml:space="preserve">SECTION 1: </w:t>
      </w:r>
      <w:r w:rsidR="003742A9" w:rsidRPr="00B107F5">
        <w:rPr>
          <w:rFonts w:asciiTheme="majorHAnsi" w:hAnsiTheme="majorHAnsi"/>
          <w:b/>
          <w:color w:val="4F81BD" w:themeColor="accent1"/>
          <w:spacing w:val="14"/>
          <w:sz w:val="32"/>
          <w:szCs w:val="32"/>
          <w:lang w:val="en-GB"/>
        </w:rPr>
        <w:t>MAKING THE NORMATIVE CASE TO READ SCR 1325 TOGETHER WITH CEDAW, IT</w:t>
      </w:r>
      <w:r w:rsidR="0082288E">
        <w:rPr>
          <w:rFonts w:asciiTheme="majorHAnsi" w:hAnsiTheme="majorHAnsi"/>
          <w:b/>
          <w:color w:val="4F81BD" w:themeColor="accent1"/>
          <w:spacing w:val="14"/>
          <w:sz w:val="32"/>
          <w:szCs w:val="32"/>
          <w:lang w:val="en-GB"/>
        </w:rPr>
        <w:t>S GENERAL RECOMMENDATION NO. 30</w:t>
      </w:r>
      <w:r w:rsidR="003742A9" w:rsidRPr="00B107F5">
        <w:rPr>
          <w:rFonts w:asciiTheme="majorHAnsi" w:hAnsiTheme="majorHAnsi"/>
          <w:b/>
          <w:color w:val="4F81BD" w:themeColor="accent1"/>
          <w:spacing w:val="14"/>
          <w:sz w:val="32"/>
          <w:szCs w:val="32"/>
          <w:lang w:val="en-GB"/>
        </w:rPr>
        <w:t xml:space="preserve"> AND THE LEGAL FRAMEWORK ON WOMEN, PEACE AND SECURITY</w:t>
      </w:r>
      <w:bookmarkEnd w:id="3"/>
    </w:p>
    <w:p w14:paraId="23498656" w14:textId="77777777" w:rsidR="004E5EBC" w:rsidRDefault="004E5EBC" w:rsidP="004E5EBC">
      <w:pPr>
        <w:pStyle w:val="ListParagraph"/>
        <w:ind w:left="0"/>
        <w:jc w:val="both"/>
        <w:rPr>
          <w:rFonts w:ascii="Calibri" w:hAnsi="Calibri" w:cs="Times New Roman"/>
        </w:rPr>
      </w:pPr>
    </w:p>
    <w:p w14:paraId="56B3605E" w14:textId="6F4D0883" w:rsidR="004E5EBC" w:rsidRDefault="00421C5E" w:rsidP="001611F0">
      <w:pPr>
        <w:pStyle w:val="ListParagraph"/>
        <w:spacing w:line="360" w:lineRule="auto"/>
        <w:ind w:left="0"/>
        <w:jc w:val="both"/>
        <w:rPr>
          <w:rFonts w:ascii="Calibri" w:hAnsi="Calibri" w:cs="Times New Roman"/>
        </w:rPr>
      </w:pPr>
      <w:r>
        <w:rPr>
          <w:rFonts w:ascii="Calibri" w:hAnsi="Calibri" w:cs="Times New Roman"/>
        </w:rPr>
        <w:t xml:space="preserve">The adoption of the UN </w:t>
      </w:r>
      <w:r w:rsidR="009D1B43">
        <w:rPr>
          <w:rFonts w:ascii="Calibri" w:hAnsi="Calibri" w:cs="Times New Roman"/>
        </w:rPr>
        <w:t xml:space="preserve">Security Council Resolution 1325 (SCR 1325) on 31 October 2000 signalled a victory by women’s </w:t>
      </w:r>
      <w:r w:rsidR="00D302FE">
        <w:rPr>
          <w:rFonts w:ascii="Calibri" w:hAnsi="Calibri" w:cs="Times New Roman"/>
        </w:rPr>
        <w:t>organization</w:t>
      </w:r>
      <w:r w:rsidR="009D1B43">
        <w:rPr>
          <w:rFonts w:ascii="Calibri" w:hAnsi="Calibri" w:cs="Times New Roman"/>
        </w:rPr>
        <w:t xml:space="preserve">s, governments, UN Women (then UNIFEM) and others to put the </w:t>
      </w:r>
      <w:r w:rsidR="007D2B78">
        <w:rPr>
          <w:rFonts w:ascii="Calibri" w:hAnsi="Calibri" w:cs="Times New Roman"/>
        </w:rPr>
        <w:t>women, peace and security (</w:t>
      </w:r>
      <w:r w:rsidR="009D1B43">
        <w:rPr>
          <w:rFonts w:ascii="Calibri" w:hAnsi="Calibri" w:cs="Times New Roman"/>
        </w:rPr>
        <w:t>WPS</w:t>
      </w:r>
      <w:r w:rsidR="007D2B78">
        <w:rPr>
          <w:rFonts w:ascii="Calibri" w:hAnsi="Calibri" w:cs="Times New Roman"/>
        </w:rPr>
        <w:t>)</w:t>
      </w:r>
      <w:r w:rsidR="009D1B43">
        <w:rPr>
          <w:rFonts w:ascii="Calibri" w:hAnsi="Calibri" w:cs="Times New Roman"/>
        </w:rPr>
        <w:t xml:space="preserve"> agenda at the centre of the Council’s work.</w:t>
      </w:r>
      <w:r w:rsidR="009D1B43">
        <w:rPr>
          <w:rStyle w:val="FootnoteReference"/>
          <w:rFonts w:ascii="Calibri" w:hAnsi="Calibri" w:cs="Times New Roman"/>
        </w:rPr>
        <w:footnoteReference w:id="5"/>
      </w:r>
      <w:r w:rsidR="009D1B43">
        <w:rPr>
          <w:rFonts w:ascii="Calibri" w:hAnsi="Calibri" w:cs="Times New Roman"/>
        </w:rPr>
        <w:t xml:space="preserve"> </w:t>
      </w:r>
      <w:r w:rsidR="004E5EBC">
        <w:rPr>
          <w:rFonts w:ascii="Calibri" w:hAnsi="Calibri" w:cs="Times New Roman"/>
        </w:rPr>
        <w:t>This submission argues that the SCR 1325 and its related resolutions</w:t>
      </w:r>
      <w:r w:rsidR="009227D0">
        <w:rPr>
          <w:rFonts w:ascii="Calibri" w:hAnsi="Calibri" w:cs="Times New Roman"/>
        </w:rPr>
        <w:t xml:space="preserve"> </w:t>
      </w:r>
      <w:r w:rsidR="00D302FE">
        <w:rPr>
          <w:rFonts w:ascii="Calibri" w:hAnsi="Calibri" w:cs="Times New Roman"/>
        </w:rPr>
        <w:t xml:space="preserve">(the resolutions) </w:t>
      </w:r>
      <w:r w:rsidR="009227D0">
        <w:rPr>
          <w:rFonts w:ascii="Calibri" w:hAnsi="Calibri" w:cs="Times New Roman"/>
        </w:rPr>
        <w:t>should not be understood in isolation</w:t>
      </w:r>
      <w:r w:rsidR="007D2B78">
        <w:rPr>
          <w:rFonts w:ascii="Calibri" w:hAnsi="Calibri" w:cs="Times New Roman"/>
        </w:rPr>
        <w:t xml:space="preserve"> or solely within the Security Council’s security agenda</w:t>
      </w:r>
      <w:r w:rsidR="005F7613">
        <w:rPr>
          <w:rFonts w:ascii="Calibri" w:hAnsi="Calibri" w:cs="Times New Roman"/>
        </w:rPr>
        <w:t>. The resolutions</w:t>
      </w:r>
      <w:r w:rsidR="009227D0">
        <w:rPr>
          <w:rFonts w:ascii="Calibri" w:hAnsi="Calibri" w:cs="Times New Roman"/>
        </w:rPr>
        <w:t xml:space="preserve"> should be </w:t>
      </w:r>
      <w:r w:rsidR="00294A21">
        <w:rPr>
          <w:rFonts w:ascii="Calibri" w:hAnsi="Calibri" w:cs="Times New Roman"/>
        </w:rPr>
        <w:t>understood as reflecting</w:t>
      </w:r>
      <w:r w:rsidR="004E5EBC">
        <w:rPr>
          <w:rFonts w:ascii="Calibri" w:hAnsi="Calibri" w:cs="Times New Roman"/>
        </w:rPr>
        <w:t xml:space="preserve"> existing normative obligations</w:t>
      </w:r>
      <w:r w:rsidR="009227D0">
        <w:rPr>
          <w:rFonts w:ascii="Calibri" w:hAnsi="Calibri" w:cs="Times New Roman"/>
        </w:rPr>
        <w:t xml:space="preserve"> that they incorporate</w:t>
      </w:r>
      <w:r w:rsidR="004E5EBC">
        <w:rPr>
          <w:rFonts w:ascii="Calibri" w:hAnsi="Calibri" w:cs="Times New Roman"/>
        </w:rPr>
        <w:t xml:space="preserve"> from treati</w:t>
      </w:r>
      <w:r w:rsidR="009227D0">
        <w:rPr>
          <w:rFonts w:ascii="Calibri" w:hAnsi="Calibri" w:cs="Times New Roman"/>
        </w:rPr>
        <w:t>es, custom and other sources of</w:t>
      </w:r>
      <w:r w:rsidR="009D1B43">
        <w:rPr>
          <w:rFonts w:ascii="Calibri" w:hAnsi="Calibri" w:cs="Times New Roman"/>
        </w:rPr>
        <w:t xml:space="preserve"> international</w:t>
      </w:r>
      <w:r w:rsidR="005F7613">
        <w:rPr>
          <w:rFonts w:ascii="Calibri" w:hAnsi="Calibri" w:cs="Times New Roman"/>
        </w:rPr>
        <w:t xml:space="preserve"> and regional</w:t>
      </w:r>
      <w:r w:rsidR="009D1B43">
        <w:rPr>
          <w:rFonts w:ascii="Calibri" w:hAnsi="Calibri" w:cs="Times New Roman"/>
        </w:rPr>
        <w:t xml:space="preserve"> law</w:t>
      </w:r>
      <w:r w:rsidR="004E5EBC">
        <w:rPr>
          <w:rFonts w:ascii="Calibri" w:hAnsi="Calibri" w:cs="Times New Roman"/>
        </w:rPr>
        <w:t xml:space="preserve">. </w:t>
      </w:r>
      <w:r w:rsidR="007D2B78">
        <w:rPr>
          <w:rFonts w:ascii="Calibri" w:hAnsi="Calibri" w:cs="Times New Roman"/>
        </w:rPr>
        <w:t>This submission</w:t>
      </w:r>
      <w:r w:rsidR="004E5EBC">
        <w:rPr>
          <w:rFonts w:ascii="Calibri" w:hAnsi="Calibri" w:cs="Times New Roman"/>
        </w:rPr>
        <w:t xml:space="preserve"> identifies the </w:t>
      </w:r>
      <w:r w:rsidR="00EB4F59">
        <w:rPr>
          <w:rFonts w:ascii="Calibri" w:hAnsi="Calibri" w:cs="Times New Roman"/>
        </w:rPr>
        <w:t>links</w:t>
      </w:r>
      <w:r w:rsidR="004E5EBC">
        <w:rPr>
          <w:rFonts w:ascii="Calibri" w:hAnsi="Calibri" w:cs="Times New Roman"/>
        </w:rPr>
        <w:t xml:space="preserve"> between </w:t>
      </w:r>
      <w:r w:rsidR="00D302FE">
        <w:rPr>
          <w:rFonts w:ascii="Calibri" w:hAnsi="Calibri" w:cs="Times New Roman"/>
        </w:rPr>
        <w:t>SCR 1325 and</w:t>
      </w:r>
      <w:r w:rsidR="004E5EBC">
        <w:rPr>
          <w:rFonts w:ascii="Calibri" w:hAnsi="Calibri" w:cs="Times New Roman"/>
        </w:rPr>
        <w:t xml:space="preserve"> key elements </w:t>
      </w:r>
      <w:r w:rsidR="009227D0">
        <w:rPr>
          <w:rFonts w:ascii="Calibri" w:hAnsi="Calibri" w:cs="Times New Roman"/>
        </w:rPr>
        <w:t xml:space="preserve">of the </w:t>
      </w:r>
      <w:r w:rsidR="00034169">
        <w:rPr>
          <w:rFonts w:ascii="Calibri" w:hAnsi="Calibri" w:cs="Times New Roman"/>
        </w:rPr>
        <w:t xml:space="preserve">legal </w:t>
      </w:r>
      <w:r w:rsidR="009227D0">
        <w:rPr>
          <w:rFonts w:ascii="Calibri" w:hAnsi="Calibri" w:cs="Times New Roman"/>
        </w:rPr>
        <w:t xml:space="preserve">framework that </w:t>
      </w:r>
      <w:r w:rsidR="005F7613">
        <w:rPr>
          <w:rFonts w:ascii="Calibri" w:hAnsi="Calibri" w:cs="Times New Roman"/>
        </w:rPr>
        <w:t>are reflected in its text</w:t>
      </w:r>
      <w:r w:rsidR="00294A21">
        <w:rPr>
          <w:rFonts w:ascii="Calibri" w:hAnsi="Calibri" w:cs="Times New Roman"/>
        </w:rPr>
        <w:t xml:space="preserve"> and that </w:t>
      </w:r>
      <w:r w:rsidR="009227D0">
        <w:rPr>
          <w:rFonts w:ascii="Calibri" w:hAnsi="Calibri" w:cs="Times New Roman"/>
        </w:rPr>
        <w:t>expand</w:t>
      </w:r>
      <w:r w:rsidR="005F7613">
        <w:rPr>
          <w:rFonts w:ascii="Calibri" w:hAnsi="Calibri" w:cs="Times New Roman"/>
        </w:rPr>
        <w:t xml:space="preserve"> on</w:t>
      </w:r>
      <w:r w:rsidR="009227D0">
        <w:rPr>
          <w:rFonts w:ascii="Calibri" w:hAnsi="Calibri" w:cs="Times New Roman"/>
        </w:rPr>
        <w:t xml:space="preserve"> </w:t>
      </w:r>
      <w:r w:rsidR="004273D6">
        <w:rPr>
          <w:rFonts w:ascii="Calibri" w:hAnsi="Calibri" w:cs="Times New Roman"/>
        </w:rPr>
        <w:t>the protections in SCR 1325</w:t>
      </w:r>
      <w:r w:rsidR="009227D0">
        <w:rPr>
          <w:rFonts w:ascii="Calibri" w:hAnsi="Calibri" w:cs="Times New Roman"/>
        </w:rPr>
        <w:t xml:space="preserve">. </w:t>
      </w:r>
      <w:r w:rsidR="004E5EBC">
        <w:rPr>
          <w:rFonts w:ascii="Calibri" w:hAnsi="Calibri" w:cs="Times New Roman"/>
        </w:rPr>
        <w:t xml:space="preserve">Implementing </w:t>
      </w:r>
      <w:r w:rsidR="009227D0">
        <w:rPr>
          <w:rFonts w:ascii="Calibri" w:hAnsi="Calibri" w:cs="Times New Roman"/>
        </w:rPr>
        <w:t>the resolution as an integrated centre of</w:t>
      </w:r>
      <w:r w:rsidR="004E5EBC">
        <w:rPr>
          <w:rFonts w:ascii="Calibri" w:hAnsi="Calibri" w:cs="Times New Roman"/>
        </w:rPr>
        <w:t xml:space="preserve"> a wider body of law on WPS allows for </w:t>
      </w:r>
      <w:r w:rsidR="00294A21">
        <w:rPr>
          <w:rFonts w:ascii="Calibri" w:hAnsi="Calibri" w:cs="Times New Roman"/>
        </w:rPr>
        <w:t>robust implementation</w:t>
      </w:r>
      <w:r w:rsidR="004E5EBC">
        <w:rPr>
          <w:rFonts w:ascii="Calibri" w:hAnsi="Calibri" w:cs="Times New Roman"/>
        </w:rPr>
        <w:t xml:space="preserve"> of the full spectrum of rights </w:t>
      </w:r>
      <w:r w:rsidR="00D302FE">
        <w:rPr>
          <w:rFonts w:ascii="Calibri" w:hAnsi="Calibri" w:cs="Times New Roman"/>
        </w:rPr>
        <w:t>concerning</w:t>
      </w:r>
      <w:r w:rsidR="00227497">
        <w:rPr>
          <w:rFonts w:ascii="Calibri" w:hAnsi="Calibri" w:cs="Times New Roman"/>
        </w:rPr>
        <w:t xml:space="preserve"> women, girls, men and boys </w:t>
      </w:r>
      <w:r w:rsidR="005F7613">
        <w:rPr>
          <w:rFonts w:ascii="Calibri" w:hAnsi="Calibri" w:cs="Times New Roman"/>
        </w:rPr>
        <w:t>affected by</w:t>
      </w:r>
      <w:r w:rsidR="004E5EBC">
        <w:rPr>
          <w:rFonts w:ascii="Calibri" w:hAnsi="Calibri" w:cs="Times New Roman"/>
        </w:rPr>
        <w:t xml:space="preserve"> conflict. </w:t>
      </w:r>
    </w:p>
    <w:p w14:paraId="3A84C8CC" w14:textId="77777777" w:rsidR="004E5EBC" w:rsidRDefault="004E5EBC" w:rsidP="004E5EBC">
      <w:pPr>
        <w:pStyle w:val="ListParagraph"/>
        <w:ind w:left="0"/>
        <w:jc w:val="both"/>
        <w:rPr>
          <w:rFonts w:ascii="Calibri" w:hAnsi="Calibri" w:cs="Times New Roman"/>
        </w:rPr>
      </w:pPr>
    </w:p>
    <w:p w14:paraId="1317FB00" w14:textId="060B0E65" w:rsidR="004E5EBC" w:rsidRDefault="006C560E" w:rsidP="00F91521">
      <w:pPr>
        <w:pStyle w:val="ListParagraph"/>
        <w:spacing w:line="360" w:lineRule="auto"/>
        <w:ind w:left="0"/>
        <w:jc w:val="both"/>
        <w:rPr>
          <w:rFonts w:ascii="Calibri" w:hAnsi="Calibri" w:cs="Times New Roman"/>
        </w:rPr>
      </w:pPr>
      <w:r>
        <w:rPr>
          <w:rFonts w:ascii="Calibri" w:hAnsi="Calibri" w:cs="Times New Roman"/>
        </w:rPr>
        <w:t>This submission argues that t</w:t>
      </w:r>
      <w:r w:rsidR="004E5EBC">
        <w:rPr>
          <w:rFonts w:ascii="Calibri" w:hAnsi="Calibri" w:cs="Times New Roman"/>
        </w:rPr>
        <w:t>he Convention on the Elimination of All Forms of Discrimination against Women (CEDAW)</w:t>
      </w:r>
      <w:r w:rsidR="000B516A">
        <w:rPr>
          <w:rStyle w:val="FootnoteReference"/>
          <w:rFonts w:ascii="Calibri" w:hAnsi="Calibri" w:cs="Times New Roman"/>
        </w:rPr>
        <w:footnoteReference w:id="6"/>
      </w:r>
      <w:r w:rsidR="004E5EBC">
        <w:rPr>
          <w:rFonts w:ascii="Calibri" w:hAnsi="Calibri" w:cs="Times New Roman"/>
        </w:rPr>
        <w:t xml:space="preserve"> is </w:t>
      </w:r>
      <w:r w:rsidR="002565C4">
        <w:rPr>
          <w:rFonts w:ascii="Calibri" w:hAnsi="Calibri" w:cs="Times New Roman"/>
        </w:rPr>
        <w:t>the normative heart</w:t>
      </w:r>
      <w:r w:rsidR="004E5EBC">
        <w:rPr>
          <w:rFonts w:ascii="Calibri" w:hAnsi="Calibri" w:cs="Times New Roman"/>
        </w:rPr>
        <w:t xml:space="preserve"> of the </w:t>
      </w:r>
      <w:r w:rsidR="00D302FE">
        <w:rPr>
          <w:rFonts w:ascii="Calibri" w:hAnsi="Calibri" w:cs="Times New Roman"/>
        </w:rPr>
        <w:t xml:space="preserve">legal </w:t>
      </w:r>
      <w:r w:rsidR="004E5EBC">
        <w:rPr>
          <w:rFonts w:ascii="Calibri" w:hAnsi="Calibri" w:cs="Times New Roman"/>
        </w:rPr>
        <w:t>framework</w:t>
      </w:r>
      <w:r w:rsidR="00DC4262">
        <w:rPr>
          <w:rFonts w:ascii="Calibri" w:hAnsi="Calibri" w:cs="Times New Roman"/>
        </w:rPr>
        <w:t xml:space="preserve">, </w:t>
      </w:r>
      <w:r w:rsidR="002565C4">
        <w:rPr>
          <w:rFonts w:ascii="Calibri" w:hAnsi="Calibri" w:cs="Times New Roman"/>
        </w:rPr>
        <w:t>complementing many of the human rights protections contained in</w:t>
      </w:r>
      <w:r w:rsidR="00DC4262">
        <w:rPr>
          <w:rFonts w:ascii="Calibri" w:hAnsi="Calibri" w:cs="Times New Roman"/>
        </w:rPr>
        <w:t xml:space="preserve"> the SCR 1325</w:t>
      </w:r>
      <w:r w:rsidR="00D302FE">
        <w:rPr>
          <w:rFonts w:ascii="Calibri" w:hAnsi="Calibri" w:cs="Times New Roman"/>
        </w:rPr>
        <w:t>. CEDAW</w:t>
      </w:r>
      <w:r w:rsidR="004E5EBC">
        <w:rPr>
          <w:rFonts w:ascii="Calibri" w:hAnsi="Calibri" w:cs="Times New Roman"/>
        </w:rPr>
        <w:t xml:space="preserve"> </w:t>
      </w:r>
      <w:r>
        <w:rPr>
          <w:rFonts w:ascii="Calibri" w:hAnsi="Calibri" w:cs="Times New Roman"/>
        </w:rPr>
        <w:t>is both reflected</w:t>
      </w:r>
      <w:r w:rsidR="004E5EBC">
        <w:rPr>
          <w:rFonts w:ascii="Calibri" w:hAnsi="Calibri" w:cs="Times New Roman"/>
        </w:rPr>
        <w:t xml:space="preserve"> in the language of </w:t>
      </w:r>
      <w:r w:rsidR="00DC4262">
        <w:rPr>
          <w:rFonts w:ascii="Calibri" w:hAnsi="Calibri" w:cs="Times New Roman"/>
        </w:rPr>
        <w:t xml:space="preserve">SCR 1325 </w:t>
      </w:r>
      <w:r>
        <w:rPr>
          <w:rFonts w:ascii="Calibri" w:hAnsi="Calibri" w:cs="Times New Roman"/>
        </w:rPr>
        <w:t>and</w:t>
      </w:r>
      <w:r w:rsidR="004E5EBC">
        <w:rPr>
          <w:rFonts w:ascii="Calibri" w:hAnsi="Calibri" w:cs="Times New Roman"/>
        </w:rPr>
        <w:t xml:space="preserve"> ex</w:t>
      </w:r>
      <w:r w:rsidR="00DC4262">
        <w:rPr>
          <w:rFonts w:ascii="Calibri" w:hAnsi="Calibri" w:cs="Times New Roman"/>
        </w:rPr>
        <w:t>pands on</w:t>
      </w:r>
      <w:r w:rsidR="004E5EBC">
        <w:rPr>
          <w:rFonts w:ascii="Calibri" w:hAnsi="Calibri" w:cs="Times New Roman"/>
        </w:rPr>
        <w:t xml:space="preserve"> </w:t>
      </w:r>
      <w:r w:rsidR="002565C4">
        <w:rPr>
          <w:rFonts w:ascii="Calibri" w:hAnsi="Calibri" w:cs="Times New Roman"/>
        </w:rPr>
        <w:t>its provisions</w:t>
      </w:r>
      <w:r w:rsidR="004E5EBC">
        <w:rPr>
          <w:rFonts w:ascii="Calibri" w:hAnsi="Calibri" w:cs="Times New Roman"/>
        </w:rPr>
        <w:t xml:space="preserve">. </w:t>
      </w:r>
      <w:r w:rsidR="000D6C7D">
        <w:rPr>
          <w:rFonts w:ascii="Calibri" w:hAnsi="Calibri"/>
        </w:rPr>
        <w:t>As a Security Council R</w:t>
      </w:r>
      <w:r w:rsidR="000D6C7D" w:rsidRPr="00797ECA">
        <w:rPr>
          <w:rFonts w:ascii="Calibri" w:hAnsi="Calibri"/>
        </w:rPr>
        <w:t xml:space="preserve">esolution with political impact, SCR 1325 gives an unmatched visibility to the </w:t>
      </w:r>
      <w:r w:rsidR="002565C4">
        <w:rPr>
          <w:rFonts w:ascii="Calibri" w:hAnsi="Calibri"/>
        </w:rPr>
        <w:t>legal framework</w:t>
      </w:r>
      <w:r w:rsidR="000D6C7D" w:rsidRPr="00797ECA">
        <w:rPr>
          <w:rFonts w:ascii="Calibri" w:hAnsi="Calibri"/>
        </w:rPr>
        <w:t xml:space="preserve">. As </w:t>
      </w:r>
      <w:r w:rsidR="000D6C7D">
        <w:rPr>
          <w:rFonts w:ascii="Calibri" w:hAnsi="Calibri"/>
        </w:rPr>
        <w:t>the international bill of women’s rights</w:t>
      </w:r>
      <w:r w:rsidR="003829A3">
        <w:rPr>
          <w:rFonts w:ascii="Calibri" w:hAnsi="Calibri"/>
        </w:rPr>
        <w:t xml:space="preserve"> that has been widely ratified by states</w:t>
      </w:r>
      <w:r w:rsidR="000D6C7D" w:rsidRPr="00797ECA">
        <w:rPr>
          <w:rFonts w:ascii="Calibri" w:hAnsi="Calibri"/>
        </w:rPr>
        <w:t>,</w:t>
      </w:r>
      <w:r w:rsidR="000D6C7D" w:rsidRPr="00945579">
        <w:rPr>
          <w:rStyle w:val="FootnoteReference"/>
          <w:rFonts w:ascii="Calibri" w:hAnsi="Calibri"/>
        </w:rPr>
        <w:t xml:space="preserve"> </w:t>
      </w:r>
      <w:r w:rsidR="000D6C7D" w:rsidRPr="00797ECA">
        <w:rPr>
          <w:rStyle w:val="FootnoteReference"/>
          <w:rFonts w:ascii="Calibri" w:hAnsi="Calibri"/>
        </w:rPr>
        <w:footnoteReference w:id="7"/>
      </w:r>
      <w:r w:rsidR="000D6C7D" w:rsidRPr="00797ECA">
        <w:rPr>
          <w:rFonts w:ascii="Calibri" w:hAnsi="Calibri"/>
        </w:rPr>
        <w:t xml:space="preserve"> CEDAW </w:t>
      </w:r>
      <w:r>
        <w:rPr>
          <w:rFonts w:ascii="Calibri" w:hAnsi="Calibri"/>
        </w:rPr>
        <w:t xml:space="preserve">contains binding obligations that are </w:t>
      </w:r>
      <w:r w:rsidR="002565C4">
        <w:rPr>
          <w:rFonts w:ascii="Calibri" w:hAnsi="Calibri"/>
        </w:rPr>
        <w:t>at the core</w:t>
      </w:r>
      <w:r>
        <w:rPr>
          <w:rFonts w:ascii="Calibri" w:hAnsi="Calibri"/>
        </w:rPr>
        <w:t xml:space="preserve"> of</w:t>
      </w:r>
      <w:r w:rsidR="000D6C7D" w:rsidRPr="00797ECA">
        <w:rPr>
          <w:rFonts w:ascii="Calibri" w:hAnsi="Calibri"/>
        </w:rPr>
        <w:t xml:space="preserve"> the</w:t>
      </w:r>
      <w:r>
        <w:rPr>
          <w:rFonts w:ascii="Calibri" w:hAnsi="Calibri"/>
        </w:rPr>
        <w:t xml:space="preserve"> legal</w:t>
      </w:r>
      <w:r w:rsidR="000D6C7D" w:rsidRPr="00797ECA">
        <w:rPr>
          <w:rFonts w:ascii="Calibri" w:hAnsi="Calibri"/>
        </w:rPr>
        <w:t xml:space="preserve"> framework</w:t>
      </w:r>
      <w:r>
        <w:rPr>
          <w:rFonts w:ascii="Calibri" w:hAnsi="Calibri"/>
        </w:rPr>
        <w:t xml:space="preserve"> and that guarantee</w:t>
      </w:r>
      <w:r w:rsidR="000D6C7D">
        <w:rPr>
          <w:rFonts w:ascii="Calibri" w:hAnsi="Calibri"/>
        </w:rPr>
        <w:t xml:space="preserve"> </w:t>
      </w:r>
      <w:r w:rsidR="002565C4">
        <w:rPr>
          <w:rFonts w:ascii="Calibri" w:hAnsi="Calibri"/>
        </w:rPr>
        <w:t xml:space="preserve">both </w:t>
      </w:r>
      <w:r w:rsidR="000D6C7D">
        <w:rPr>
          <w:rFonts w:ascii="Calibri" w:hAnsi="Calibri"/>
        </w:rPr>
        <w:t>su</w:t>
      </w:r>
      <w:r>
        <w:rPr>
          <w:rFonts w:ascii="Calibri" w:hAnsi="Calibri"/>
        </w:rPr>
        <w:t xml:space="preserve">bstantive </w:t>
      </w:r>
      <w:r w:rsidR="002565C4">
        <w:rPr>
          <w:rFonts w:ascii="Calibri" w:hAnsi="Calibri"/>
        </w:rPr>
        <w:t>and</w:t>
      </w:r>
      <w:r w:rsidR="000D6C7D">
        <w:rPr>
          <w:rFonts w:ascii="Calibri" w:hAnsi="Calibri"/>
        </w:rPr>
        <w:t xml:space="preserve"> transformative equality</w:t>
      </w:r>
      <w:r w:rsidR="000D6C7D" w:rsidRPr="00797ECA">
        <w:rPr>
          <w:rFonts w:ascii="Calibri" w:hAnsi="Calibri"/>
        </w:rPr>
        <w:t>.</w:t>
      </w:r>
      <w:r w:rsidR="000D6C7D" w:rsidRPr="00797ECA">
        <w:rPr>
          <w:rStyle w:val="FootnoteReference"/>
          <w:rFonts w:ascii="Calibri" w:hAnsi="Calibri"/>
        </w:rPr>
        <w:footnoteReference w:id="8"/>
      </w:r>
      <w:r w:rsidR="000D6C7D">
        <w:rPr>
          <w:rFonts w:ascii="Calibri" w:hAnsi="Calibri"/>
        </w:rPr>
        <w:t xml:space="preserve"> </w:t>
      </w:r>
      <w:r w:rsidR="000D6C7D" w:rsidRPr="00F91521">
        <w:rPr>
          <w:rFonts w:ascii="Calibri" w:hAnsi="Calibri" w:cs="Times New Roman"/>
          <w:b/>
          <w:i/>
          <w:color w:val="4F81BD" w:themeColor="accent1"/>
        </w:rPr>
        <w:t>S</w:t>
      </w:r>
      <w:r w:rsidR="004E5EBC" w:rsidRPr="00F91521">
        <w:rPr>
          <w:rFonts w:ascii="Calibri" w:hAnsi="Calibri" w:cs="Times New Roman"/>
          <w:b/>
          <w:i/>
          <w:color w:val="4F81BD" w:themeColor="accent1"/>
        </w:rPr>
        <w:t>ubstantive equality</w:t>
      </w:r>
      <w:r w:rsidR="00A649BD">
        <w:rPr>
          <w:rFonts w:ascii="Calibri" w:hAnsi="Calibri" w:cs="Times New Roman"/>
        </w:rPr>
        <w:t xml:space="preserve"> </w:t>
      </w:r>
      <w:r w:rsidR="000D6C7D">
        <w:rPr>
          <w:rFonts w:ascii="Calibri" w:hAnsi="Calibri" w:cs="Times New Roman"/>
        </w:rPr>
        <w:t xml:space="preserve">requires </w:t>
      </w:r>
      <w:r w:rsidR="00A649BD">
        <w:rPr>
          <w:rFonts w:ascii="Calibri" w:hAnsi="Calibri" w:cs="Times New Roman"/>
        </w:rPr>
        <w:t>recognising</w:t>
      </w:r>
      <w:r w:rsidR="004E5EBC">
        <w:rPr>
          <w:rFonts w:ascii="Calibri" w:hAnsi="Calibri" w:cs="Times New Roman"/>
        </w:rPr>
        <w:t xml:space="preserve"> and appropriate</w:t>
      </w:r>
      <w:r w:rsidR="00A649BD">
        <w:rPr>
          <w:rFonts w:ascii="Calibri" w:hAnsi="Calibri" w:cs="Times New Roman"/>
        </w:rPr>
        <w:t>ly responding</w:t>
      </w:r>
      <w:r w:rsidR="004E5EBC">
        <w:rPr>
          <w:rFonts w:ascii="Calibri" w:hAnsi="Calibri" w:cs="Times New Roman"/>
        </w:rPr>
        <w:t xml:space="preserve"> to gender-specific harms that will not be addressed by gender-neutral (formal</w:t>
      </w:r>
      <w:r w:rsidR="00A649BD">
        <w:rPr>
          <w:rFonts w:ascii="Calibri" w:hAnsi="Calibri" w:cs="Times New Roman"/>
        </w:rPr>
        <w:t>) equality</w:t>
      </w:r>
      <w:r w:rsidR="004E5EBC">
        <w:rPr>
          <w:rFonts w:ascii="Calibri" w:hAnsi="Calibri" w:cs="Times New Roman"/>
        </w:rPr>
        <w:t>.</w:t>
      </w:r>
      <w:r w:rsidR="004E5EBC">
        <w:rPr>
          <w:rStyle w:val="FootnoteReference"/>
          <w:rFonts w:ascii="Calibri" w:hAnsi="Calibri" w:cs="Times New Roman"/>
        </w:rPr>
        <w:footnoteReference w:id="9"/>
      </w:r>
      <w:r w:rsidR="004E5EBC">
        <w:rPr>
          <w:rFonts w:ascii="Calibri" w:hAnsi="Calibri" w:cs="Times New Roman"/>
        </w:rPr>
        <w:t xml:space="preserve"> </w:t>
      </w:r>
      <w:r w:rsidR="000D6C7D" w:rsidRPr="00F91521">
        <w:rPr>
          <w:rFonts w:ascii="Calibri" w:hAnsi="Calibri" w:cs="Times New Roman"/>
          <w:b/>
          <w:i/>
          <w:color w:val="4F81BD" w:themeColor="accent1"/>
        </w:rPr>
        <w:t>T</w:t>
      </w:r>
      <w:r w:rsidR="004E5EBC" w:rsidRPr="00F91521">
        <w:rPr>
          <w:rFonts w:ascii="Calibri" w:hAnsi="Calibri" w:cs="Times New Roman"/>
          <w:b/>
          <w:i/>
          <w:color w:val="4F81BD" w:themeColor="accent1"/>
        </w:rPr>
        <w:t>ransformative equality</w:t>
      </w:r>
      <w:r w:rsidR="000D6C7D">
        <w:rPr>
          <w:rFonts w:ascii="Calibri" w:hAnsi="Calibri" w:cs="Times New Roman"/>
        </w:rPr>
        <w:t xml:space="preserve"> </w:t>
      </w:r>
      <w:r w:rsidR="00D302FE">
        <w:rPr>
          <w:rFonts w:ascii="Calibri" w:hAnsi="Calibri" w:cs="Times New Roman"/>
        </w:rPr>
        <w:t>necessitates systemic and</w:t>
      </w:r>
      <w:r w:rsidR="004E5EBC">
        <w:rPr>
          <w:rFonts w:ascii="Calibri" w:hAnsi="Calibri" w:cs="Times New Roman"/>
        </w:rPr>
        <w:t xml:space="preserve"> structural changes in societies. These changes involve a redistribution of power and resources and a restructuring of structures that perpetuate sex- a</w:t>
      </w:r>
      <w:r w:rsidR="00227497">
        <w:rPr>
          <w:rFonts w:ascii="Calibri" w:hAnsi="Calibri" w:cs="Times New Roman"/>
        </w:rPr>
        <w:t xml:space="preserve">nd gender-based discrimination, </w:t>
      </w:r>
      <w:r w:rsidR="004E5EBC">
        <w:rPr>
          <w:rFonts w:ascii="Calibri" w:hAnsi="Calibri" w:cs="Times New Roman"/>
        </w:rPr>
        <w:t>i</w:t>
      </w:r>
      <w:r w:rsidR="00227497">
        <w:rPr>
          <w:rFonts w:ascii="Calibri" w:hAnsi="Calibri" w:cs="Times New Roman"/>
        </w:rPr>
        <w:t>ncluding violence against women</w:t>
      </w:r>
      <w:r w:rsidR="004E5EBC">
        <w:rPr>
          <w:rFonts w:ascii="Calibri" w:hAnsi="Calibri" w:cs="Times New Roman"/>
        </w:rPr>
        <w:t>. Transformative equality involves</w:t>
      </w:r>
      <w:r w:rsidR="00227497">
        <w:rPr>
          <w:rFonts w:ascii="Calibri" w:hAnsi="Calibri" w:cs="Times New Roman"/>
        </w:rPr>
        <w:t xml:space="preserve"> states being committed to undertaking</w:t>
      </w:r>
      <w:r w:rsidR="004E5EBC">
        <w:rPr>
          <w:rFonts w:ascii="Calibri" w:hAnsi="Calibri" w:cs="Times New Roman"/>
        </w:rPr>
        <w:t xml:space="preserve"> fundamental and far-reaching </w:t>
      </w:r>
      <w:r w:rsidR="00227497">
        <w:rPr>
          <w:rFonts w:ascii="Calibri" w:hAnsi="Calibri" w:cs="Times New Roman"/>
        </w:rPr>
        <w:t xml:space="preserve">societal </w:t>
      </w:r>
      <w:r w:rsidR="004E5EBC">
        <w:rPr>
          <w:rFonts w:ascii="Calibri" w:hAnsi="Calibri" w:cs="Times New Roman"/>
        </w:rPr>
        <w:t>changes</w:t>
      </w:r>
      <w:r w:rsidR="00227497">
        <w:rPr>
          <w:rFonts w:ascii="Calibri" w:hAnsi="Calibri" w:cs="Times New Roman"/>
        </w:rPr>
        <w:t>, as</w:t>
      </w:r>
      <w:r w:rsidR="004E5EBC">
        <w:rPr>
          <w:rFonts w:ascii="Calibri" w:hAnsi="Calibri" w:cs="Times New Roman"/>
        </w:rPr>
        <w:t xml:space="preserve"> </w:t>
      </w:r>
      <w:r w:rsidR="004E5EBC">
        <w:rPr>
          <w:rFonts w:ascii="Calibri" w:hAnsi="Calibri" w:cs="Times New Roman"/>
        </w:rPr>
        <w:lastRenderedPageBreak/>
        <w:t>guaranteed by the spirit and the letter of CEDAW, its General Recommendations, and the CEDAW Committee’s jurisprudence and recommendations to state parties</w:t>
      </w:r>
      <w:r w:rsidR="004E5EBC">
        <w:rPr>
          <w:rStyle w:val="FootnoteReference"/>
          <w:rFonts w:ascii="Calibri" w:hAnsi="Calibri" w:cs="Times New Roman"/>
        </w:rPr>
        <w:footnoteReference w:id="10"/>
      </w:r>
      <w:r w:rsidR="004E5EBC">
        <w:rPr>
          <w:rFonts w:ascii="Calibri" w:hAnsi="Calibri" w:cs="Times New Roman"/>
        </w:rPr>
        <w:t xml:space="preserve"> (</w:t>
      </w:r>
      <w:r>
        <w:rPr>
          <w:rFonts w:ascii="Calibri" w:hAnsi="Calibri" w:cs="Times New Roman"/>
        </w:rPr>
        <w:t>s</w:t>
      </w:r>
      <w:r w:rsidR="004E5EBC">
        <w:rPr>
          <w:rFonts w:ascii="Calibri" w:hAnsi="Calibri" w:cs="Times New Roman"/>
        </w:rPr>
        <w:t xml:space="preserve">ee Section 3 for a discussion on transformative remedies). This submission argues that while substantive equality is a minimum guarantee of the </w:t>
      </w:r>
      <w:r w:rsidR="00D302FE">
        <w:rPr>
          <w:rFonts w:ascii="Calibri" w:hAnsi="Calibri" w:cs="Times New Roman"/>
        </w:rPr>
        <w:t xml:space="preserve">legal </w:t>
      </w:r>
      <w:r w:rsidR="004E5EBC">
        <w:rPr>
          <w:rFonts w:ascii="Calibri" w:hAnsi="Calibri" w:cs="Times New Roman"/>
        </w:rPr>
        <w:t xml:space="preserve">framework, </w:t>
      </w:r>
      <w:r w:rsidR="00D302FE">
        <w:rPr>
          <w:rFonts w:ascii="Calibri" w:hAnsi="Calibri" w:cs="Times New Roman"/>
        </w:rPr>
        <w:t>there is space, especially under CEDAW,</w:t>
      </w:r>
      <w:r w:rsidR="000B516A">
        <w:rPr>
          <w:rFonts w:ascii="Calibri" w:hAnsi="Calibri" w:cs="Times New Roman"/>
        </w:rPr>
        <w:t xml:space="preserve"> for </w:t>
      </w:r>
      <w:r w:rsidR="004E5EBC">
        <w:rPr>
          <w:rFonts w:ascii="Calibri" w:hAnsi="Calibri" w:cs="Times New Roman"/>
        </w:rPr>
        <w:t xml:space="preserve">transformative equality </w:t>
      </w:r>
      <w:r w:rsidR="000B516A">
        <w:rPr>
          <w:rFonts w:ascii="Calibri" w:hAnsi="Calibri" w:cs="Times New Roman"/>
        </w:rPr>
        <w:t>to</w:t>
      </w:r>
      <w:r w:rsidR="004E5EBC">
        <w:rPr>
          <w:rFonts w:ascii="Calibri" w:hAnsi="Calibri" w:cs="Times New Roman"/>
        </w:rPr>
        <w:t xml:space="preserve"> guide the remedies </w:t>
      </w:r>
      <w:r w:rsidR="000B516A">
        <w:rPr>
          <w:rFonts w:ascii="Calibri" w:hAnsi="Calibri" w:cs="Times New Roman"/>
        </w:rPr>
        <w:t>for</w:t>
      </w:r>
      <w:r w:rsidR="004E5EBC">
        <w:rPr>
          <w:rFonts w:ascii="Calibri" w:hAnsi="Calibri" w:cs="Times New Roman"/>
        </w:rPr>
        <w:t xml:space="preserve"> women, girls, men and boys</w:t>
      </w:r>
      <w:r w:rsidR="00D302FE">
        <w:rPr>
          <w:rFonts w:ascii="Calibri" w:hAnsi="Calibri" w:cs="Times New Roman"/>
        </w:rPr>
        <w:t xml:space="preserve"> who experience rights violations</w:t>
      </w:r>
      <w:r w:rsidR="004E5EBC">
        <w:rPr>
          <w:rFonts w:ascii="Calibri" w:hAnsi="Calibri" w:cs="Times New Roman"/>
        </w:rPr>
        <w:t xml:space="preserve">. </w:t>
      </w:r>
    </w:p>
    <w:p w14:paraId="1A04EE04" w14:textId="77777777" w:rsidR="004E5EBC" w:rsidRDefault="004E5EBC" w:rsidP="004E5EBC">
      <w:pPr>
        <w:pStyle w:val="ListParagraph"/>
        <w:ind w:left="0"/>
        <w:rPr>
          <w:rFonts w:ascii="Calibri" w:hAnsi="Calibri" w:cs="Times New Roman"/>
        </w:rPr>
      </w:pPr>
    </w:p>
    <w:p w14:paraId="4A2BE013" w14:textId="290FF00F" w:rsidR="004E5EBC" w:rsidRDefault="004E5EBC" w:rsidP="00F91521">
      <w:pPr>
        <w:pStyle w:val="ListParagraph"/>
        <w:spacing w:line="360" w:lineRule="auto"/>
        <w:ind w:left="0"/>
        <w:jc w:val="both"/>
        <w:rPr>
          <w:rFonts w:ascii="Calibri" w:hAnsi="Calibri" w:cs="Times New Roman"/>
        </w:rPr>
      </w:pPr>
      <w:r>
        <w:rPr>
          <w:rFonts w:ascii="Calibri" w:hAnsi="Calibri" w:cs="Times New Roman"/>
        </w:rPr>
        <w:t>The following elements</w:t>
      </w:r>
      <w:r w:rsidR="00DC4262">
        <w:rPr>
          <w:rFonts w:ascii="Calibri" w:hAnsi="Calibri" w:cs="Times New Roman"/>
        </w:rPr>
        <w:t xml:space="preserve"> of the legal framework</w:t>
      </w:r>
      <w:r>
        <w:rPr>
          <w:rFonts w:ascii="Calibri" w:hAnsi="Calibri" w:cs="Times New Roman"/>
        </w:rPr>
        <w:t xml:space="preserve"> </w:t>
      </w:r>
      <w:r w:rsidR="00DC4262">
        <w:rPr>
          <w:rFonts w:ascii="Calibri" w:hAnsi="Calibri" w:cs="Times New Roman"/>
        </w:rPr>
        <w:t xml:space="preserve">should be read together with SCR 1325, because they reflect </w:t>
      </w:r>
      <w:r w:rsidR="00227497">
        <w:rPr>
          <w:rFonts w:ascii="Calibri" w:hAnsi="Calibri" w:cs="Times New Roman"/>
        </w:rPr>
        <w:t>binding</w:t>
      </w:r>
      <w:r w:rsidR="00DC4262">
        <w:rPr>
          <w:rFonts w:ascii="Calibri" w:hAnsi="Calibri" w:cs="Times New Roman"/>
        </w:rPr>
        <w:t xml:space="preserve"> obligations and</w:t>
      </w:r>
      <w:r w:rsidR="00227497">
        <w:rPr>
          <w:rFonts w:ascii="Calibri" w:hAnsi="Calibri" w:cs="Times New Roman"/>
        </w:rPr>
        <w:t xml:space="preserve"> government commitments that</w:t>
      </w:r>
      <w:r w:rsidR="00DC4262">
        <w:rPr>
          <w:rFonts w:ascii="Calibri" w:hAnsi="Calibri" w:cs="Times New Roman"/>
        </w:rPr>
        <w:t xml:space="preserve"> are significant</w:t>
      </w:r>
      <w:r>
        <w:rPr>
          <w:rFonts w:ascii="Calibri" w:hAnsi="Calibri" w:cs="Times New Roman"/>
        </w:rPr>
        <w:t xml:space="preserve"> </w:t>
      </w:r>
      <w:r w:rsidR="00DC4262">
        <w:rPr>
          <w:rFonts w:ascii="Calibri" w:hAnsi="Calibri" w:cs="Times New Roman"/>
        </w:rPr>
        <w:t xml:space="preserve">to </w:t>
      </w:r>
      <w:r>
        <w:rPr>
          <w:rFonts w:ascii="Calibri" w:hAnsi="Calibri" w:cs="Times New Roman"/>
        </w:rPr>
        <w:t xml:space="preserve">the WPS agenda. </w:t>
      </w:r>
      <w:r w:rsidR="000B516A">
        <w:rPr>
          <w:rFonts w:ascii="Calibri" w:hAnsi="Calibri" w:cs="Times New Roman"/>
        </w:rPr>
        <w:t xml:space="preserve">CEDAW </w:t>
      </w:r>
      <w:r w:rsidR="00E337FD">
        <w:rPr>
          <w:rFonts w:ascii="Calibri" w:hAnsi="Calibri" w:cs="Times New Roman"/>
        </w:rPr>
        <w:t>enjoys near-universal ratification</w:t>
      </w:r>
      <w:r w:rsidR="00FA7CB0">
        <w:rPr>
          <w:rFonts w:ascii="Calibri" w:hAnsi="Calibri" w:cs="Times New Roman"/>
        </w:rPr>
        <w:t xml:space="preserve"> by most UN Member States</w:t>
      </w:r>
      <w:r w:rsidR="00E337FD">
        <w:rPr>
          <w:rFonts w:ascii="Calibri" w:hAnsi="Calibri" w:cs="Times New Roman"/>
        </w:rPr>
        <w:t xml:space="preserve"> and </w:t>
      </w:r>
      <w:r w:rsidR="00FA7CB0">
        <w:rPr>
          <w:rFonts w:ascii="Calibri" w:hAnsi="Calibri" w:cs="Times New Roman"/>
        </w:rPr>
        <w:t>provides</w:t>
      </w:r>
      <w:r w:rsidR="00E337FD">
        <w:rPr>
          <w:rFonts w:ascii="Calibri" w:hAnsi="Calibri" w:cs="Times New Roman"/>
        </w:rPr>
        <w:t xml:space="preserve"> substantive guidance on</w:t>
      </w:r>
      <w:r w:rsidR="00FA7CB0">
        <w:rPr>
          <w:rFonts w:ascii="Calibri" w:hAnsi="Calibri" w:cs="Times New Roman"/>
        </w:rPr>
        <w:t xml:space="preserve"> protecting</w:t>
      </w:r>
      <w:r w:rsidR="00E337FD">
        <w:rPr>
          <w:rFonts w:ascii="Calibri" w:hAnsi="Calibri" w:cs="Times New Roman"/>
        </w:rPr>
        <w:t xml:space="preserve"> women and girls </w:t>
      </w:r>
      <w:r w:rsidR="00227497">
        <w:rPr>
          <w:rFonts w:ascii="Calibri" w:hAnsi="Calibri" w:cs="Times New Roman"/>
        </w:rPr>
        <w:t>affected by</w:t>
      </w:r>
      <w:r w:rsidR="00E337FD">
        <w:rPr>
          <w:rFonts w:ascii="Calibri" w:hAnsi="Calibri" w:cs="Times New Roman"/>
        </w:rPr>
        <w:t xml:space="preserve"> conflict</w:t>
      </w:r>
      <w:r w:rsidR="00FA7CB0">
        <w:rPr>
          <w:rFonts w:ascii="Calibri" w:hAnsi="Calibri" w:cs="Times New Roman"/>
        </w:rPr>
        <w:t xml:space="preserve"> via its General Recommendations</w:t>
      </w:r>
      <w:r w:rsidR="00F347F5">
        <w:rPr>
          <w:rFonts w:ascii="Calibri" w:hAnsi="Calibri" w:cs="Times New Roman"/>
        </w:rPr>
        <w:t xml:space="preserve"> (GRs)</w:t>
      </w:r>
      <w:r w:rsidR="00D9024F">
        <w:rPr>
          <w:rFonts w:ascii="Calibri" w:hAnsi="Calibri" w:cs="Times New Roman"/>
        </w:rPr>
        <w:t xml:space="preserve">, especially its </w:t>
      </w:r>
      <w:r w:rsidR="00F347F5">
        <w:rPr>
          <w:rFonts w:ascii="Calibri" w:hAnsi="Calibri" w:cs="Times New Roman"/>
        </w:rPr>
        <w:t>GR</w:t>
      </w:r>
      <w:r w:rsidR="00D9024F">
        <w:rPr>
          <w:rFonts w:ascii="Calibri" w:hAnsi="Calibri" w:cs="Times New Roman"/>
        </w:rPr>
        <w:t xml:space="preserve"> No. 30 on women in conflict prevention, conflict and post-conflict settings  (</w:t>
      </w:r>
      <w:r w:rsidR="00227497">
        <w:rPr>
          <w:rFonts w:ascii="Calibri" w:hAnsi="Calibri" w:cs="Times New Roman"/>
        </w:rPr>
        <w:t xml:space="preserve">CEDAW </w:t>
      </w:r>
      <w:r w:rsidR="00D9024F">
        <w:rPr>
          <w:rFonts w:ascii="Calibri" w:hAnsi="Calibri" w:cs="Times New Roman"/>
        </w:rPr>
        <w:t>GR No 30)</w:t>
      </w:r>
      <w:r>
        <w:rPr>
          <w:rFonts w:ascii="Calibri" w:hAnsi="Calibri" w:cs="Times New Roman"/>
        </w:rPr>
        <w:t>.</w:t>
      </w:r>
      <w:r>
        <w:rPr>
          <w:rStyle w:val="FootnoteReference"/>
          <w:rFonts w:ascii="Calibri" w:hAnsi="Calibri" w:cs="Times New Roman"/>
        </w:rPr>
        <w:footnoteReference w:id="11"/>
      </w:r>
      <w:r>
        <w:rPr>
          <w:rFonts w:ascii="Calibri" w:hAnsi="Calibri" w:cs="Times New Roman"/>
        </w:rPr>
        <w:t xml:space="preserve"> </w:t>
      </w:r>
      <w:r w:rsidR="00184C76">
        <w:rPr>
          <w:rFonts w:ascii="Calibri" w:hAnsi="Calibri" w:cs="Times New Roman"/>
        </w:rPr>
        <w:t xml:space="preserve"> </w:t>
      </w:r>
      <w:r w:rsidR="00FA7CB0">
        <w:rPr>
          <w:rFonts w:ascii="Calibri" w:hAnsi="Calibri" w:cs="Times New Roman"/>
        </w:rPr>
        <w:t>CEDAW’s binding obligations</w:t>
      </w:r>
      <w:r w:rsidR="00184C76">
        <w:rPr>
          <w:rFonts w:ascii="Calibri" w:hAnsi="Calibri" w:cs="Times New Roman"/>
        </w:rPr>
        <w:t xml:space="preserve"> are supported by</w:t>
      </w:r>
      <w:r w:rsidR="00E337FD">
        <w:rPr>
          <w:rFonts w:ascii="Calibri" w:hAnsi="Calibri" w:cs="Times New Roman"/>
        </w:rPr>
        <w:t xml:space="preserve"> the blueprint</w:t>
      </w:r>
      <w:r w:rsidR="00DC4262">
        <w:rPr>
          <w:rFonts w:ascii="Calibri" w:hAnsi="Calibri" w:cs="Times New Roman"/>
        </w:rPr>
        <w:t>s</w:t>
      </w:r>
      <w:r w:rsidR="00184C76">
        <w:rPr>
          <w:rFonts w:ascii="Calibri" w:hAnsi="Calibri" w:cs="Times New Roman"/>
        </w:rPr>
        <w:t xml:space="preserve"> for action in the Beijing Platform for Action (BPfA</w:t>
      </w:r>
      <w:r w:rsidR="00EB4F59">
        <w:rPr>
          <w:rFonts w:ascii="Calibri" w:hAnsi="Calibri" w:cs="Times New Roman"/>
        </w:rPr>
        <w:t>)</w:t>
      </w:r>
      <w:r w:rsidR="00184C76">
        <w:rPr>
          <w:rFonts w:ascii="Calibri" w:hAnsi="Calibri" w:cs="Times New Roman"/>
        </w:rPr>
        <w:t xml:space="preserve"> and other important documents. </w:t>
      </w:r>
      <w:r w:rsidR="00E337FD">
        <w:rPr>
          <w:rFonts w:ascii="Calibri" w:hAnsi="Calibri" w:cs="Times New Roman"/>
        </w:rPr>
        <w:t xml:space="preserve">The key elements </w:t>
      </w:r>
      <w:r w:rsidR="00D84097">
        <w:rPr>
          <w:rFonts w:ascii="Calibri" w:hAnsi="Calibri" w:cs="Times New Roman"/>
        </w:rPr>
        <w:t xml:space="preserve">of </w:t>
      </w:r>
      <w:r w:rsidR="00E337FD">
        <w:rPr>
          <w:rFonts w:ascii="Calibri" w:hAnsi="Calibri" w:cs="Times New Roman"/>
        </w:rPr>
        <w:t xml:space="preserve">the </w:t>
      </w:r>
      <w:r w:rsidR="00EB4F59">
        <w:rPr>
          <w:rFonts w:ascii="Calibri" w:hAnsi="Calibri" w:cs="Times New Roman"/>
        </w:rPr>
        <w:t xml:space="preserve">legal </w:t>
      </w:r>
      <w:r w:rsidR="00E337FD">
        <w:rPr>
          <w:rFonts w:ascii="Calibri" w:hAnsi="Calibri" w:cs="Times New Roman"/>
        </w:rPr>
        <w:t>framework</w:t>
      </w:r>
      <w:r w:rsidR="00EB4F59">
        <w:rPr>
          <w:rFonts w:ascii="Calibri" w:hAnsi="Calibri" w:cs="Times New Roman"/>
        </w:rPr>
        <w:t xml:space="preserve"> that support an integrated understanding of SCR 1325 </w:t>
      </w:r>
      <w:r w:rsidR="00E337FD">
        <w:rPr>
          <w:rFonts w:ascii="Calibri" w:hAnsi="Calibri" w:cs="Times New Roman"/>
        </w:rPr>
        <w:t xml:space="preserve">are: </w:t>
      </w:r>
    </w:p>
    <w:p w14:paraId="74454988" w14:textId="77777777" w:rsidR="00B2494C" w:rsidRDefault="00B2494C" w:rsidP="004E5EBC">
      <w:pPr>
        <w:pStyle w:val="ListParagraph"/>
        <w:ind w:left="0"/>
        <w:jc w:val="both"/>
        <w:rPr>
          <w:rFonts w:ascii="Calibri" w:hAnsi="Calibri" w:cs="Times New Roman"/>
        </w:rPr>
      </w:pPr>
    </w:p>
    <w:p w14:paraId="104023D4" w14:textId="01E307C6" w:rsidR="004E5EBC" w:rsidRDefault="004E5EBC" w:rsidP="00F91521">
      <w:pPr>
        <w:pStyle w:val="ListParagraph"/>
        <w:numPr>
          <w:ilvl w:val="0"/>
          <w:numId w:val="3"/>
        </w:numPr>
        <w:spacing w:line="360" w:lineRule="auto"/>
        <w:jc w:val="both"/>
        <w:rPr>
          <w:rFonts w:ascii="Calibri" w:hAnsi="Calibri" w:cs="Times New Roman"/>
        </w:rPr>
      </w:pPr>
      <w:r>
        <w:rPr>
          <w:rFonts w:ascii="Calibri" w:hAnsi="Calibri" w:cs="Times New Roman"/>
        </w:rPr>
        <w:t xml:space="preserve">The </w:t>
      </w:r>
      <w:r w:rsidR="00EB4F59">
        <w:rPr>
          <w:rFonts w:ascii="Calibri" w:hAnsi="Calibri" w:cs="Times New Roman"/>
        </w:rPr>
        <w:t xml:space="preserve">subsequent </w:t>
      </w:r>
      <w:r>
        <w:rPr>
          <w:rFonts w:ascii="Calibri" w:hAnsi="Calibri" w:cs="Times New Roman"/>
        </w:rPr>
        <w:t>Security Council Resolutions</w:t>
      </w:r>
      <w:r w:rsidR="00F64862">
        <w:rPr>
          <w:rFonts w:ascii="Calibri" w:hAnsi="Calibri" w:cs="Times New Roman"/>
        </w:rPr>
        <w:t xml:space="preserve"> (SCRs)</w:t>
      </w:r>
      <w:r>
        <w:rPr>
          <w:rFonts w:ascii="Calibri" w:hAnsi="Calibri" w:cs="Times New Roman"/>
        </w:rPr>
        <w:t xml:space="preserve"> on WPS </w:t>
      </w:r>
      <w:r w:rsidR="00EB4F59">
        <w:rPr>
          <w:rFonts w:ascii="Calibri" w:hAnsi="Calibri" w:cs="Times New Roman"/>
        </w:rPr>
        <w:t>following</w:t>
      </w:r>
      <w:r>
        <w:rPr>
          <w:rFonts w:ascii="Calibri" w:hAnsi="Calibri" w:cs="Times New Roman"/>
        </w:rPr>
        <w:t xml:space="preserve"> SCR 1325, adopted in 2008-13.</w:t>
      </w:r>
      <w:r>
        <w:rPr>
          <w:rStyle w:val="FootnoteReference"/>
          <w:rFonts w:ascii="Calibri" w:hAnsi="Calibri" w:cs="Times New Roman"/>
        </w:rPr>
        <w:footnoteReference w:id="12"/>
      </w:r>
      <w:r>
        <w:rPr>
          <w:rFonts w:ascii="Calibri" w:hAnsi="Calibri" w:cs="Times New Roman"/>
        </w:rPr>
        <w:t xml:space="preserve"> </w:t>
      </w:r>
    </w:p>
    <w:p w14:paraId="07AB3736" w14:textId="18A8E061" w:rsidR="004E5EBC" w:rsidRDefault="00184C76" w:rsidP="00F91521">
      <w:pPr>
        <w:pStyle w:val="ListParagraph"/>
        <w:numPr>
          <w:ilvl w:val="0"/>
          <w:numId w:val="3"/>
        </w:numPr>
        <w:spacing w:line="360" w:lineRule="auto"/>
        <w:jc w:val="both"/>
        <w:rPr>
          <w:rFonts w:ascii="Calibri" w:hAnsi="Calibri" w:cs="Times New Roman"/>
        </w:rPr>
      </w:pPr>
      <w:r>
        <w:rPr>
          <w:rFonts w:ascii="Calibri" w:hAnsi="Calibri" w:cs="Times New Roman"/>
        </w:rPr>
        <w:t>CEDAW</w:t>
      </w:r>
      <w:r w:rsidR="004E5EBC">
        <w:rPr>
          <w:rFonts w:ascii="Calibri" w:hAnsi="Calibri" w:cs="Times New Roman"/>
        </w:rPr>
        <w:t xml:space="preserve"> and </w:t>
      </w:r>
      <w:r w:rsidR="00FB7ACB">
        <w:rPr>
          <w:rFonts w:ascii="Calibri" w:hAnsi="Calibri" w:cs="Times New Roman"/>
        </w:rPr>
        <w:t xml:space="preserve">the </w:t>
      </w:r>
      <w:r w:rsidR="00D9024F">
        <w:rPr>
          <w:rFonts w:ascii="Calibri" w:hAnsi="Calibri" w:cs="Times New Roman"/>
        </w:rPr>
        <w:t>CEDAW GR No</w:t>
      </w:r>
      <w:r w:rsidR="00F347F5">
        <w:rPr>
          <w:rFonts w:ascii="Calibri" w:hAnsi="Calibri" w:cs="Times New Roman"/>
        </w:rPr>
        <w:t>.</w:t>
      </w:r>
      <w:r w:rsidR="00D9024F">
        <w:rPr>
          <w:rFonts w:ascii="Calibri" w:hAnsi="Calibri" w:cs="Times New Roman"/>
        </w:rPr>
        <w:t xml:space="preserve"> 30</w:t>
      </w:r>
      <w:r w:rsidR="009F33EC">
        <w:rPr>
          <w:rFonts w:ascii="Calibri" w:hAnsi="Calibri" w:cs="Times New Roman"/>
        </w:rPr>
        <w:t>, adopted in 1979 and 2013 respectively</w:t>
      </w:r>
      <w:r w:rsidR="004E5EBC">
        <w:rPr>
          <w:rFonts w:ascii="Calibri" w:hAnsi="Calibri" w:cs="Times New Roman"/>
        </w:rPr>
        <w:t>.</w:t>
      </w:r>
      <w:r w:rsidR="004E5EBC">
        <w:rPr>
          <w:rStyle w:val="FootnoteReference"/>
          <w:rFonts w:ascii="Calibri" w:hAnsi="Calibri" w:cs="Times New Roman"/>
        </w:rPr>
        <w:footnoteReference w:id="13"/>
      </w:r>
      <w:r w:rsidR="004E5EBC">
        <w:rPr>
          <w:rFonts w:ascii="Calibri" w:hAnsi="Calibri" w:cs="Times New Roman"/>
        </w:rPr>
        <w:t xml:space="preserve"> </w:t>
      </w:r>
    </w:p>
    <w:p w14:paraId="4E71D920" w14:textId="4AF0D24B" w:rsidR="004E5EBC" w:rsidRDefault="004E5EBC" w:rsidP="00F91521">
      <w:pPr>
        <w:pStyle w:val="ListParagraph"/>
        <w:numPr>
          <w:ilvl w:val="0"/>
          <w:numId w:val="3"/>
        </w:numPr>
        <w:spacing w:line="360" w:lineRule="auto"/>
        <w:jc w:val="both"/>
        <w:rPr>
          <w:rFonts w:ascii="Calibri" w:hAnsi="Calibri" w:cs="Times New Roman"/>
        </w:rPr>
      </w:pPr>
      <w:r w:rsidRPr="00C41AA3">
        <w:rPr>
          <w:rFonts w:ascii="Calibri" w:hAnsi="Calibri" w:cs="Times New Roman"/>
        </w:rPr>
        <w:t xml:space="preserve">The </w:t>
      </w:r>
      <w:r w:rsidR="00184C76">
        <w:rPr>
          <w:rFonts w:ascii="Calibri" w:hAnsi="Calibri" w:cs="Times New Roman"/>
        </w:rPr>
        <w:t xml:space="preserve">BPfA, </w:t>
      </w:r>
      <w:r>
        <w:rPr>
          <w:rFonts w:ascii="Calibri" w:hAnsi="Calibri" w:cs="Times New Roman"/>
        </w:rPr>
        <w:t>adopted at the Fourth World Conference on Women in 1995</w:t>
      </w:r>
      <w:r w:rsidR="00184C76">
        <w:rPr>
          <w:rFonts w:ascii="Calibri" w:hAnsi="Calibri" w:cs="Times New Roman"/>
        </w:rPr>
        <w:t>, especially its</w:t>
      </w:r>
      <w:r>
        <w:rPr>
          <w:rFonts w:ascii="Calibri" w:hAnsi="Calibri" w:cs="Times New Roman"/>
        </w:rPr>
        <w:t xml:space="preserve"> two critical areas of concern on violence against women and women in armed conflict.</w:t>
      </w:r>
      <w:r>
        <w:rPr>
          <w:rStyle w:val="FootnoteReference"/>
          <w:rFonts w:ascii="Calibri" w:hAnsi="Calibri" w:cs="Times New Roman"/>
        </w:rPr>
        <w:footnoteReference w:id="14"/>
      </w:r>
    </w:p>
    <w:p w14:paraId="00A3778C" w14:textId="10C40F43" w:rsidR="004E5EBC" w:rsidRDefault="009C3ABB" w:rsidP="00F91521">
      <w:pPr>
        <w:pStyle w:val="ListParagraph"/>
        <w:numPr>
          <w:ilvl w:val="0"/>
          <w:numId w:val="3"/>
        </w:numPr>
        <w:spacing w:line="360" w:lineRule="auto"/>
        <w:jc w:val="both"/>
        <w:rPr>
          <w:rFonts w:ascii="Calibri" w:hAnsi="Calibri" w:cs="Times New Roman"/>
        </w:rPr>
      </w:pPr>
      <w:r>
        <w:rPr>
          <w:rFonts w:ascii="Calibri" w:hAnsi="Calibri" w:cs="Times New Roman"/>
        </w:rPr>
        <w:t>T</w:t>
      </w:r>
      <w:r w:rsidR="004E5EBC">
        <w:rPr>
          <w:rFonts w:ascii="Calibri" w:hAnsi="Calibri" w:cs="Times New Roman"/>
        </w:rPr>
        <w:t>he Outcome Document of the 23</w:t>
      </w:r>
      <w:r w:rsidR="004E5EBC" w:rsidRPr="00ED65C6">
        <w:rPr>
          <w:rFonts w:ascii="Calibri" w:hAnsi="Calibri" w:cs="Times New Roman"/>
          <w:vertAlign w:val="superscript"/>
        </w:rPr>
        <w:t>rd</w:t>
      </w:r>
      <w:r w:rsidR="004E5EBC">
        <w:rPr>
          <w:rFonts w:ascii="Calibri" w:hAnsi="Calibri" w:cs="Times New Roman"/>
        </w:rPr>
        <w:t xml:space="preserve"> Special Session of the UN General Assembly on </w:t>
      </w:r>
      <w:r w:rsidR="00EB4F59">
        <w:rPr>
          <w:rFonts w:ascii="Calibri" w:hAnsi="Calibri" w:cs="Times New Roman"/>
        </w:rPr>
        <w:t>Women</w:t>
      </w:r>
      <w:r w:rsidR="004E5EBC" w:rsidRPr="00ED65C6">
        <w:rPr>
          <w:rFonts w:ascii="Calibri" w:hAnsi="Calibri" w:cs="Times New Roman"/>
        </w:rPr>
        <w:t xml:space="preserve"> 2000: Gender Equality, Development and Peace for the 21</w:t>
      </w:r>
      <w:r w:rsidR="004E5EBC" w:rsidRPr="00ED65C6">
        <w:rPr>
          <w:rFonts w:ascii="Calibri" w:hAnsi="Calibri" w:cs="Times New Roman"/>
          <w:vertAlign w:val="superscript"/>
        </w:rPr>
        <w:t>st</w:t>
      </w:r>
      <w:r w:rsidR="004E5EBC" w:rsidRPr="00ED65C6">
        <w:rPr>
          <w:rFonts w:ascii="Calibri" w:hAnsi="Calibri" w:cs="Times New Roman"/>
        </w:rPr>
        <w:t xml:space="preserve"> Century</w:t>
      </w:r>
      <w:r w:rsidR="004E5EBC">
        <w:rPr>
          <w:rFonts w:ascii="Calibri" w:hAnsi="Calibri" w:cs="Times New Roman"/>
        </w:rPr>
        <w:t xml:space="preserve"> (UNGA Outcome Document).</w:t>
      </w:r>
      <w:r w:rsidR="004E5EBC" w:rsidRPr="00ED65C6">
        <w:rPr>
          <w:rStyle w:val="FooterChar"/>
          <w:rFonts w:ascii="Calibri" w:hAnsi="Calibri" w:cs="Times New Roman"/>
        </w:rPr>
        <w:t xml:space="preserve"> </w:t>
      </w:r>
      <w:r w:rsidR="004E5EBC">
        <w:rPr>
          <w:rStyle w:val="FootnoteReference"/>
          <w:rFonts w:ascii="Calibri" w:hAnsi="Calibri" w:cs="Times New Roman"/>
        </w:rPr>
        <w:footnoteReference w:id="15"/>
      </w:r>
      <w:r w:rsidR="004E5EBC">
        <w:rPr>
          <w:rFonts w:ascii="Calibri" w:hAnsi="Calibri" w:cs="Times New Roman"/>
        </w:rPr>
        <w:t xml:space="preserve"> </w:t>
      </w:r>
    </w:p>
    <w:p w14:paraId="296AFABE" w14:textId="09724DCC" w:rsidR="000A2156" w:rsidRPr="00363211" w:rsidRDefault="000A2156" w:rsidP="00F91521">
      <w:pPr>
        <w:pStyle w:val="ListParagraph"/>
        <w:numPr>
          <w:ilvl w:val="0"/>
          <w:numId w:val="3"/>
        </w:numPr>
        <w:spacing w:line="360" w:lineRule="auto"/>
        <w:jc w:val="both"/>
        <w:rPr>
          <w:rFonts w:ascii="Calibri" w:hAnsi="Calibri" w:cs="Times New Roman"/>
        </w:rPr>
      </w:pPr>
      <w:r>
        <w:rPr>
          <w:rFonts w:ascii="Calibri" w:hAnsi="Calibri" w:cs="Times New Roman"/>
        </w:rPr>
        <w:t>The Agreed Conclusions of the Commission on the Status of Women 2013</w:t>
      </w:r>
      <w:r w:rsidR="00F64862">
        <w:rPr>
          <w:rFonts w:ascii="Calibri" w:hAnsi="Calibri" w:cs="Times New Roman"/>
        </w:rPr>
        <w:t xml:space="preserve"> on the prevention and elimination of violence against women</w:t>
      </w:r>
      <w:r>
        <w:rPr>
          <w:rFonts w:ascii="Calibri" w:hAnsi="Calibri" w:cs="Times New Roman"/>
        </w:rPr>
        <w:t xml:space="preserve"> (CSW Agreed Conclusions 2013)</w:t>
      </w:r>
      <w:r w:rsidR="00F64862">
        <w:rPr>
          <w:rFonts w:ascii="Calibri" w:hAnsi="Calibri" w:cs="Times New Roman"/>
        </w:rPr>
        <w:t>.</w:t>
      </w:r>
      <w:r w:rsidR="00413E63">
        <w:rPr>
          <w:rStyle w:val="FootnoteReference"/>
          <w:rFonts w:ascii="Calibri" w:hAnsi="Calibri" w:cs="Times New Roman"/>
        </w:rPr>
        <w:footnoteReference w:id="16"/>
      </w:r>
      <w:r>
        <w:rPr>
          <w:rFonts w:ascii="Calibri" w:hAnsi="Calibri" w:cs="Times New Roman"/>
        </w:rPr>
        <w:t xml:space="preserve"> </w:t>
      </w:r>
    </w:p>
    <w:p w14:paraId="1A2DDDF3" w14:textId="77777777" w:rsidR="004E5EBC" w:rsidRDefault="004E5EBC" w:rsidP="004E5EBC">
      <w:pPr>
        <w:rPr>
          <w:rFonts w:ascii="Calibri" w:hAnsi="Calibri" w:cs="Times New Roman"/>
        </w:rPr>
      </w:pPr>
    </w:p>
    <w:p w14:paraId="6CA86D92" w14:textId="3570588D" w:rsidR="004E5EBC" w:rsidRDefault="004E5EBC" w:rsidP="00F91521">
      <w:pPr>
        <w:spacing w:line="360" w:lineRule="auto"/>
        <w:rPr>
          <w:rFonts w:ascii="Calibri" w:hAnsi="Calibri" w:cs="Times New Roman"/>
        </w:rPr>
      </w:pPr>
      <w:r>
        <w:rPr>
          <w:rFonts w:ascii="Calibri" w:hAnsi="Calibri" w:cs="Times New Roman"/>
        </w:rPr>
        <w:t>This s</w:t>
      </w:r>
      <w:r w:rsidR="00F347F5">
        <w:rPr>
          <w:rFonts w:ascii="Calibri" w:hAnsi="Calibri" w:cs="Times New Roman"/>
        </w:rPr>
        <w:t>ubmissio</w:t>
      </w:r>
      <w:r>
        <w:rPr>
          <w:rFonts w:ascii="Calibri" w:hAnsi="Calibri" w:cs="Times New Roman"/>
        </w:rPr>
        <w:t xml:space="preserve">n does not discuss the following international </w:t>
      </w:r>
      <w:r w:rsidR="00B2494C">
        <w:rPr>
          <w:rFonts w:ascii="Calibri" w:hAnsi="Calibri" w:cs="Times New Roman"/>
        </w:rPr>
        <w:t>instruments</w:t>
      </w:r>
      <w:r>
        <w:rPr>
          <w:rFonts w:ascii="Calibri" w:hAnsi="Calibri" w:cs="Times New Roman"/>
        </w:rPr>
        <w:t xml:space="preserve"> that are part of the framework in depth, but acknowledges their importance: </w:t>
      </w:r>
    </w:p>
    <w:p w14:paraId="50F6031A" w14:textId="77777777" w:rsidR="00136AB0" w:rsidRDefault="00136AB0" w:rsidP="004E5EBC">
      <w:pPr>
        <w:rPr>
          <w:rFonts w:ascii="Calibri" w:hAnsi="Calibri" w:cs="Times New Roman"/>
        </w:rPr>
      </w:pPr>
    </w:p>
    <w:p w14:paraId="14806B85" w14:textId="07197048" w:rsidR="004E5EBC" w:rsidRPr="000A2156" w:rsidRDefault="004E5EBC" w:rsidP="00F91521">
      <w:pPr>
        <w:pStyle w:val="ListParagraph"/>
        <w:numPr>
          <w:ilvl w:val="0"/>
          <w:numId w:val="32"/>
        </w:numPr>
        <w:spacing w:line="360" w:lineRule="auto"/>
        <w:rPr>
          <w:rFonts w:ascii="Calibri" w:hAnsi="Calibri" w:cs="Times New Roman"/>
        </w:rPr>
      </w:pPr>
      <w:r w:rsidRPr="000A2156">
        <w:rPr>
          <w:rFonts w:ascii="Calibri" w:hAnsi="Calibri" w:cs="Times New Roman"/>
        </w:rPr>
        <w:t>International human rights</w:t>
      </w:r>
      <w:r w:rsidR="00294A21">
        <w:rPr>
          <w:rFonts w:ascii="Calibri" w:hAnsi="Calibri" w:cs="Times New Roman"/>
        </w:rPr>
        <w:t xml:space="preserve"> law (IHRL)</w:t>
      </w:r>
      <w:r w:rsidRPr="000A2156">
        <w:rPr>
          <w:rFonts w:ascii="Calibri" w:hAnsi="Calibri" w:cs="Times New Roman"/>
        </w:rPr>
        <w:t xml:space="preserve"> treaties other than CEDAW</w:t>
      </w:r>
      <w:r w:rsidR="00FB7ACB">
        <w:rPr>
          <w:rFonts w:ascii="Calibri" w:hAnsi="Calibri" w:cs="Times New Roman"/>
        </w:rPr>
        <w:t xml:space="preserve"> and its Optional Protocol 1999</w:t>
      </w:r>
      <w:r w:rsidRPr="000A2156">
        <w:rPr>
          <w:rFonts w:ascii="Calibri" w:hAnsi="Calibri" w:cs="Times New Roman"/>
        </w:rPr>
        <w:t>,</w:t>
      </w:r>
      <w:r w:rsidR="00FB7ACB">
        <w:rPr>
          <w:rStyle w:val="FootnoteReference"/>
          <w:rFonts w:ascii="Calibri" w:hAnsi="Calibri" w:cs="Times New Roman"/>
        </w:rPr>
        <w:footnoteReference w:id="17"/>
      </w:r>
      <w:r w:rsidRPr="000A2156">
        <w:rPr>
          <w:rFonts w:ascii="Calibri" w:hAnsi="Calibri" w:cs="Times New Roman"/>
        </w:rPr>
        <w:t xml:space="preserve"> including:</w:t>
      </w:r>
    </w:p>
    <w:p w14:paraId="1DA997B9" w14:textId="23F6E331" w:rsidR="004E5EBC" w:rsidRDefault="004E5EBC" w:rsidP="00F91521">
      <w:pPr>
        <w:pStyle w:val="ListParagraph"/>
        <w:numPr>
          <w:ilvl w:val="1"/>
          <w:numId w:val="3"/>
        </w:numPr>
        <w:spacing w:line="360" w:lineRule="auto"/>
        <w:jc w:val="both"/>
        <w:rPr>
          <w:rFonts w:ascii="Calibri" w:hAnsi="Calibri" w:cs="Times New Roman"/>
        </w:rPr>
      </w:pPr>
      <w:r>
        <w:rPr>
          <w:rFonts w:ascii="Calibri" w:hAnsi="Calibri" w:cs="Times New Roman"/>
        </w:rPr>
        <w:t>The International Bill of Rights (the Universal Declaration of Human Rights 1948, and the International Covenants on Civil and Political Rights and Economic, Socia</w:t>
      </w:r>
      <w:r w:rsidR="00DB3942">
        <w:rPr>
          <w:rFonts w:ascii="Calibri" w:hAnsi="Calibri" w:cs="Times New Roman"/>
        </w:rPr>
        <w:t>l and Cultural Rights 1966</w:t>
      </w:r>
      <w:r w:rsidR="00515F65">
        <w:rPr>
          <w:rFonts w:ascii="Calibri" w:hAnsi="Calibri" w:cs="Times New Roman"/>
        </w:rPr>
        <w:t>)</w:t>
      </w:r>
      <w:r>
        <w:rPr>
          <w:rFonts w:ascii="Calibri" w:hAnsi="Calibri" w:cs="Times New Roman"/>
        </w:rPr>
        <w:t>.</w:t>
      </w:r>
      <w:r>
        <w:rPr>
          <w:rStyle w:val="FootnoteReference"/>
          <w:rFonts w:ascii="Calibri" w:hAnsi="Calibri" w:cs="Times New Roman"/>
        </w:rPr>
        <w:footnoteReference w:id="18"/>
      </w:r>
    </w:p>
    <w:p w14:paraId="0E2E55D9" w14:textId="405B8081" w:rsidR="004E5EBC" w:rsidRDefault="004E5EBC" w:rsidP="00F91521">
      <w:pPr>
        <w:pStyle w:val="ListParagraph"/>
        <w:numPr>
          <w:ilvl w:val="1"/>
          <w:numId w:val="3"/>
        </w:numPr>
        <w:spacing w:line="360" w:lineRule="auto"/>
        <w:jc w:val="both"/>
        <w:rPr>
          <w:rFonts w:ascii="Calibri" w:hAnsi="Calibri" w:cs="Times New Roman"/>
        </w:rPr>
      </w:pPr>
      <w:r>
        <w:rPr>
          <w:rFonts w:ascii="Calibri" w:hAnsi="Calibri" w:cs="Times New Roman"/>
        </w:rPr>
        <w:t>The Convention o</w:t>
      </w:r>
      <w:r w:rsidR="005A5A22">
        <w:rPr>
          <w:rFonts w:ascii="Calibri" w:hAnsi="Calibri" w:cs="Times New Roman"/>
        </w:rPr>
        <w:t>n the Rights of the Child 1989 (</w:t>
      </w:r>
      <w:r>
        <w:rPr>
          <w:rFonts w:ascii="Calibri" w:hAnsi="Calibri" w:cs="Times New Roman"/>
        </w:rPr>
        <w:t xml:space="preserve">which has special relevance for </w:t>
      </w:r>
      <w:r w:rsidR="005A5A22">
        <w:rPr>
          <w:rFonts w:ascii="Calibri" w:hAnsi="Calibri" w:cs="Times New Roman"/>
        </w:rPr>
        <w:t>girls affected by conflict</w:t>
      </w:r>
      <w:r>
        <w:rPr>
          <w:rFonts w:ascii="Calibri" w:hAnsi="Calibri" w:cs="Times New Roman"/>
        </w:rPr>
        <w:t xml:space="preserve"> and like CEDAW, enjoys near-universal ratification</w:t>
      </w:r>
      <w:r w:rsidR="005A5A22">
        <w:rPr>
          <w:rFonts w:ascii="Calibri" w:hAnsi="Calibri" w:cs="Times New Roman"/>
        </w:rPr>
        <w:t>)</w:t>
      </w:r>
      <w:r>
        <w:rPr>
          <w:rFonts w:ascii="Calibri" w:hAnsi="Calibri" w:cs="Times New Roman"/>
        </w:rPr>
        <w:t xml:space="preserve"> and </w:t>
      </w:r>
      <w:r w:rsidR="00413E63">
        <w:rPr>
          <w:rFonts w:ascii="Calibri" w:hAnsi="Calibri" w:cs="Times New Roman"/>
        </w:rPr>
        <w:t xml:space="preserve">its </w:t>
      </w:r>
      <w:r>
        <w:rPr>
          <w:rFonts w:ascii="Calibri" w:hAnsi="Calibri" w:cs="Times New Roman"/>
        </w:rPr>
        <w:t>two relevant Protocols of 2000</w:t>
      </w:r>
      <w:r w:rsidR="00A02A0D">
        <w:rPr>
          <w:rFonts w:ascii="Calibri" w:hAnsi="Calibri" w:cs="Times New Roman"/>
        </w:rPr>
        <w:t>, especially the Optional Protocol on the Involvement of Children in Armed Conflict</w:t>
      </w:r>
      <w:r>
        <w:rPr>
          <w:rFonts w:ascii="Calibri" w:hAnsi="Calibri" w:cs="Times New Roman"/>
        </w:rPr>
        <w:t>.</w:t>
      </w:r>
      <w:r>
        <w:rPr>
          <w:rStyle w:val="FootnoteReference"/>
          <w:rFonts w:ascii="Calibri" w:hAnsi="Calibri" w:cs="Times New Roman"/>
        </w:rPr>
        <w:footnoteReference w:id="19"/>
      </w:r>
    </w:p>
    <w:p w14:paraId="22A01DCE" w14:textId="77777777" w:rsidR="004E5EBC" w:rsidRDefault="004E5EBC" w:rsidP="00F91521">
      <w:pPr>
        <w:pStyle w:val="ListParagraph"/>
        <w:numPr>
          <w:ilvl w:val="1"/>
          <w:numId w:val="3"/>
        </w:numPr>
        <w:spacing w:line="360" w:lineRule="auto"/>
        <w:jc w:val="both"/>
        <w:rPr>
          <w:rFonts w:ascii="Calibri" w:hAnsi="Calibri" w:cs="Times New Roman"/>
        </w:rPr>
      </w:pPr>
      <w:r>
        <w:rPr>
          <w:rFonts w:ascii="Calibri" w:hAnsi="Calibri" w:cs="Times New Roman"/>
        </w:rPr>
        <w:t>The Refugee Convention 1951, which has special relevance for women and girl refugees in relation to conflict, and its Protocol of 1967.</w:t>
      </w:r>
      <w:r>
        <w:rPr>
          <w:rStyle w:val="FootnoteReference"/>
          <w:rFonts w:ascii="Calibri" w:hAnsi="Calibri" w:cs="Times New Roman"/>
        </w:rPr>
        <w:footnoteReference w:id="20"/>
      </w:r>
      <w:r>
        <w:rPr>
          <w:rFonts w:ascii="Calibri" w:hAnsi="Calibri" w:cs="Times New Roman"/>
        </w:rPr>
        <w:t xml:space="preserve"> </w:t>
      </w:r>
    </w:p>
    <w:p w14:paraId="73A4359C" w14:textId="11A067D0" w:rsidR="004E5EBC" w:rsidRDefault="004E5EBC" w:rsidP="00F91521">
      <w:pPr>
        <w:pStyle w:val="ListParagraph"/>
        <w:numPr>
          <w:ilvl w:val="1"/>
          <w:numId w:val="3"/>
        </w:numPr>
        <w:spacing w:line="360" w:lineRule="auto"/>
        <w:jc w:val="both"/>
        <w:rPr>
          <w:rFonts w:ascii="Calibri" w:hAnsi="Calibri" w:cs="Times New Roman"/>
        </w:rPr>
      </w:pPr>
      <w:r>
        <w:rPr>
          <w:rFonts w:ascii="Calibri" w:hAnsi="Calibri" w:cs="Times New Roman"/>
        </w:rPr>
        <w:t>The Convention against Torture 19</w:t>
      </w:r>
      <w:r w:rsidR="00C90972">
        <w:rPr>
          <w:rFonts w:ascii="Calibri" w:hAnsi="Calibri" w:cs="Times New Roman"/>
        </w:rPr>
        <w:t>84</w:t>
      </w:r>
      <w:r>
        <w:rPr>
          <w:rFonts w:ascii="Calibri" w:hAnsi="Calibri" w:cs="Times New Roman"/>
        </w:rPr>
        <w:t>, which has special relevance for the rights of women and girls to be free from violence, including torture and all forms of cruel, inhuman and degrading treatment.</w:t>
      </w:r>
      <w:r>
        <w:rPr>
          <w:rStyle w:val="FootnoteReference"/>
          <w:rFonts w:ascii="Calibri" w:hAnsi="Calibri" w:cs="Times New Roman"/>
        </w:rPr>
        <w:footnoteReference w:id="21"/>
      </w:r>
      <w:r>
        <w:rPr>
          <w:rFonts w:ascii="Calibri" w:hAnsi="Calibri" w:cs="Times New Roman"/>
        </w:rPr>
        <w:t xml:space="preserve"> </w:t>
      </w:r>
    </w:p>
    <w:p w14:paraId="7DA99056" w14:textId="5B9F7E52" w:rsidR="004E5EBC" w:rsidRDefault="002F55AB" w:rsidP="00F91521">
      <w:pPr>
        <w:pStyle w:val="ListParagraph"/>
        <w:numPr>
          <w:ilvl w:val="0"/>
          <w:numId w:val="3"/>
        </w:numPr>
        <w:spacing w:line="360" w:lineRule="auto"/>
        <w:jc w:val="both"/>
        <w:rPr>
          <w:rFonts w:ascii="Calibri" w:hAnsi="Calibri" w:cs="Times New Roman"/>
        </w:rPr>
      </w:pPr>
      <w:r>
        <w:rPr>
          <w:rFonts w:ascii="Calibri" w:hAnsi="Calibri" w:cs="Times New Roman"/>
        </w:rPr>
        <w:t>I</w:t>
      </w:r>
      <w:r w:rsidR="00C90972">
        <w:rPr>
          <w:rFonts w:ascii="Calibri" w:hAnsi="Calibri" w:cs="Times New Roman"/>
        </w:rPr>
        <w:t>nternational humanitarian law (I</w:t>
      </w:r>
      <w:r>
        <w:rPr>
          <w:rFonts w:ascii="Calibri" w:hAnsi="Calibri" w:cs="Times New Roman"/>
        </w:rPr>
        <w:t>HL</w:t>
      </w:r>
      <w:r w:rsidR="00C90972">
        <w:rPr>
          <w:rFonts w:ascii="Calibri" w:hAnsi="Calibri" w:cs="Times New Roman"/>
        </w:rPr>
        <w:t>)</w:t>
      </w:r>
      <w:r w:rsidR="004E5EBC">
        <w:rPr>
          <w:rFonts w:ascii="Calibri" w:hAnsi="Calibri" w:cs="Times New Roman"/>
        </w:rPr>
        <w:t xml:space="preserve"> treaties, n</w:t>
      </w:r>
      <w:r w:rsidR="005A5A22">
        <w:rPr>
          <w:rFonts w:ascii="Calibri" w:hAnsi="Calibri" w:cs="Times New Roman"/>
        </w:rPr>
        <w:t xml:space="preserve">amely the Geneva Conventions </w:t>
      </w:r>
      <w:r w:rsidR="004E5EBC">
        <w:rPr>
          <w:rFonts w:ascii="Calibri" w:hAnsi="Calibri" w:cs="Times New Roman"/>
        </w:rPr>
        <w:t>1949 and the Additional Protocols of 1977.</w:t>
      </w:r>
      <w:r w:rsidR="00671735">
        <w:rPr>
          <w:rStyle w:val="FootnoteReference"/>
          <w:rFonts w:ascii="Calibri" w:hAnsi="Calibri" w:cs="Times New Roman"/>
        </w:rPr>
        <w:footnoteReference w:id="22"/>
      </w:r>
    </w:p>
    <w:p w14:paraId="3C9E3654" w14:textId="2CF780E2" w:rsidR="000A3B73" w:rsidRDefault="004E5EBC" w:rsidP="00F91521">
      <w:pPr>
        <w:pStyle w:val="ListParagraph"/>
        <w:numPr>
          <w:ilvl w:val="0"/>
          <w:numId w:val="3"/>
        </w:numPr>
        <w:spacing w:line="360" w:lineRule="auto"/>
        <w:jc w:val="both"/>
        <w:rPr>
          <w:rFonts w:ascii="Calibri" w:hAnsi="Calibri" w:cs="Times New Roman"/>
        </w:rPr>
      </w:pPr>
      <w:r>
        <w:rPr>
          <w:rFonts w:ascii="Calibri" w:hAnsi="Calibri" w:cs="Times New Roman"/>
        </w:rPr>
        <w:lastRenderedPageBreak/>
        <w:t xml:space="preserve">International criminal law treaties, namely the Rome Statute of the International Criminal Court </w:t>
      </w:r>
      <w:r w:rsidR="002D38C7">
        <w:rPr>
          <w:rFonts w:ascii="Calibri" w:hAnsi="Calibri" w:cs="Times New Roman"/>
        </w:rPr>
        <w:t>1998</w:t>
      </w:r>
      <w:r>
        <w:rPr>
          <w:rFonts w:ascii="Calibri" w:hAnsi="Calibri" w:cs="Times New Roman"/>
        </w:rPr>
        <w:t>.</w:t>
      </w:r>
      <w:r>
        <w:rPr>
          <w:rStyle w:val="FootnoteReference"/>
          <w:rFonts w:ascii="Calibri" w:hAnsi="Calibri" w:cs="Times New Roman"/>
        </w:rPr>
        <w:footnoteReference w:id="23"/>
      </w:r>
    </w:p>
    <w:p w14:paraId="5B92C4FE" w14:textId="31EF6EE7" w:rsidR="00254256" w:rsidRPr="00254256" w:rsidRDefault="00254256" w:rsidP="00F91521">
      <w:pPr>
        <w:pStyle w:val="ListParagraph"/>
        <w:numPr>
          <w:ilvl w:val="0"/>
          <w:numId w:val="3"/>
        </w:numPr>
        <w:spacing w:line="360" w:lineRule="auto"/>
        <w:jc w:val="both"/>
        <w:rPr>
          <w:rFonts w:ascii="Calibri" w:hAnsi="Calibri" w:cs="Times New Roman"/>
        </w:rPr>
      </w:pPr>
      <w:r>
        <w:rPr>
          <w:rFonts w:ascii="Calibri" w:hAnsi="Calibri" w:cs="Times New Roman"/>
        </w:rPr>
        <w:t xml:space="preserve">Other relevant SCRs that address the WPS agenda including: the SCRs on </w:t>
      </w:r>
      <w:r w:rsidR="00241F65">
        <w:rPr>
          <w:rFonts w:ascii="Calibri" w:hAnsi="Calibri" w:cs="Times New Roman"/>
        </w:rPr>
        <w:t>children and</w:t>
      </w:r>
      <w:r>
        <w:rPr>
          <w:rFonts w:ascii="Calibri" w:hAnsi="Calibri" w:cs="Times New Roman"/>
        </w:rPr>
        <w:t xml:space="preserve"> armed conflict, including SCRs 1539 (2004) 1612 (2005) 1882 (2009) 1998 (2011) and 2143 (2014) and on armed conflict and post-conflict situations, as well as </w:t>
      </w:r>
      <w:r w:rsidRPr="00CD3D37">
        <w:rPr>
          <w:rFonts w:ascii="Calibri" w:hAnsi="Calibri" w:cs="Times New Roman"/>
        </w:rPr>
        <w:t>Presidential Statements of the Security Council relevant to the WPS agenda.</w:t>
      </w:r>
      <w:r>
        <w:rPr>
          <w:rStyle w:val="FootnoteReference"/>
          <w:rFonts w:ascii="Calibri" w:hAnsi="Calibri" w:cs="Times New Roman"/>
        </w:rPr>
        <w:footnoteReference w:id="24"/>
      </w:r>
      <w:r w:rsidRPr="00CD3D37">
        <w:rPr>
          <w:rFonts w:ascii="Calibri" w:hAnsi="Calibri" w:cs="Times New Roman"/>
        </w:rPr>
        <w:t xml:space="preserve"> </w:t>
      </w:r>
    </w:p>
    <w:p w14:paraId="7550DE9A" w14:textId="4E83EDF8" w:rsidR="000A3B73" w:rsidRDefault="000A3B73" w:rsidP="00F91521">
      <w:pPr>
        <w:pStyle w:val="ListParagraph"/>
        <w:numPr>
          <w:ilvl w:val="0"/>
          <w:numId w:val="3"/>
        </w:numPr>
        <w:spacing w:line="360" w:lineRule="auto"/>
        <w:jc w:val="both"/>
        <w:rPr>
          <w:rFonts w:ascii="Calibri" w:hAnsi="Calibri" w:cs="Times New Roman"/>
        </w:rPr>
      </w:pPr>
      <w:r>
        <w:rPr>
          <w:rFonts w:ascii="Calibri" w:hAnsi="Calibri" w:cs="Times New Roman"/>
        </w:rPr>
        <w:t xml:space="preserve">Declarations and programmes for action that are “soft law” but that </w:t>
      </w:r>
      <w:r w:rsidR="006121F6">
        <w:rPr>
          <w:rFonts w:ascii="Calibri" w:hAnsi="Calibri" w:cs="Times New Roman"/>
        </w:rPr>
        <w:t xml:space="preserve">are relevant to the rights of women and girls in armed conflict, especially </w:t>
      </w:r>
      <w:r>
        <w:rPr>
          <w:rFonts w:ascii="Calibri" w:hAnsi="Calibri" w:cs="Times New Roman"/>
        </w:rPr>
        <w:t xml:space="preserve">the </w:t>
      </w:r>
      <w:r w:rsidR="006121F6" w:rsidRPr="006121F6">
        <w:rPr>
          <w:rFonts w:ascii="Calibri" w:eastAsia="Times New Roman" w:hAnsi="Calibri" w:cs="Times New Roman"/>
          <w:bCs/>
          <w:color w:val="000000"/>
          <w:shd w:val="clear" w:color="auto" w:fill="FFFFFF"/>
        </w:rPr>
        <w:t>Declaration on the Protection of Women and Children in Emergency and Armed Conflict</w:t>
      </w:r>
      <w:r w:rsidR="006121F6">
        <w:rPr>
          <w:rFonts w:ascii="Calibri" w:eastAsia="Times New Roman" w:hAnsi="Calibri" w:cs="Times New Roman"/>
          <w:bCs/>
          <w:color w:val="000000"/>
          <w:shd w:val="clear" w:color="auto" w:fill="FFFFFF"/>
        </w:rPr>
        <w:t xml:space="preserve"> 1974</w:t>
      </w:r>
      <w:r w:rsidR="002214C5">
        <w:rPr>
          <w:rFonts w:ascii="Calibri" w:eastAsia="Times New Roman" w:hAnsi="Calibri" w:cs="Times New Roman"/>
          <w:bCs/>
          <w:color w:val="000000"/>
          <w:shd w:val="clear" w:color="auto" w:fill="FFFFFF"/>
        </w:rPr>
        <w:t>, the UN Declaration on the Elimination of Violence against Women</w:t>
      </w:r>
      <w:r w:rsidR="009C3ABB">
        <w:rPr>
          <w:rFonts w:ascii="Calibri" w:eastAsia="Times New Roman" w:hAnsi="Calibri" w:cs="Times New Roman"/>
          <w:bCs/>
          <w:color w:val="000000"/>
          <w:shd w:val="clear" w:color="auto" w:fill="FFFFFF"/>
        </w:rPr>
        <w:t xml:space="preserve"> 1993</w:t>
      </w:r>
      <w:r w:rsidR="006121F6" w:rsidRPr="000A3B73">
        <w:rPr>
          <w:rFonts w:ascii="Calibri" w:hAnsi="Calibri" w:cs="Times New Roman"/>
        </w:rPr>
        <w:t xml:space="preserve"> </w:t>
      </w:r>
      <w:r w:rsidR="006121F6">
        <w:rPr>
          <w:rFonts w:ascii="Calibri" w:hAnsi="Calibri" w:cs="Times New Roman"/>
        </w:rPr>
        <w:t xml:space="preserve">and the </w:t>
      </w:r>
      <w:r w:rsidRPr="000A3B73">
        <w:rPr>
          <w:rFonts w:ascii="Calibri" w:hAnsi="Calibri" w:cs="Times New Roman"/>
        </w:rPr>
        <w:t>Vienna Declaration</w:t>
      </w:r>
      <w:r>
        <w:rPr>
          <w:rFonts w:ascii="Calibri" w:hAnsi="Calibri" w:cs="Times New Roman"/>
        </w:rPr>
        <w:t xml:space="preserve"> and Programme of Action</w:t>
      </w:r>
      <w:r w:rsidRPr="000A3B73">
        <w:rPr>
          <w:rFonts w:ascii="Calibri" w:hAnsi="Calibri" w:cs="Times New Roman"/>
        </w:rPr>
        <w:t xml:space="preserve"> 1993</w:t>
      </w:r>
      <w:r>
        <w:rPr>
          <w:rFonts w:ascii="Calibri" w:hAnsi="Calibri" w:cs="Times New Roman"/>
        </w:rPr>
        <w:t>.</w:t>
      </w:r>
      <w:r>
        <w:rPr>
          <w:rStyle w:val="FootnoteReference"/>
          <w:rFonts w:ascii="Calibri" w:hAnsi="Calibri" w:cs="Times New Roman"/>
        </w:rPr>
        <w:footnoteReference w:id="25"/>
      </w:r>
    </w:p>
    <w:p w14:paraId="35F9EBB1" w14:textId="6FD1E947" w:rsidR="005460C4" w:rsidRPr="005460C4" w:rsidRDefault="00F01CF0" w:rsidP="00F91521">
      <w:pPr>
        <w:pStyle w:val="ListParagraph"/>
        <w:numPr>
          <w:ilvl w:val="0"/>
          <w:numId w:val="9"/>
        </w:numPr>
        <w:spacing w:line="360" w:lineRule="auto"/>
        <w:jc w:val="both"/>
        <w:rPr>
          <w:rFonts w:ascii="Calibri" w:hAnsi="Calibri" w:cs="Times New Roman"/>
        </w:rPr>
      </w:pPr>
      <w:r>
        <w:rPr>
          <w:rFonts w:ascii="Calibri" w:hAnsi="Calibri" w:cs="Times New Roman"/>
        </w:rPr>
        <w:t>R</w:t>
      </w:r>
      <w:r w:rsidR="005460C4">
        <w:rPr>
          <w:rFonts w:ascii="Calibri" w:hAnsi="Calibri" w:cs="Times New Roman"/>
        </w:rPr>
        <w:t xml:space="preserve">ecommendations in the reports of the Secretary-General relevant to </w:t>
      </w:r>
      <w:r w:rsidR="00241F65">
        <w:rPr>
          <w:rFonts w:ascii="Calibri" w:hAnsi="Calibri" w:cs="Times New Roman"/>
        </w:rPr>
        <w:t>the legal framework</w:t>
      </w:r>
      <w:r w:rsidR="00C10637">
        <w:rPr>
          <w:rFonts w:ascii="Calibri" w:hAnsi="Calibri" w:cs="Times New Roman"/>
        </w:rPr>
        <w:t xml:space="preserve"> on women, peace and security</w:t>
      </w:r>
      <w:r w:rsidR="005460C4">
        <w:rPr>
          <w:rFonts w:ascii="Calibri" w:hAnsi="Calibri" w:cs="Times New Roman"/>
        </w:rPr>
        <w:t xml:space="preserve">; the Concluding Observations and General </w:t>
      </w:r>
      <w:r w:rsidR="00241F65">
        <w:rPr>
          <w:rFonts w:ascii="Calibri" w:hAnsi="Calibri" w:cs="Times New Roman"/>
        </w:rPr>
        <w:t>Comments/</w:t>
      </w:r>
      <w:r w:rsidR="005460C4">
        <w:rPr>
          <w:rFonts w:ascii="Calibri" w:hAnsi="Calibri" w:cs="Times New Roman"/>
        </w:rPr>
        <w:t>Recommendations of the CEDAW Committee and other UN treaty bodies; the recommendations of the Special Representatives of the Secretary-General (SRSGs) on Sexual Violence in Conflict and Children and Armed Conflict; and recommendations made by the special procedures of the Human Rights Council on thematic issues and territo</w:t>
      </w:r>
      <w:r w:rsidR="00C10637">
        <w:rPr>
          <w:rFonts w:ascii="Calibri" w:hAnsi="Calibri" w:cs="Times New Roman"/>
        </w:rPr>
        <w:t>ries relevant to WPS, including</w:t>
      </w:r>
      <w:r w:rsidR="005460C4">
        <w:rPr>
          <w:rFonts w:ascii="Calibri" w:hAnsi="Calibri" w:cs="Times New Roman"/>
        </w:rPr>
        <w:t xml:space="preserve"> the Special Rapporteurs on: Violence against Women, its causes and consequences; the human rights of internally displaced persons; truth, justice, reparation and guarantees of non-recurrence; the situation of human rights in Somalia; the Sudan; the Syrian Arab Republic; and the Palestinian territories occupied since 1967. </w:t>
      </w:r>
    </w:p>
    <w:p w14:paraId="5E0B5B91" w14:textId="77777777" w:rsidR="006121F6" w:rsidRDefault="006121F6" w:rsidP="004E5EBC">
      <w:pPr>
        <w:rPr>
          <w:rFonts w:ascii="Calibri" w:hAnsi="Calibri" w:cs="Times New Roman"/>
        </w:rPr>
      </w:pPr>
    </w:p>
    <w:p w14:paraId="271C5F5E" w14:textId="77777777" w:rsidR="004E5EBC" w:rsidRDefault="004E5EBC" w:rsidP="00F91521">
      <w:pPr>
        <w:spacing w:line="360" w:lineRule="auto"/>
        <w:rPr>
          <w:rFonts w:ascii="Calibri" w:hAnsi="Calibri" w:cs="Times New Roman"/>
        </w:rPr>
      </w:pPr>
      <w:r>
        <w:rPr>
          <w:rFonts w:ascii="Calibri" w:hAnsi="Calibri" w:cs="Times New Roman"/>
        </w:rPr>
        <w:t xml:space="preserve">Similarly, while this section does not cover regional human rights law in-depth, it acknowledges the importance of regional treaties that strengthen the framework on WPS. In particular these include:  </w:t>
      </w:r>
    </w:p>
    <w:p w14:paraId="3201F682" w14:textId="77777777" w:rsidR="00B2494C" w:rsidRDefault="00B2494C" w:rsidP="004E5EBC">
      <w:pPr>
        <w:rPr>
          <w:rFonts w:ascii="Calibri" w:hAnsi="Calibri" w:cs="Times New Roman"/>
        </w:rPr>
      </w:pPr>
    </w:p>
    <w:p w14:paraId="06835432" w14:textId="77777777" w:rsidR="004E5EBC" w:rsidRPr="009E46B7" w:rsidRDefault="004E5EBC" w:rsidP="00F91521">
      <w:pPr>
        <w:pStyle w:val="ListParagraph"/>
        <w:numPr>
          <w:ilvl w:val="0"/>
          <w:numId w:val="4"/>
        </w:numPr>
        <w:spacing w:line="360" w:lineRule="auto"/>
        <w:jc w:val="both"/>
        <w:rPr>
          <w:rFonts w:ascii="Calibri" w:hAnsi="Calibri" w:cs="Times New Roman"/>
        </w:rPr>
      </w:pPr>
      <w:r>
        <w:rPr>
          <w:rFonts w:ascii="Calibri" w:hAnsi="Calibri" w:cs="Times New Roman"/>
        </w:rPr>
        <w:t xml:space="preserve">The </w:t>
      </w:r>
      <w:r w:rsidRPr="009E46B7">
        <w:rPr>
          <w:rFonts w:ascii="Calibri" w:hAnsi="Calibri" w:cs="Times New Roman"/>
        </w:rPr>
        <w:t xml:space="preserve">Council of Europe Convention on Preventing and Combating Gender Based Violence and Domestic Violence </w:t>
      </w:r>
      <w:r>
        <w:rPr>
          <w:rFonts w:ascii="Calibri" w:hAnsi="Calibri" w:cs="Times New Roman"/>
        </w:rPr>
        <w:t>(the Istanbul Convention, 2011).</w:t>
      </w:r>
    </w:p>
    <w:p w14:paraId="7741BABB" w14:textId="09441E8B" w:rsidR="004E5EBC" w:rsidRPr="009E46B7" w:rsidRDefault="004E5EBC" w:rsidP="00F91521">
      <w:pPr>
        <w:pStyle w:val="ListParagraph"/>
        <w:numPr>
          <w:ilvl w:val="0"/>
          <w:numId w:val="4"/>
        </w:numPr>
        <w:spacing w:line="360" w:lineRule="auto"/>
        <w:jc w:val="both"/>
        <w:rPr>
          <w:rFonts w:ascii="Calibri" w:hAnsi="Calibri" w:cs="Times New Roman"/>
        </w:rPr>
      </w:pPr>
      <w:r>
        <w:rPr>
          <w:rFonts w:ascii="Calibri" w:hAnsi="Calibri" w:cs="Times New Roman"/>
        </w:rPr>
        <w:lastRenderedPageBreak/>
        <w:t xml:space="preserve">The </w:t>
      </w:r>
      <w:r w:rsidRPr="009E46B7">
        <w:rPr>
          <w:rFonts w:ascii="Calibri" w:hAnsi="Calibri" w:cs="Times New Roman"/>
        </w:rPr>
        <w:t xml:space="preserve">Inter American Convention on the Prevention, Punishment and Eradication of Violence against </w:t>
      </w:r>
      <w:r w:rsidRPr="0058203B">
        <w:rPr>
          <w:rFonts w:ascii="Calibri" w:hAnsi="Calibri" w:cs="Times New Roman"/>
        </w:rPr>
        <w:t xml:space="preserve">Women </w:t>
      </w:r>
      <w:r w:rsidR="007138F0">
        <w:rPr>
          <w:rFonts w:ascii="Calibri" w:hAnsi="Calibri" w:cs="Times New Roman"/>
        </w:rPr>
        <w:t xml:space="preserve">1994 </w:t>
      </w:r>
      <w:r w:rsidRPr="0058203B">
        <w:rPr>
          <w:rFonts w:ascii="Calibri" w:hAnsi="Calibri" w:cs="Times New Roman"/>
        </w:rPr>
        <w:t>(Co</w:t>
      </w:r>
      <w:r w:rsidR="007138F0">
        <w:rPr>
          <w:rFonts w:ascii="Calibri" w:hAnsi="Calibri" w:cs="Times New Roman"/>
        </w:rPr>
        <w:t>nvention of Belém do Pará</w:t>
      </w:r>
      <w:r w:rsidRPr="0058203B">
        <w:rPr>
          <w:rFonts w:ascii="Calibri" w:hAnsi="Calibri" w:cs="Times New Roman"/>
        </w:rPr>
        <w:t>)</w:t>
      </w:r>
      <w:r>
        <w:rPr>
          <w:rFonts w:ascii="Calibri" w:hAnsi="Calibri" w:cs="Times New Roman"/>
        </w:rPr>
        <w:t>. The Convention and the jurisprudence of the Inter-American Court of Human Rights are discussed in Section 3 relation to transformative remedies.</w:t>
      </w:r>
    </w:p>
    <w:p w14:paraId="2FA59D75" w14:textId="7DDD26C8" w:rsidR="004E5EBC" w:rsidRDefault="004E5EBC" w:rsidP="00F91521">
      <w:pPr>
        <w:pStyle w:val="ListParagraph"/>
        <w:numPr>
          <w:ilvl w:val="0"/>
          <w:numId w:val="4"/>
        </w:numPr>
        <w:spacing w:line="360" w:lineRule="auto"/>
        <w:jc w:val="both"/>
        <w:rPr>
          <w:rFonts w:ascii="Calibri" w:hAnsi="Calibri" w:cs="Times New Roman"/>
        </w:rPr>
      </w:pPr>
      <w:r>
        <w:rPr>
          <w:rFonts w:ascii="Calibri" w:hAnsi="Calibri" w:cs="Times New Roman"/>
        </w:rPr>
        <w:t xml:space="preserve">The </w:t>
      </w:r>
      <w:r w:rsidRPr="009E46B7">
        <w:rPr>
          <w:rFonts w:ascii="Calibri" w:hAnsi="Calibri" w:cs="Times New Roman"/>
        </w:rPr>
        <w:t xml:space="preserve">African Charter on </w:t>
      </w:r>
      <w:r>
        <w:rPr>
          <w:rFonts w:ascii="Calibri" w:hAnsi="Calibri" w:cs="Times New Roman"/>
        </w:rPr>
        <w:t>Human and People’s Rights</w:t>
      </w:r>
      <w:r w:rsidR="00D06099">
        <w:rPr>
          <w:rFonts w:ascii="Calibri" w:hAnsi="Calibri" w:cs="Times New Roman"/>
        </w:rPr>
        <w:t xml:space="preserve"> </w:t>
      </w:r>
      <w:r w:rsidR="00572C4B">
        <w:rPr>
          <w:rFonts w:ascii="Calibri" w:hAnsi="Calibri" w:cs="Times New Roman"/>
        </w:rPr>
        <w:t>1981;</w:t>
      </w:r>
      <w:r>
        <w:rPr>
          <w:rFonts w:ascii="Calibri" w:hAnsi="Calibri" w:cs="Times New Roman"/>
        </w:rPr>
        <w:t xml:space="preserve"> and its accompanying Protocol o</w:t>
      </w:r>
      <w:r w:rsidR="00D06099">
        <w:rPr>
          <w:rFonts w:ascii="Calibri" w:hAnsi="Calibri" w:cs="Times New Roman"/>
        </w:rPr>
        <w:t>n the Rights of Women in Africa</w:t>
      </w:r>
      <w:r w:rsidR="00572C4B">
        <w:rPr>
          <w:rFonts w:ascii="Calibri" w:hAnsi="Calibri" w:cs="Times New Roman"/>
        </w:rPr>
        <w:t xml:space="preserve"> </w:t>
      </w:r>
      <w:r w:rsidR="00C10637">
        <w:rPr>
          <w:rFonts w:ascii="Calibri" w:hAnsi="Calibri" w:cs="Times New Roman"/>
        </w:rPr>
        <w:t xml:space="preserve">2003. </w:t>
      </w:r>
    </w:p>
    <w:p w14:paraId="7B8EF0E8" w14:textId="20D60795" w:rsidR="00572C4B" w:rsidRDefault="00572C4B" w:rsidP="00F91521">
      <w:pPr>
        <w:pStyle w:val="ListParagraph"/>
        <w:numPr>
          <w:ilvl w:val="0"/>
          <w:numId w:val="4"/>
        </w:numPr>
        <w:spacing w:line="360" w:lineRule="auto"/>
        <w:jc w:val="both"/>
        <w:rPr>
          <w:rFonts w:ascii="Calibri" w:hAnsi="Calibri" w:cs="Times New Roman"/>
        </w:rPr>
      </w:pPr>
      <w:r>
        <w:rPr>
          <w:rFonts w:ascii="Calibri" w:hAnsi="Calibri" w:cs="Times New Roman"/>
        </w:rPr>
        <w:t xml:space="preserve">The African Charter on the Rights and Welfare </w:t>
      </w:r>
      <w:r w:rsidR="00D06099">
        <w:rPr>
          <w:rFonts w:ascii="Calibri" w:hAnsi="Calibri" w:cs="Times New Roman"/>
        </w:rPr>
        <w:t>of the Child</w:t>
      </w:r>
      <w:r w:rsidR="009D1B43">
        <w:rPr>
          <w:rFonts w:ascii="Calibri" w:hAnsi="Calibri" w:cs="Times New Roman"/>
        </w:rPr>
        <w:t xml:space="preserve"> </w:t>
      </w:r>
      <w:r>
        <w:rPr>
          <w:rFonts w:ascii="Calibri" w:hAnsi="Calibri" w:cs="Times New Roman"/>
        </w:rPr>
        <w:t xml:space="preserve">1990. </w:t>
      </w:r>
    </w:p>
    <w:p w14:paraId="7F965F5A" w14:textId="77777777" w:rsidR="004E5EBC" w:rsidRPr="003A74E7" w:rsidRDefault="004E5EBC" w:rsidP="004E5EBC">
      <w:pPr>
        <w:rPr>
          <w:rFonts w:ascii="Calibri" w:hAnsi="Calibri" w:cs="Times New Roman"/>
        </w:rPr>
      </w:pPr>
      <w:r>
        <w:rPr>
          <w:rFonts w:ascii="Calibri" w:hAnsi="Calibri" w:cs="Times New Roman"/>
        </w:rPr>
        <w:br w:type="page"/>
      </w:r>
    </w:p>
    <w:p w14:paraId="000E088B" w14:textId="3A1A8563" w:rsidR="003742A9" w:rsidRPr="000E78A5" w:rsidRDefault="003742A9" w:rsidP="003742A9">
      <w:pPr>
        <w:pStyle w:val="Heading3"/>
        <w:keepLines/>
        <w:spacing w:before="20" w:after="0"/>
        <w:jc w:val="center"/>
        <w:rPr>
          <w:b w:val="0"/>
          <w:color w:val="1F497D" w:themeColor="text2"/>
          <w:spacing w:val="14"/>
          <w:sz w:val="32"/>
          <w:szCs w:val="32"/>
          <w:lang w:val="en-GB"/>
        </w:rPr>
      </w:pPr>
      <w:bookmarkStart w:id="4" w:name="_Toc416867082"/>
      <w:r>
        <w:rPr>
          <w:b w:val="0"/>
          <w:color w:val="1F497D" w:themeColor="text2"/>
          <w:spacing w:val="14"/>
          <w:sz w:val="32"/>
          <w:szCs w:val="32"/>
          <w:lang w:val="en-GB"/>
        </w:rPr>
        <w:lastRenderedPageBreak/>
        <w:t>SCR 1325: REFLECTING INTERNATIONAL LAW, ESPECIALLY CEDAW, OBLIGATIONS</w:t>
      </w:r>
      <w:bookmarkEnd w:id="4"/>
    </w:p>
    <w:p w14:paraId="2FB06379" w14:textId="77777777" w:rsidR="00B2494C" w:rsidRPr="00473EE5" w:rsidRDefault="00B2494C" w:rsidP="00B2494C">
      <w:pPr>
        <w:rPr>
          <w:rFonts w:asciiTheme="majorHAnsi" w:hAnsiTheme="majorHAnsi"/>
          <w:lang w:val="en-US"/>
        </w:rPr>
      </w:pPr>
    </w:p>
    <w:p w14:paraId="6439851B" w14:textId="43ECBD7A" w:rsidR="00445830" w:rsidRPr="00473EE5" w:rsidRDefault="004E5EBC" w:rsidP="00B55114">
      <w:pPr>
        <w:spacing w:line="360" w:lineRule="auto"/>
        <w:jc w:val="both"/>
        <w:rPr>
          <w:rFonts w:asciiTheme="majorHAnsi" w:hAnsiTheme="majorHAnsi"/>
        </w:rPr>
      </w:pPr>
      <w:r w:rsidRPr="00473EE5">
        <w:rPr>
          <w:rFonts w:asciiTheme="majorHAnsi" w:hAnsiTheme="majorHAnsi" w:cs="Times New Roman"/>
        </w:rPr>
        <w:t>The f</w:t>
      </w:r>
      <w:r w:rsidRPr="00473EE5">
        <w:rPr>
          <w:rFonts w:asciiTheme="majorHAnsi" w:hAnsiTheme="majorHAnsi"/>
        </w:rPr>
        <w:t xml:space="preserve">our pillars </w:t>
      </w:r>
      <w:r w:rsidR="00DF6CBA" w:rsidRPr="00473EE5">
        <w:rPr>
          <w:rFonts w:asciiTheme="majorHAnsi" w:hAnsiTheme="majorHAnsi"/>
        </w:rPr>
        <w:t>of</w:t>
      </w:r>
      <w:r w:rsidRPr="00473EE5">
        <w:rPr>
          <w:rFonts w:asciiTheme="majorHAnsi" w:hAnsiTheme="majorHAnsi"/>
        </w:rPr>
        <w:t xml:space="preserve"> SCR 1325 </w:t>
      </w:r>
      <w:r w:rsidR="00F56490" w:rsidRPr="00473EE5">
        <w:rPr>
          <w:rFonts w:asciiTheme="majorHAnsi" w:hAnsiTheme="majorHAnsi"/>
        </w:rPr>
        <w:t>(</w:t>
      </w:r>
      <w:r w:rsidRPr="00473EE5">
        <w:rPr>
          <w:rFonts w:asciiTheme="majorHAnsi" w:hAnsiTheme="majorHAnsi"/>
        </w:rPr>
        <w:t>participation, protection, prevention, and relief and recovery</w:t>
      </w:r>
      <w:r w:rsidR="00F56490" w:rsidRPr="00473EE5">
        <w:rPr>
          <w:rFonts w:asciiTheme="majorHAnsi" w:hAnsiTheme="majorHAnsi"/>
        </w:rPr>
        <w:t>)</w:t>
      </w:r>
      <w:r w:rsidR="00CC11CF" w:rsidRPr="00473EE5">
        <w:rPr>
          <w:rFonts w:asciiTheme="majorHAnsi" w:hAnsiTheme="majorHAnsi"/>
        </w:rPr>
        <w:t xml:space="preserve"> reflect states’ </w:t>
      </w:r>
      <w:r w:rsidR="00294A21" w:rsidRPr="00473EE5">
        <w:rPr>
          <w:rFonts w:asciiTheme="majorHAnsi" w:hAnsiTheme="majorHAnsi"/>
        </w:rPr>
        <w:t xml:space="preserve">existing </w:t>
      </w:r>
      <w:r w:rsidR="00CC11CF" w:rsidRPr="00473EE5">
        <w:rPr>
          <w:rFonts w:asciiTheme="majorHAnsi" w:hAnsiTheme="majorHAnsi"/>
        </w:rPr>
        <w:t xml:space="preserve">obligations, </w:t>
      </w:r>
      <w:r w:rsidR="001D05E5" w:rsidRPr="00473EE5">
        <w:rPr>
          <w:rFonts w:asciiTheme="majorHAnsi" w:hAnsiTheme="majorHAnsi"/>
        </w:rPr>
        <w:t xml:space="preserve">especially </w:t>
      </w:r>
      <w:r w:rsidR="00CC11CF" w:rsidRPr="00473EE5">
        <w:rPr>
          <w:rFonts w:asciiTheme="majorHAnsi" w:hAnsiTheme="majorHAnsi"/>
        </w:rPr>
        <w:t xml:space="preserve">to fully implement </w:t>
      </w:r>
      <w:r w:rsidR="00EF7AF4" w:rsidRPr="00473EE5">
        <w:rPr>
          <w:rFonts w:asciiTheme="majorHAnsi" w:hAnsiTheme="majorHAnsi"/>
        </w:rPr>
        <w:t xml:space="preserve">international humanitarian law </w:t>
      </w:r>
      <w:r w:rsidR="00CC11CF" w:rsidRPr="00473EE5">
        <w:rPr>
          <w:rFonts w:asciiTheme="majorHAnsi" w:hAnsiTheme="majorHAnsi"/>
        </w:rPr>
        <w:t xml:space="preserve">and </w:t>
      </w:r>
      <w:r w:rsidR="00EF7AF4" w:rsidRPr="00473EE5">
        <w:rPr>
          <w:rFonts w:asciiTheme="majorHAnsi" w:hAnsiTheme="majorHAnsi"/>
        </w:rPr>
        <w:t xml:space="preserve">international </w:t>
      </w:r>
      <w:r w:rsidR="00CC11CF" w:rsidRPr="00473EE5">
        <w:rPr>
          <w:rFonts w:asciiTheme="majorHAnsi" w:hAnsiTheme="majorHAnsi"/>
        </w:rPr>
        <w:t xml:space="preserve">human rights law </w:t>
      </w:r>
      <w:r w:rsidR="008148BE" w:rsidRPr="00473EE5">
        <w:rPr>
          <w:rFonts w:asciiTheme="majorHAnsi" w:hAnsiTheme="majorHAnsi"/>
        </w:rPr>
        <w:t>to protect</w:t>
      </w:r>
      <w:r w:rsidR="00CC11CF" w:rsidRPr="00473EE5">
        <w:rPr>
          <w:rFonts w:asciiTheme="majorHAnsi" w:hAnsiTheme="majorHAnsi"/>
        </w:rPr>
        <w:t xml:space="preserve"> women and girls during and after conflicts</w:t>
      </w:r>
      <w:r w:rsidRPr="00473EE5">
        <w:rPr>
          <w:rFonts w:asciiTheme="majorHAnsi" w:hAnsiTheme="majorHAnsi"/>
        </w:rPr>
        <w:t>.</w:t>
      </w:r>
      <w:r w:rsidR="00CC11CF" w:rsidRPr="00473EE5">
        <w:rPr>
          <w:rStyle w:val="FootnoteReference"/>
          <w:rFonts w:asciiTheme="majorHAnsi" w:hAnsiTheme="majorHAnsi"/>
        </w:rPr>
        <w:footnoteReference w:id="26"/>
      </w:r>
      <w:r w:rsidRPr="00473EE5">
        <w:rPr>
          <w:rFonts w:asciiTheme="majorHAnsi" w:hAnsiTheme="majorHAnsi"/>
        </w:rPr>
        <w:t xml:space="preserve"> </w:t>
      </w:r>
      <w:r w:rsidR="009227D0" w:rsidRPr="00473EE5">
        <w:rPr>
          <w:rFonts w:asciiTheme="majorHAnsi" w:hAnsiTheme="majorHAnsi"/>
        </w:rPr>
        <w:t>The</w:t>
      </w:r>
      <w:r w:rsidR="001B752A" w:rsidRPr="00473EE5">
        <w:rPr>
          <w:rFonts w:asciiTheme="majorHAnsi" w:hAnsiTheme="majorHAnsi"/>
        </w:rPr>
        <w:t xml:space="preserve"> text of SCR 1325</w:t>
      </w:r>
      <w:r w:rsidR="009227D0" w:rsidRPr="00473EE5">
        <w:rPr>
          <w:rFonts w:asciiTheme="majorHAnsi" w:hAnsiTheme="majorHAnsi"/>
        </w:rPr>
        <w:t xml:space="preserve">, by reflecting </w:t>
      </w:r>
      <w:r w:rsidR="00A94714" w:rsidRPr="00473EE5">
        <w:rPr>
          <w:rFonts w:asciiTheme="majorHAnsi" w:hAnsiTheme="majorHAnsi"/>
        </w:rPr>
        <w:t xml:space="preserve">other sources of </w:t>
      </w:r>
      <w:r w:rsidR="001B752A" w:rsidRPr="00473EE5">
        <w:rPr>
          <w:rFonts w:asciiTheme="majorHAnsi" w:hAnsiTheme="majorHAnsi"/>
        </w:rPr>
        <w:t xml:space="preserve">international law, </w:t>
      </w:r>
      <w:r w:rsidR="00EF7AF4" w:rsidRPr="00473EE5">
        <w:rPr>
          <w:rFonts w:asciiTheme="majorHAnsi" w:hAnsiTheme="majorHAnsi"/>
        </w:rPr>
        <w:t xml:space="preserve">reinforces the commitments of UN Member States to take action on upholding the rights in the </w:t>
      </w:r>
      <w:r w:rsidR="006C6C79" w:rsidRPr="00473EE5">
        <w:rPr>
          <w:rFonts w:asciiTheme="majorHAnsi" w:hAnsiTheme="majorHAnsi"/>
        </w:rPr>
        <w:t>legal framework</w:t>
      </w:r>
      <w:r w:rsidR="00216755" w:rsidRPr="00473EE5">
        <w:rPr>
          <w:rFonts w:asciiTheme="majorHAnsi" w:hAnsiTheme="majorHAnsi"/>
        </w:rPr>
        <w:t xml:space="preserve"> on women, peace and security</w:t>
      </w:r>
      <w:r w:rsidR="00E337FD" w:rsidRPr="00473EE5">
        <w:rPr>
          <w:rFonts w:asciiTheme="majorHAnsi" w:hAnsiTheme="majorHAnsi"/>
        </w:rPr>
        <w:t>.</w:t>
      </w:r>
      <w:r w:rsidR="001B752A" w:rsidRPr="00473EE5">
        <w:rPr>
          <w:rFonts w:asciiTheme="majorHAnsi" w:hAnsiTheme="majorHAnsi"/>
        </w:rPr>
        <w:t xml:space="preserve"> </w:t>
      </w:r>
      <w:r w:rsidR="006C6C79" w:rsidRPr="00473EE5">
        <w:rPr>
          <w:rFonts w:asciiTheme="majorHAnsi" w:hAnsiTheme="majorHAnsi"/>
        </w:rPr>
        <w:t xml:space="preserve">The Resolution </w:t>
      </w:r>
      <w:r w:rsidR="00E337FD" w:rsidRPr="00473EE5">
        <w:rPr>
          <w:rFonts w:asciiTheme="majorHAnsi" w:hAnsiTheme="majorHAnsi"/>
        </w:rPr>
        <w:t>directly references</w:t>
      </w:r>
      <w:r w:rsidR="00CC11CF" w:rsidRPr="00473EE5">
        <w:rPr>
          <w:rFonts w:asciiTheme="majorHAnsi" w:hAnsiTheme="majorHAnsi"/>
        </w:rPr>
        <w:t xml:space="preserve"> treaties, calling all parties to </w:t>
      </w:r>
      <w:r w:rsidR="00F56490" w:rsidRPr="00473EE5">
        <w:rPr>
          <w:rFonts w:asciiTheme="majorHAnsi" w:hAnsiTheme="majorHAnsi"/>
        </w:rPr>
        <w:t xml:space="preserve">armed </w:t>
      </w:r>
      <w:r w:rsidR="00CC11CF" w:rsidRPr="00473EE5">
        <w:rPr>
          <w:rFonts w:asciiTheme="majorHAnsi" w:hAnsiTheme="majorHAnsi"/>
        </w:rPr>
        <w:t>conflict to fully respect their obligations under the: Geneva Conventions</w:t>
      </w:r>
      <w:r w:rsidR="008C46F9" w:rsidRPr="00473EE5">
        <w:rPr>
          <w:rFonts w:asciiTheme="majorHAnsi" w:hAnsiTheme="majorHAnsi"/>
        </w:rPr>
        <w:t xml:space="preserve"> 1949</w:t>
      </w:r>
      <w:r w:rsidR="006C6C79" w:rsidRPr="00473EE5">
        <w:rPr>
          <w:rFonts w:asciiTheme="majorHAnsi" w:hAnsiTheme="majorHAnsi"/>
        </w:rPr>
        <w:t xml:space="preserve"> </w:t>
      </w:r>
      <w:r w:rsidR="00CC11CF" w:rsidRPr="00473EE5">
        <w:rPr>
          <w:rFonts w:asciiTheme="majorHAnsi" w:hAnsiTheme="majorHAnsi"/>
        </w:rPr>
        <w:t>and 1977 Additional Protocols;</w:t>
      </w:r>
      <w:r w:rsidR="008C46F9" w:rsidRPr="00473EE5">
        <w:rPr>
          <w:rFonts w:asciiTheme="majorHAnsi" w:hAnsiTheme="majorHAnsi"/>
        </w:rPr>
        <w:t xml:space="preserve"> the</w:t>
      </w:r>
      <w:r w:rsidR="00CC11CF" w:rsidRPr="00473EE5">
        <w:rPr>
          <w:rFonts w:asciiTheme="majorHAnsi" w:hAnsiTheme="majorHAnsi"/>
        </w:rPr>
        <w:t xml:space="preserve"> Refugee Convention</w:t>
      </w:r>
      <w:r w:rsidR="006C6C79" w:rsidRPr="00473EE5">
        <w:rPr>
          <w:rFonts w:asciiTheme="majorHAnsi" w:hAnsiTheme="majorHAnsi"/>
        </w:rPr>
        <w:t xml:space="preserve"> 1951</w:t>
      </w:r>
      <w:r w:rsidR="00CC11CF" w:rsidRPr="00473EE5">
        <w:rPr>
          <w:rFonts w:asciiTheme="majorHAnsi" w:hAnsiTheme="majorHAnsi"/>
        </w:rPr>
        <w:t xml:space="preserve"> and </w:t>
      </w:r>
      <w:r w:rsidR="006C6C79" w:rsidRPr="00473EE5">
        <w:rPr>
          <w:rFonts w:asciiTheme="majorHAnsi" w:hAnsiTheme="majorHAnsi"/>
        </w:rPr>
        <w:t>1967 Protocol</w:t>
      </w:r>
      <w:r w:rsidR="00CC11CF" w:rsidRPr="00473EE5">
        <w:rPr>
          <w:rFonts w:asciiTheme="majorHAnsi" w:hAnsiTheme="majorHAnsi"/>
        </w:rPr>
        <w:t>; and other UN Treaties including CEDAW and its Optional Protocol</w:t>
      </w:r>
      <w:r w:rsidR="008C46F9" w:rsidRPr="00473EE5">
        <w:rPr>
          <w:rFonts w:asciiTheme="majorHAnsi" w:hAnsiTheme="majorHAnsi"/>
        </w:rPr>
        <w:t xml:space="preserve"> 1999</w:t>
      </w:r>
      <w:r w:rsidR="00CC11CF" w:rsidRPr="00473EE5">
        <w:rPr>
          <w:rFonts w:asciiTheme="majorHAnsi" w:hAnsiTheme="majorHAnsi"/>
        </w:rPr>
        <w:t xml:space="preserve">; the </w:t>
      </w:r>
      <w:r w:rsidR="006C6C79" w:rsidRPr="00473EE5">
        <w:rPr>
          <w:rFonts w:asciiTheme="majorHAnsi" w:hAnsiTheme="majorHAnsi"/>
        </w:rPr>
        <w:t>CRC</w:t>
      </w:r>
      <w:r w:rsidR="00CC11CF" w:rsidRPr="00473EE5">
        <w:rPr>
          <w:rFonts w:asciiTheme="majorHAnsi" w:hAnsiTheme="majorHAnsi"/>
        </w:rPr>
        <w:t xml:space="preserve"> and </w:t>
      </w:r>
      <w:r w:rsidR="006C6C79" w:rsidRPr="00473EE5">
        <w:rPr>
          <w:rFonts w:asciiTheme="majorHAnsi" w:hAnsiTheme="majorHAnsi"/>
        </w:rPr>
        <w:t>its</w:t>
      </w:r>
      <w:r w:rsidR="008C46F9" w:rsidRPr="00473EE5">
        <w:rPr>
          <w:rFonts w:asciiTheme="majorHAnsi" w:hAnsiTheme="majorHAnsi"/>
        </w:rPr>
        <w:t xml:space="preserve"> two</w:t>
      </w:r>
      <w:r w:rsidR="00CC11CF" w:rsidRPr="00473EE5">
        <w:rPr>
          <w:rFonts w:asciiTheme="majorHAnsi" w:hAnsiTheme="majorHAnsi"/>
        </w:rPr>
        <w:t xml:space="preserve"> Optional Protocols</w:t>
      </w:r>
      <w:r w:rsidR="008C46F9" w:rsidRPr="00473EE5">
        <w:rPr>
          <w:rFonts w:asciiTheme="majorHAnsi" w:hAnsiTheme="majorHAnsi"/>
        </w:rPr>
        <w:t xml:space="preserve"> 2000</w:t>
      </w:r>
      <w:r w:rsidR="00CC11CF" w:rsidRPr="00473EE5">
        <w:rPr>
          <w:rFonts w:asciiTheme="majorHAnsi" w:hAnsiTheme="majorHAnsi"/>
        </w:rPr>
        <w:t>; and the Rome Statute</w:t>
      </w:r>
      <w:r w:rsidR="001D05E5" w:rsidRPr="00473EE5">
        <w:rPr>
          <w:rFonts w:asciiTheme="majorHAnsi" w:hAnsiTheme="majorHAnsi"/>
        </w:rPr>
        <w:t xml:space="preserve"> 1998</w:t>
      </w:r>
      <w:r w:rsidR="00CC11CF" w:rsidRPr="00473EE5">
        <w:rPr>
          <w:rFonts w:asciiTheme="majorHAnsi" w:hAnsiTheme="majorHAnsi"/>
        </w:rPr>
        <w:t>.</w:t>
      </w:r>
      <w:r w:rsidR="00CC11CF" w:rsidRPr="00473EE5">
        <w:rPr>
          <w:rStyle w:val="FootnoteReference"/>
          <w:rFonts w:asciiTheme="majorHAnsi" w:hAnsiTheme="majorHAnsi"/>
        </w:rPr>
        <w:footnoteReference w:id="27"/>
      </w:r>
      <w:r w:rsidR="00CC11CF" w:rsidRPr="00473EE5">
        <w:rPr>
          <w:rFonts w:asciiTheme="majorHAnsi" w:hAnsiTheme="majorHAnsi"/>
        </w:rPr>
        <w:t xml:space="preserve">  </w:t>
      </w:r>
      <w:r w:rsidR="006C6C79" w:rsidRPr="00473EE5">
        <w:rPr>
          <w:rFonts w:asciiTheme="majorHAnsi" w:hAnsiTheme="majorHAnsi"/>
        </w:rPr>
        <w:t>The Resolution</w:t>
      </w:r>
      <w:r w:rsidR="00E337FD" w:rsidRPr="00473EE5">
        <w:rPr>
          <w:rFonts w:asciiTheme="majorHAnsi" w:hAnsiTheme="majorHAnsi"/>
        </w:rPr>
        <w:t xml:space="preserve"> also </w:t>
      </w:r>
      <w:r w:rsidR="006C6C79" w:rsidRPr="00473EE5">
        <w:rPr>
          <w:rFonts w:asciiTheme="majorHAnsi" w:hAnsiTheme="majorHAnsi"/>
        </w:rPr>
        <w:t>reflects</w:t>
      </w:r>
      <w:r w:rsidR="008148BE" w:rsidRPr="00473EE5">
        <w:rPr>
          <w:rFonts w:asciiTheme="majorHAnsi" w:hAnsiTheme="majorHAnsi"/>
        </w:rPr>
        <w:t xml:space="preserve"> </w:t>
      </w:r>
      <w:r w:rsidR="009227D0" w:rsidRPr="00473EE5">
        <w:rPr>
          <w:rFonts w:asciiTheme="majorHAnsi" w:hAnsiTheme="majorHAnsi"/>
        </w:rPr>
        <w:t>international</w:t>
      </w:r>
      <w:r w:rsidR="006C6C79" w:rsidRPr="00473EE5">
        <w:rPr>
          <w:rFonts w:asciiTheme="majorHAnsi" w:hAnsiTheme="majorHAnsi"/>
        </w:rPr>
        <w:t xml:space="preserve"> treaty and customary</w:t>
      </w:r>
      <w:r w:rsidR="009227D0" w:rsidRPr="00473EE5">
        <w:rPr>
          <w:rFonts w:asciiTheme="majorHAnsi" w:hAnsiTheme="majorHAnsi"/>
        </w:rPr>
        <w:t xml:space="preserve"> law </w:t>
      </w:r>
      <w:r w:rsidR="002E0E22" w:rsidRPr="00473EE5">
        <w:rPr>
          <w:rFonts w:asciiTheme="majorHAnsi" w:hAnsiTheme="majorHAnsi"/>
        </w:rPr>
        <w:t>protections</w:t>
      </w:r>
      <w:r w:rsidR="00F56490" w:rsidRPr="00473EE5">
        <w:rPr>
          <w:rFonts w:asciiTheme="majorHAnsi" w:hAnsiTheme="majorHAnsi"/>
        </w:rPr>
        <w:t xml:space="preserve"> under each pillar</w:t>
      </w:r>
      <w:r w:rsidR="008148BE" w:rsidRPr="00473EE5">
        <w:rPr>
          <w:rFonts w:asciiTheme="majorHAnsi" w:hAnsiTheme="majorHAnsi"/>
        </w:rPr>
        <w:t xml:space="preserve">. </w:t>
      </w:r>
    </w:p>
    <w:p w14:paraId="5B0AD1A4" w14:textId="77777777" w:rsidR="00445830" w:rsidRPr="00473EE5" w:rsidRDefault="00445830" w:rsidP="004E5EBC">
      <w:pPr>
        <w:jc w:val="both"/>
        <w:rPr>
          <w:rFonts w:asciiTheme="majorHAnsi" w:hAnsiTheme="majorHAnsi"/>
        </w:rPr>
      </w:pPr>
    </w:p>
    <w:p w14:paraId="52C26FB8" w14:textId="1EDC7B65" w:rsidR="00EF479B" w:rsidRPr="00473EE5" w:rsidRDefault="002E0E22" w:rsidP="00B55114">
      <w:pPr>
        <w:spacing w:line="360" w:lineRule="auto"/>
        <w:jc w:val="both"/>
        <w:rPr>
          <w:rFonts w:asciiTheme="majorHAnsi" w:hAnsiTheme="majorHAnsi" w:cs="Times New Roman"/>
        </w:rPr>
      </w:pPr>
      <w:r w:rsidRPr="00473EE5">
        <w:rPr>
          <w:rFonts w:asciiTheme="majorHAnsi" w:hAnsiTheme="majorHAnsi"/>
        </w:rPr>
        <w:t xml:space="preserve">As shown below, </w:t>
      </w:r>
      <w:r w:rsidR="008C46F9" w:rsidRPr="007C4520">
        <w:rPr>
          <w:rFonts w:asciiTheme="majorHAnsi" w:hAnsiTheme="majorHAnsi"/>
          <w:b/>
          <w:color w:val="548DD4" w:themeColor="text2" w:themeTint="99"/>
        </w:rPr>
        <w:t>many of the binding treaty</w:t>
      </w:r>
      <w:r w:rsidRPr="007C4520">
        <w:rPr>
          <w:rFonts w:asciiTheme="majorHAnsi" w:hAnsiTheme="majorHAnsi"/>
          <w:b/>
          <w:color w:val="548DD4" w:themeColor="text2" w:themeTint="99"/>
        </w:rPr>
        <w:t xml:space="preserve"> obligations reflected in SCR 1325 </w:t>
      </w:r>
      <w:r w:rsidR="00893B51" w:rsidRPr="007C4520">
        <w:rPr>
          <w:rFonts w:asciiTheme="majorHAnsi" w:hAnsiTheme="majorHAnsi"/>
          <w:b/>
          <w:color w:val="548DD4" w:themeColor="text2" w:themeTint="99"/>
        </w:rPr>
        <w:t>are from CEDAW</w:t>
      </w:r>
      <w:r w:rsidR="00893B51" w:rsidRPr="007C4520">
        <w:rPr>
          <w:rFonts w:asciiTheme="majorHAnsi" w:hAnsiTheme="majorHAnsi"/>
        </w:rPr>
        <w:t>.</w:t>
      </w:r>
      <w:r w:rsidR="00893B51" w:rsidRPr="007C4520">
        <w:rPr>
          <w:rFonts w:asciiTheme="majorHAnsi" w:hAnsiTheme="majorHAnsi"/>
          <w:b/>
        </w:rPr>
        <w:t xml:space="preserve"> </w:t>
      </w:r>
      <w:r w:rsidR="00893B51" w:rsidRPr="00473EE5">
        <w:rPr>
          <w:rFonts w:asciiTheme="majorHAnsi" w:hAnsiTheme="majorHAnsi"/>
        </w:rPr>
        <w:t xml:space="preserve">These </w:t>
      </w:r>
      <w:r w:rsidR="00EF7AF4" w:rsidRPr="00473EE5">
        <w:rPr>
          <w:rFonts w:asciiTheme="majorHAnsi" w:hAnsiTheme="majorHAnsi"/>
        </w:rPr>
        <w:t>are later picked up</w:t>
      </w:r>
      <w:r w:rsidR="00893B51" w:rsidRPr="00473EE5">
        <w:rPr>
          <w:rFonts w:asciiTheme="majorHAnsi" w:hAnsiTheme="majorHAnsi"/>
        </w:rPr>
        <w:t xml:space="preserve"> and elaborated</w:t>
      </w:r>
      <w:r w:rsidR="00EF7AF4" w:rsidRPr="00473EE5">
        <w:rPr>
          <w:rFonts w:asciiTheme="majorHAnsi" w:hAnsiTheme="majorHAnsi"/>
        </w:rPr>
        <w:t xml:space="preserve"> in the CEDAW GR No. 30, adopted</w:t>
      </w:r>
      <w:r w:rsidR="008C46F9" w:rsidRPr="00473EE5">
        <w:rPr>
          <w:rFonts w:asciiTheme="majorHAnsi" w:hAnsiTheme="majorHAnsi"/>
        </w:rPr>
        <w:t xml:space="preserve"> by the CEDAW Committee</w:t>
      </w:r>
      <w:r w:rsidR="00EF7AF4" w:rsidRPr="00473EE5">
        <w:rPr>
          <w:rFonts w:asciiTheme="majorHAnsi" w:hAnsiTheme="majorHAnsi"/>
        </w:rPr>
        <w:t xml:space="preserve"> thirteen years after SCR 1325 on 18 October 2013. </w:t>
      </w:r>
      <w:r w:rsidR="0069473D" w:rsidRPr="00473EE5">
        <w:rPr>
          <w:rFonts w:asciiTheme="majorHAnsi" w:hAnsiTheme="majorHAnsi"/>
        </w:rPr>
        <w:t>The</w:t>
      </w:r>
      <w:r w:rsidR="00445830" w:rsidRPr="00473EE5">
        <w:rPr>
          <w:rFonts w:asciiTheme="majorHAnsi" w:hAnsiTheme="majorHAnsi"/>
        </w:rPr>
        <w:t xml:space="preserve"> </w:t>
      </w:r>
      <w:r w:rsidR="0059378F" w:rsidRPr="00473EE5">
        <w:rPr>
          <w:rFonts w:asciiTheme="majorHAnsi" w:hAnsiTheme="majorHAnsi"/>
          <w:b/>
          <w:color w:val="4F81BD" w:themeColor="accent1"/>
        </w:rPr>
        <w:t xml:space="preserve">participation </w:t>
      </w:r>
      <w:r w:rsidR="00445830" w:rsidRPr="00473EE5">
        <w:rPr>
          <w:rFonts w:asciiTheme="majorHAnsi" w:hAnsiTheme="majorHAnsi"/>
          <w:b/>
          <w:color w:val="4F81BD" w:themeColor="accent1"/>
        </w:rPr>
        <w:t>pillar</w:t>
      </w:r>
      <w:r w:rsidR="00445830" w:rsidRPr="00473EE5">
        <w:rPr>
          <w:rFonts w:asciiTheme="majorHAnsi" w:hAnsiTheme="majorHAnsi"/>
        </w:rPr>
        <w:t xml:space="preserve"> </w:t>
      </w:r>
      <w:r w:rsidR="005E5EF8" w:rsidRPr="00473EE5">
        <w:rPr>
          <w:rFonts w:asciiTheme="majorHAnsi" w:hAnsiTheme="majorHAnsi"/>
        </w:rPr>
        <w:t xml:space="preserve">largely </w:t>
      </w:r>
      <w:r w:rsidR="00445830" w:rsidRPr="00473EE5">
        <w:rPr>
          <w:rFonts w:asciiTheme="majorHAnsi" w:hAnsiTheme="majorHAnsi" w:cs="Times New Roman"/>
        </w:rPr>
        <w:t xml:space="preserve">reflects the </w:t>
      </w:r>
      <w:r w:rsidR="00445830" w:rsidRPr="007C4520">
        <w:rPr>
          <w:rFonts w:asciiTheme="majorHAnsi" w:hAnsiTheme="majorHAnsi" w:cs="Times New Roman"/>
          <w:b/>
          <w:color w:val="548DD4" w:themeColor="text2" w:themeTint="99"/>
        </w:rPr>
        <w:t>obligation of non-</w:t>
      </w:r>
      <w:r w:rsidR="00445830" w:rsidRPr="00473EE5">
        <w:rPr>
          <w:rFonts w:asciiTheme="majorHAnsi" w:hAnsiTheme="majorHAnsi" w:cs="Times New Roman"/>
          <w:b/>
          <w:color w:val="4F81BD" w:themeColor="accent1"/>
        </w:rPr>
        <w:t>discrimination</w:t>
      </w:r>
      <w:r w:rsidR="00445830" w:rsidRPr="00473EE5">
        <w:rPr>
          <w:rFonts w:asciiTheme="majorHAnsi" w:hAnsiTheme="majorHAnsi" w:cs="Times New Roman"/>
        </w:rPr>
        <w:t xml:space="preserve"> under international law, encompassed most comprehensively by CEDAW. As Hilary Charlesworth and Christine Chinkin note, under a </w:t>
      </w:r>
      <w:r w:rsidR="0059378F" w:rsidRPr="00473EE5">
        <w:rPr>
          <w:rFonts w:asciiTheme="majorHAnsi" w:hAnsiTheme="majorHAnsi" w:cs="Times New Roman"/>
        </w:rPr>
        <w:t xml:space="preserve">formal equality </w:t>
      </w:r>
      <w:r w:rsidR="00445830" w:rsidRPr="00473EE5">
        <w:rPr>
          <w:rFonts w:asciiTheme="majorHAnsi" w:hAnsiTheme="majorHAnsi" w:cs="Times New Roman"/>
        </w:rPr>
        <w:t>model found in other human rights treaties, “the language of non-discrimination m</w:t>
      </w:r>
      <w:r w:rsidR="0069473D" w:rsidRPr="00473EE5">
        <w:rPr>
          <w:rFonts w:asciiTheme="majorHAnsi" w:hAnsiTheme="majorHAnsi" w:cs="Times New Roman"/>
        </w:rPr>
        <w:t>akes it difficult to emphasise</w:t>
      </w:r>
      <w:r w:rsidR="00445830" w:rsidRPr="00473EE5">
        <w:rPr>
          <w:rFonts w:asciiTheme="majorHAnsi" w:hAnsiTheme="majorHAnsi" w:cs="Times New Roman"/>
        </w:rPr>
        <w:t xml:space="preserve"> the particularity of women’s lives in ways that benefit women: it compresses women’s lives into cumbersome and inaccurate categories. It also precludes the possibility of special programs for women”.</w:t>
      </w:r>
      <w:r w:rsidR="00445830" w:rsidRPr="00473EE5">
        <w:rPr>
          <w:rStyle w:val="FootnoteReference"/>
          <w:rFonts w:asciiTheme="majorHAnsi" w:hAnsiTheme="majorHAnsi" w:cs="Times New Roman"/>
        </w:rPr>
        <w:footnoteReference w:id="28"/>
      </w:r>
      <w:r w:rsidR="00445830" w:rsidRPr="00473EE5">
        <w:rPr>
          <w:rFonts w:asciiTheme="majorHAnsi" w:hAnsiTheme="majorHAnsi" w:cs="Times New Roman"/>
        </w:rPr>
        <w:t xml:space="preserve"> Non-discrimination under CEDAW addresses the </w:t>
      </w:r>
      <w:r w:rsidR="0069473D" w:rsidRPr="00473EE5">
        <w:rPr>
          <w:rFonts w:asciiTheme="majorHAnsi" w:hAnsiTheme="majorHAnsi" w:cs="Times New Roman"/>
        </w:rPr>
        <w:t xml:space="preserve">Convention’s </w:t>
      </w:r>
      <w:r w:rsidR="00445830" w:rsidRPr="00473EE5">
        <w:rPr>
          <w:rFonts w:asciiTheme="majorHAnsi" w:hAnsiTheme="majorHAnsi" w:cs="Times New Roman"/>
        </w:rPr>
        <w:t>central purpose, to eliminate all forms of discrimination against women and girls, as well as</w:t>
      </w:r>
      <w:r w:rsidR="0069473D" w:rsidRPr="00473EE5">
        <w:rPr>
          <w:rFonts w:asciiTheme="majorHAnsi" w:hAnsiTheme="majorHAnsi" w:cs="Times New Roman"/>
        </w:rPr>
        <w:t xml:space="preserve"> its complementary purpose</w:t>
      </w:r>
      <w:r w:rsidR="00445830" w:rsidRPr="00473EE5">
        <w:rPr>
          <w:rFonts w:asciiTheme="majorHAnsi" w:hAnsiTheme="majorHAnsi" w:cs="Times New Roman"/>
        </w:rPr>
        <w:t xml:space="preserve"> of ensuring the enjoyment of rights on the basis of equality of women and men. Non-discrimination </w:t>
      </w:r>
      <w:r w:rsidR="00EF479B" w:rsidRPr="00473EE5">
        <w:rPr>
          <w:rFonts w:asciiTheme="majorHAnsi" w:hAnsiTheme="majorHAnsi" w:cs="Times New Roman"/>
        </w:rPr>
        <w:t>is best</w:t>
      </w:r>
      <w:r w:rsidR="0069473D" w:rsidRPr="00473EE5">
        <w:rPr>
          <w:rFonts w:asciiTheme="majorHAnsi" w:hAnsiTheme="majorHAnsi" w:cs="Times New Roman"/>
        </w:rPr>
        <w:t xml:space="preserve"> understood as</w:t>
      </w:r>
      <w:r w:rsidR="00445830" w:rsidRPr="00473EE5">
        <w:rPr>
          <w:rFonts w:asciiTheme="majorHAnsi" w:hAnsiTheme="majorHAnsi" w:cs="Times New Roman"/>
        </w:rPr>
        <w:t xml:space="preserve"> “the elimination of classifications, acts, or practices which are based explicitly on sex or which have an indirectly discriminatory effect, so that women enjoy access to the benefits and opportunities available within existing social structures”.</w:t>
      </w:r>
      <w:r w:rsidR="00445830" w:rsidRPr="00473EE5">
        <w:rPr>
          <w:rStyle w:val="FootnoteReference"/>
          <w:rFonts w:asciiTheme="majorHAnsi" w:hAnsiTheme="majorHAnsi" w:cs="Times New Roman"/>
        </w:rPr>
        <w:footnoteReference w:id="29"/>
      </w:r>
      <w:r w:rsidR="00445830" w:rsidRPr="00473EE5">
        <w:rPr>
          <w:rFonts w:asciiTheme="majorHAnsi" w:hAnsiTheme="majorHAnsi" w:cs="Times New Roman"/>
        </w:rPr>
        <w:t xml:space="preserve"> </w:t>
      </w:r>
    </w:p>
    <w:p w14:paraId="5323AF98" w14:textId="77777777" w:rsidR="00EF479B" w:rsidRPr="00473EE5" w:rsidRDefault="00EF479B" w:rsidP="00445830">
      <w:pPr>
        <w:jc w:val="both"/>
        <w:rPr>
          <w:rFonts w:asciiTheme="majorHAnsi" w:hAnsiTheme="majorHAnsi" w:cs="Times New Roman"/>
        </w:rPr>
      </w:pPr>
    </w:p>
    <w:p w14:paraId="2782F2CC" w14:textId="7EFA5120" w:rsidR="00445830" w:rsidRPr="00473EE5" w:rsidRDefault="00445830" w:rsidP="00B55114">
      <w:pPr>
        <w:spacing w:line="360" w:lineRule="auto"/>
        <w:jc w:val="both"/>
        <w:rPr>
          <w:rFonts w:asciiTheme="majorHAnsi" w:hAnsiTheme="majorHAnsi" w:cs="Times New Roman"/>
          <w:b/>
          <w:u w:val="single"/>
        </w:rPr>
      </w:pPr>
      <w:r w:rsidRPr="00473EE5">
        <w:rPr>
          <w:rFonts w:asciiTheme="majorHAnsi" w:hAnsiTheme="majorHAnsi" w:cs="Times New Roman"/>
        </w:rPr>
        <w:t xml:space="preserve">Under CEDAW, </w:t>
      </w:r>
      <w:r w:rsidR="001246ED" w:rsidRPr="00473EE5">
        <w:rPr>
          <w:rFonts w:asciiTheme="majorHAnsi" w:hAnsiTheme="majorHAnsi" w:cs="Times New Roman"/>
        </w:rPr>
        <w:t xml:space="preserve">the obligation of </w:t>
      </w:r>
      <w:r w:rsidRPr="00473EE5">
        <w:rPr>
          <w:rFonts w:asciiTheme="majorHAnsi" w:hAnsiTheme="majorHAnsi" w:cs="Times New Roman"/>
        </w:rPr>
        <w:t xml:space="preserve">non-discrimination </w:t>
      </w:r>
      <w:r w:rsidR="001246ED" w:rsidRPr="00473EE5">
        <w:rPr>
          <w:rFonts w:asciiTheme="majorHAnsi" w:hAnsiTheme="majorHAnsi" w:cs="Times New Roman"/>
        </w:rPr>
        <w:t>requires</w:t>
      </w:r>
      <w:r w:rsidR="00EF479B" w:rsidRPr="00473EE5">
        <w:rPr>
          <w:rFonts w:asciiTheme="majorHAnsi" w:hAnsiTheme="majorHAnsi" w:cs="Times New Roman"/>
        </w:rPr>
        <w:t xml:space="preserve"> both</w:t>
      </w:r>
      <w:r w:rsidRPr="00473EE5">
        <w:rPr>
          <w:rFonts w:asciiTheme="majorHAnsi" w:hAnsiTheme="majorHAnsi" w:cs="Times New Roman"/>
        </w:rPr>
        <w:t xml:space="preserve"> </w:t>
      </w:r>
      <w:r w:rsidRPr="00473EE5">
        <w:rPr>
          <w:rFonts w:asciiTheme="majorHAnsi" w:hAnsiTheme="majorHAnsi" w:cs="Times New Roman"/>
          <w:b/>
          <w:i/>
          <w:color w:val="4F81BD" w:themeColor="accent1"/>
        </w:rPr>
        <w:t>substantive</w:t>
      </w:r>
      <w:r w:rsidRPr="00473EE5">
        <w:rPr>
          <w:rFonts w:asciiTheme="majorHAnsi" w:hAnsiTheme="majorHAnsi" w:cs="Times New Roman"/>
        </w:rPr>
        <w:t xml:space="preserve"> and </w:t>
      </w:r>
      <w:r w:rsidRPr="00473EE5">
        <w:rPr>
          <w:rFonts w:asciiTheme="majorHAnsi" w:hAnsiTheme="majorHAnsi" w:cs="Times New Roman"/>
          <w:b/>
          <w:i/>
          <w:color w:val="4F81BD" w:themeColor="accent1"/>
        </w:rPr>
        <w:t>transformative equality</w:t>
      </w:r>
      <w:r w:rsidRPr="00473EE5">
        <w:rPr>
          <w:rFonts w:asciiTheme="majorHAnsi" w:hAnsiTheme="majorHAnsi" w:cs="Times New Roman"/>
        </w:rPr>
        <w:t xml:space="preserve">. States </w:t>
      </w:r>
      <w:r w:rsidR="0069473D" w:rsidRPr="00473EE5">
        <w:rPr>
          <w:rFonts w:asciiTheme="majorHAnsi" w:hAnsiTheme="majorHAnsi" w:cs="Times New Roman"/>
        </w:rPr>
        <w:t>must</w:t>
      </w:r>
      <w:r w:rsidRPr="00473EE5">
        <w:rPr>
          <w:rFonts w:asciiTheme="majorHAnsi" w:hAnsiTheme="majorHAnsi" w:cs="Times New Roman"/>
        </w:rPr>
        <w:t xml:space="preserve"> take positive steps to address </w:t>
      </w:r>
      <w:r w:rsidR="0059378F" w:rsidRPr="00473EE5">
        <w:rPr>
          <w:rFonts w:asciiTheme="majorHAnsi" w:hAnsiTheme="majorHAnsi" w:cs="Times New Roman"/>
        </w:rPr>
        <w:t xml:space="preserve">women’s </w:t>
      </w:r>
      <w:r w:rsidR="001246ED" w:rsidRPr="00473EE5">
        <w:rPr>
          <w:rFonts w:asciiTheme="majorHAnsi" w:hAnsiTheme="majorHAnsi" w:cs="Times New Roman"/>
        </w:rPr>
        <w:t xml:space="preserve">political, economic, social and cultural </w:t>
      </w:r>
      <w:r w:rsidRPr="00473EE5">
        <w:rPr>
          <w:rFonts w:asciiTheme="majorHAnsi" w:hAnsiTheme="majorHAnsi" w:cs="Times New Roman"/>
        </w:rPr>
        <w:t>exclusion, guaranteeing not just formal opportunities but the substantive enjoyment of these</w:t>
      </w:r>
      <w:r w:rsidR="0069473D" w:rsidRPr="00473EE5">
        <w:rPr>
          <w:rFonts w:asciiTheme="majorHAnsi" w:hAnsiTheme="majorHAnsi" w:cs="Times New Roman"/>
        </w:rPr>
        <w:t xml:space="preserve"> </w:t>
      </w:r>
      <w:r w:rsidR="0069473D" w:rsidRPr="00473EE5">
        <w:rPr>
          <w:rFonts w:asciiTheme="majorHAnsi" w:hAnsiTheme="majorHAnsi" w:cs="Times New Roman"/>
        </w:rPr>
        <w:lastRenderedPageBreak/>
        <w:t>opportunities</w:t>
      </w:r>
      <w:r w:rsidR="001246ED" w:rsidRPr="00473EE5">
        <w:rPr>
          <w:rFonts w:asciiTheme="majorHAnsi" w:hAnsiTheme="majorHAnsi" w:cs="Times New Roman"/>
        </w:rPr>
        <w:t xml:space="preserve"> (substantive equality)</w:t>
      </w:r>
      <w:r w:rsidR="0059378F" w:rsidRPr="00473EE5">
        <w:rPr>
          <w:rFonts w:asciiTheme="majorHAnsi" w:hAnsiTheme="majorHAnsi" w:cs="Times New Roman"/>
        </w:rPr>
        <w:t>. State</w:t>
      </w:r>
      <w:r w:rsidRPr="00473EE5">
        <w:rPr>
          <w:rFonts w:asciiTheme="majorHAnsi" w:hAnsiTheme="majorHAnsi" w:cs="Times New Roman"/>
        </w:rPr>
        <w:t xml:space="preserve">s </w:t>
      </w:r>
      <w:r w:rsidR="0059378F" w:rsidRPr="00473EE5">
        <w:rPr>
          <w:rFonts w:asciiTheme="majorHAnsi" w:hAnsiTheme="majorHAnsi" w:cs="Times New Roman"/>
        </w:rPr>
        <w:t>must achieve</w:t>
      </w:r>
      <w:r w:rsidRPr="00473EE5">
        <w:rPr>
          <w:rFonts w:asciiTheme="majorHAnsi" w:hAnsiTheme="majorHAnsi" w:cs="Times New Roman"/>
        </w:rPr>
        <w:t xml:space="preserve"> systemic, transformational change</w:t>
      </w:r>
      <w:r w:rsidR="0059378F" w:rsidRPr="00473EE5">
        <w:rPr>
          <w:rFonts w:asciiTheme="majorHAnsi" w:hAnsiTheme="majorHAnsi" w:cs="Times New Roman"/>
        </w:rPr>
        <w:t>s</w:t>
      </w:r>
      <w:r w:rsidRPr="00473EE5">
        <w:rPr>
          <w:rFonts w:asciiTheme="majorHAnsi" w:hAnsiTheme="majorHAnsi" w:cs="Times New Roman"/>
        </w:rPr>
        <w:t xml:space="preserve"> to remedy the exclusionary structures that prioritise the views and interests of privileged groups</w:t>
      </w:r>
      <w:r w:rsidR="001246ED" w:rsidRPr="00473EE5">
        <w:rPr>
          <w:rFonts w:asciiTheme="majorHAnsi" w:hAnsiTheme="majorHAnsi" w:cs="Times New Roman"/>
        </w:rPr>
        <w:t xml:space="preserve"> (transformative equality)</w:t>
      </w:r>
      <w:r w:rsidRPr="00473EE5">
        <w:rPr>
          <w:rFonts w:asciiTheme="majorHAnsi" w:hAnsiTheme="majorHAnsi" w:cs="Times New Roman"/>
        </w:rPr>
        <w:t>.</w:t>
      </w:r>
      <w:r w:rsidRPr="00473EE5">
        <w:rPr>
          <w:rStyle w:val="FootnoteReference"/>
          <w:rFonts w:asciiTheme="majorHAnsi" w:hAnsiTheme="majorHAnsi" w:cs="Times New Roman"/>
        </w:rPr>
        <w:footnoteReference w:id="30"/>
      </w:r>
      <w:r w:rsidRPr="00473EE5">
        <w:rPr>
          <w:rFonts w:asciiTheme="majorHAnsi" w:hAnsiTheme="majorHAnsi" w:cs="Times New Roman"/>
        </w:rPr>
        <w:t xml:space="preserve"> As the CEDAW Committee emphasizes in</w:t>
      </w:r>
      <w:r w:rsidR="0059378F" w:rsidRPr="00473EE5">
        <w:rPr>
          <w:rFonts w:asciiTheme="majorHAnsi" w:hAnsiTheme="majorHAnsi" w:cs="Times New Roman"/>
        </w:rPr>
        <w:t xml:space="preserve"> its</w:t>
      </w:r>
      <w:r w:rsidRPr="00473EE5">
        <w:rPr>
          <w:rFonts w:asciiTheme="majorHAnsi" w:hAnsiTheme="majorHAnsi" w:cs="Times New Roman"/>
        </w:rPr>
        <w:t xml:space="preserve"> GR No. 30, the obligation of non-discrimination towards women</w:t>
      </w:r>
      <w:r w:rsidR="0059378F" w:rsidRPr="00473EE5">
        <w:rPr>
          <w:rFonts w:asciiTheme="majorHAnsi" w:hAnsiTheme="majorHAnsi" w:cs="Times New Roman"/>
        </w:rPr>
        <w:t xml:space="preserve"> and girls affected by conflict necessitates an</w:t>
      </w:r>
      <w:r w:rsidRPr="00473EE5">
        <w:rPr>
          <w:rFonts w:asciiTheme="majorHAnsi" w:hAnsiTheme="majorHAnsi" w:cs="Times New Roman"/>
        </w:rPr>
        <w:t xml:space="preserve"> intersectional perspective on discrimination</w:t>
      </w:r>
      <w:r w:rsidR="0059378F" w:rsidRPr="00473EE5">
        <w:rPr>
          <w:rFonts w:asciiTheme="majorHAnsi" w:hAnsiTheme="majorHAnsi" w:cs="Times New Roman"/>
        </w:rPr>
        <w:t>, especially in relation to conflict situations</w:t>
      </w:r>
      <w:r w:rsidRPr="00473EE5">
        <w:rPr>
          <w:rFonts w:asciiTheme="majorHAnsi" w:hAnsiTheme="majorHAnsi" w:cs="Times New Roman"/>
        </w:rPr>
        <w:t>.</w:t>
      </w:r>
      <w:r w:rsidRPr="00473EE5">
        <w:rPr>
          <w:rStyle w:val="FootnoteReference"/>
          <w:rFonts w:asciiTheme="majorHAnsi" w:hAnsiTheme="majorHAnsi" w:cs="Times New Roman"/>
        </w:rPr>
        <w:footnoteReference w:id="31"/>
      </w:r>
      <w:r w:rsidRPr="00473EE5">
        <w:rPr>
          <w:rFonts w:asciiTheme="majorHAnsi" w:hAnsiTheme="majorHAnsi" w:cs="Times New Roman"/>
        </w:rPr>
        <w:t xml:space="preserve"> Although intersectionality is not addressed in SCR 1325, it is</w:t>
      </w:r>
      <w:r w:rsidR="0069473D" w:rsidRPr="00473EE5">
        <w:rPr>
          <w:rFonts w:asciiTheme="majorHAnsi" w:hAnsiTheme="majorHAnsi" w:cs="Times New Roman"/>
        </w:rPr>
        <w:t xml:space="preserve"> briefly addressed in subsequent resolutions and is</w:t>
      </w:r>
      <w:r w:rsidRPr="00473EE5">
        <w:rPr>
          <w:rFonts w:asciiTheme="majorHAnsi" w:hAnsiTheme="majorHAnsi" w:cs="Times New Roman"/>
        </w:rPr>
        <w:t xml:space="preserve"> a </w:t>
      </w:r>
      <w:r w:rsidR="009F4A90" w:rsidRPr="00473EE5">
        <w:rPr>
          <w:rFonts w:asciiTheme="majorHAnsi" w:hAnsiTheme="majorHAnsi" w:cs="Times New Roman"/>
        </w:rPr>
        <w:t>key</w:t>
      </w:r>
      <w:r w:rsidR="0059378F" w:rsidRPr="00473EE5">
        <w:rPr>
          <w:rFonts w:asciiTheme="majorHAnsi" w:hAnsiTheme="majorHAnsi" w:cs="Times New Roman"/>
        </w:rPr>
        <w:t xml:space="preserve"> </w:t>
      </w:r>
      <w:r w:rsidRPr="00473EE5">
        <w:rPr>
          <w:rFonts w:asciiTheme="majorHAnsi" w:hAnsiTheme="majorHAnsi" w:cs="Times New Roman"/>
        </w:rPr>
        <w:t xml:space="preserve">feature of the </w:t>
      </w:r>
      <w:r w:rsidR="0059378F" w:rsidRPr="00473EE5">
        <w:rPr>
          <w:rFonts w:asciiTheme="majorHAnsi" w:hAnsiTheme="majorHAnsi" w:cs="Times New Roman"/>
        </w:rPr>
        <w:t xml:space="preserve">CEDAW </w:t>
      </w:r>
      <w:r w:rsidRPr="00473EE5">
        <w:rPr>
          <w:rFonts w:asciiTheme="majorHAnsi" w:hAnsiTheme="majorHAnsi" w:cs="Times New Roman"/>
        </w:rPr>
        <w:t>GR No. 30</w:t>
      </w:r>
      <w:r w:rsidR="009F4A90" w:rsidRPr="00473EE5">
        <w:rPr>
          <w:rFonts w:asciiTheme="majorHAnsi" w:hAnsiTheme="majorHAnsi" w:cs="Times New Roman"/>
        </w:rPr>
        <w:t xml:space="preserve"> that adds value to understanding the resolutions on WPS</w:t>
      </w:r>
      <w:r w:rsidRPr="00473EE5">
        <w:rPr>
          <w:rFonts w:asciiTheme="majorHAnsi" w:hAnsiTheme="majorHAnsi" w:cs="Times New Roman"/>
        </w:rPr>
        <w:t>.</w:t>
      </w:r>
    </w:p>
    <w:p w14:paraId="32C121CC" w14:textId="77777777" w:rsidR="00EF479B" w:rsidRPr="00473EE5" w:rsidRDefault="00EF479B" w:rsidP="004E5EBC">
      <w:pPr>
        <w:jc w:val="both"/>
        <w:rPr>
          <w:rFonts w:asciiTheme="majorHAnsi" w:hAnsiTheme="majorHAnsi"/>
        </w:rPr>
      </w:pPr>
    </w:p>
    <w:p w14:paraId="2EBCEC40" w14:textId="53363DD8" w:rsidR="00115686" w:rsidRPr="00473EE5" w:rsidRDefault="004E5EBC" w:rsidP="00671735">
      <w:pPr>
        <w:pStyle w:val="ListParagraph"/>
        <w:numPr>
          <w:ilvl w:val="0"/>
          <w:numId w:val="2"/>
        </w:numPr>
        <w:jc w:val="both"/>
        <w:rPr>
          <w:rFonts w:asciiTheme="majorHAnsi" w:hAnsiTheme="majorHAnsi" w:cs="Times New Roman"/>
          <w:b/>
          <w:color w:val="1F497D" w:themeColor="text2"/>
          <w:u w:val="single"/>
        </w:rPr>
      </w:pPr>
      <w:r w:rsidRPr="00473EE5">
        <w:rPr>
          <w:rFonts w:asciiTheme="majorHAnsi" w:hAnsiTheme="majorHAnsi" w:cs="Times New Roman"/>
          <w:b/>
          <w:color w:val="1F497D" w:themeColor="text2"/>
          <w:u w:val="single"/>
        </w:rPr>
        <w:t>Prevention</w:t>
      </w:r>
    </w:p>
    <w:p w14:paraId="4C6DC81F" w14:textId="77777777" w:rsidR="00B42DB6" w:rsidRPr="00473EE5" w:rsidRDefault="00B42DB6" w:rsidP="00B42DB6">
      <w:pPr>
        <w:pStyle w:val="ListParagraph"/>
        <w:ind w:left="360"/>
        <w:jc w:val="both"/>
        <w:rPr>
          <w:rFonts w:asciiTheme="majorHAnsi" w:hAnsiTheme="majorHAnsi" w:cs="Times New Roman"/>
          <w:b/>
          <w:u w:val="single"/>
        </w:rPr>
      </w:pPr>
    </w:p>
    <w:p w14:paraId="0A400797" w14:textId="2019263C" w:rsidR="00DB5185" w:rsidRPr="00473EE5" w:rsidRDefault="001B752A" w:rsidP="00B55114">
      <w:pPr>
        <w:pStyle w:val="ListParagraph"/>
        <w:numPr>
          <w:ilvl w:val="0"/>
          <w:numId w:val="16"/>
        </w:numPr>
        <w:spacing w:line="360" w:lineRule="auto"/>
        <w:jc w:val="both"/>
        <w:rPr>
          <w:rFonts w:asciiTheme="majorHAnsi" w:hAnsiTheme="majorHAnsi"/>
        </w:rPr>
      </w:pPr>
      <w:r w:rsidRPr="00473EE5">
        <w:rPr>
          <w:rFonts w:asciiTheme="majorHAnsi" w:hAnsiTheme="majorHAnsi"/>
        </w:rPr>
        <w:t>By r</w:t>
      </w:r>
      <w:r w:rsidR="00115686" w:rsidRPr="00473EE5">
        <w:rPr>
          <w:rFonts w:asciiTheme="majorHAnsi" w:hAnsiTheme="majorHAnsi"/>
        </w:rPr>
        <w:t xml:space="preserve">eaffirming </w:t>
      </w:r>
      <w:r w:rsidR="00115686" w:rsidRPr="00473EE5">
        <w:rPr>
          <w:rFonts w:asciiTheme="majorHAnsi" w:hAnsiTheme="majorHAnsi"/>
          <w:b/>
          <w:color w:val="4F81BD" w:themeColor="accent1"/>
        </w:rPr>
        <w:t>women’s role in preventing and resolving conflicts and peace-building</w:t>
      </w:r>
      <w:r w:rsidR="00115686" w:rsidRPr="00473EE5">
        <w:rPr>
          <w:rFonts w:asciiTheme="majorHAnsi" w:hAnsiTheme="majorHAnsi"/>
        </w:rPr>
        <w:t>,</w:t>
      </w:r>
      <w:r w:rsidRPr="00473EE5">
        <w:rPr>
          <w:rFonts w:asciiTheme="majorHAnsi" w:hAnsiTheme="majorHAnsi"/>
        </w:rPr>
        <w:t xml:space="preserve"> stressing their equal participation and full involvement in efforts to maintain and promote peace and security, </w:t>
      </w:r>
      <w:r w:rsidR="00FF2E1D" w:rsidRPr="00473EE5">
        <w:rPr>
          <w:rFonts w:asciiTheme="majorHAnsi" w:hAnsiTheme="majorHAnsi"/>
        </w:rPr>
        <w:t>and</w:t>
      </w:r>
      <w:r w:rsidRPr="00473EE5">
        <w:rPr>
          <w:rFonts w:asciiTheme="majorHAnsi" w:hAnsiTheme="majorHAnsi"/>
        </w:rPr>
        <w:t xml:space="preserve"> </w:t>
      </w:r>
      <w:r w:rsidR="00FF2E1D" w:rsidRPr="00473EE5">
        <w:rPr>
          <w:rFonts w:asciiTheme="majorHAnsi" w:hAnsiTheme="majorHAnsi"/>
        </w:rPr>
        <w:t xml:space="preserve">recognising </w:t>
      </w:r>
      <w:r w:rsidRPr="00473EE5">
        <w:rPr>
          <w:rFonts w:asciiTheme="majorHAnsi" w:hAnsiTheme="majorHAnsi"/>
        </w:rPr>
        <w:t xml:space="preserve">the need to increase their role in decision-making </w:t>
      </w:r>
      <w:r w:rsidR="00FF2E1D" w:rsidRPr="00473EE5">
        <w:rPr>
          <w:rFonts w:asciiTheme="majorHAnsi" w:hAnsiTheme="majorHAnsi"/>
        </w:rPr>
        <w:t>to prevent and resolve conflicts</w:t>
      </w:r>
      <w:r w:rsidRPr="00473EE5">
        <w:rPr>
          <w:rFonts w:asciiTheme="majorHAnsi" w:hAnsiTheme="majorHAnsi"/>
        </w:rPr>
        <w:t>,</w:t>
      </w:r>
      <w:r w:rsidR="00115686" w:rsidRPr="00473EE5">
        <w:rPr>
          <w:rFonts w:asciiTheme="majorHAnsi" w:hAnsiTheme="majorHAnsi"/>
        </w:rPr>
        <w:t xml:space="preserve"> </w:t>
      </w:r>
      <w:r w:rsidRPr="00473EE5">
        <w:rPr>
          <w:rFonts w:asciiTheme="majorHAnsi" w:hAnsiTheme="majorHAnsi"/>
        </w:rPr>
        <w:t>SCR 1325 re</w:t>
      </w:r>
      <w:r w:rsidR="00CC11CF" w:rsidRPr="00473EE5">
        <w:rPr>
          <w:rFonts w:asciiTheme="majorHAnsi" w:hAnsiTheme="majorHAnsi"/>
        </w:rPr>
        <w:t>flects</w:t>
      </w:r>
      <w:r w:rsidR="009075AA" w:rsidRPr="00473EE5">
        <w:rPr>
          <w:rFonts w:asciiTheme="majorHAnsi" w:hAnsiTheme="majorHAnsi"/>
        </w:rPr>
        <w:t xml:space="preserve"> a range of </w:t>
      </w:r>
      <w:r w:rsidR="003353C6" w:rsidRPr="00473EE5">
        <w:rPr>
          <w:rFonts w:asciiTheme="majorHAnsi" w:hAnsiTheme="majorHAnsi"/>
        </w:rPr>
        <w:t xml:space="preserve">existing </w:t>
      </w:r>
      <w:r w:rsidR="009075AA" w:rsidRPr="00473EE5">
        <w:rPr>
          <w:rFonts w:asciiTheme="majorHAnsi" w:hAnsiTheme="majorHAnsi"/>
        </w:rPr>
        <w:t>international obligations. These include:</w:t>
      </w:r>
      <w:r w:rsidR="00B42DB6" w:rsidRPr="00473EE5">
        <w:rPr>
          <w:rStyle w:val="FootnoteReference"/>
          <w:rFonts w:asciiTheme="majorHAnsi" w:hAnsiTheme="majorHAnsi"/>
        </w:rPr>
        <w:footnoteReference w:id="32"/>
      </w:r>
    </w:p>
    <w:p w14:paraId="25E6AE0D" w14:textId="77777777" w:rsidR="00E4120D" w:rsidRPr="00473EE5" w:rsidRDefault="00E4120D" w:rsidP="00E4120D">
      <w:pPr>
        <w:pStyle w:val="ListParagraph"/>
        <w:ind w:left="360"/>
        <w:jc w:val="both"/>
        <w:rPr>
          <w:rFonts w:asciiTheme="majorHAnsi" w:hAnsiTheme="majorHAnsi"/>
        </w:rPr>
      </w:pPr>
    </w:p>
    <w:p w14:paraId="0C6414D5" w14:textId="5712BC65" w:rsidR="00DB5185" w:rsidRPr="00473EE5" w:rsidRDefault="001B752A" w:rsidP="00B55114">
      <w:pPr>
        <w:pStyle w:val="ListParagraph"/>
        <w:numPr>
          <w:ilvl w:val="0"/>
          <w:numId w:val="19"/>
        </w:numPr>
        <w:spacing w:line="360" w:lineRule="auto"/>
        <w:jc w:val="both"/>
        <w:rPr>
          <w:rFonts w:asciiTheme="majorHAnsi" w:hAnsiTheme="majorHAnsi"/>
        </w:rPr>
      </w:pPr>
      <w:r w:rsidRPr="00473EE5">
        <w:rPr>
          <w:rFonts w:asciiTheme="majorHAnsi" w:hAnsiTheme="majorHAnsi"/>
        </w:rPr>
        <w:t>Article</w:t>
      </w:r>
      <w:r w:rsidR="006B29FC" w:rsidRPr="00473EE5">
        <w:rPr>
          <w:rFonts w:asciiTheme="majorHAnsi" w:hAnsiTheme="majorHAnsi"/>
        </w:rPr>
        <w:t>s 7 and 8</w:t>
      </w:r>
      <w:r w:rsidR="00E96EEF" w:rsidRPr="00473EE5">
        <w:rPr>
          <w:rFonts w:asciiTheme="majorHAnsi" w:hAnsiTheme="majorHAnsi"/>
        </w:rPr>
        <w:t xml:space="preserve"> of CEDAW, which address </w:t>
      </w:r>
      <w:r w:rsidR="00FF2E1D" w:rsidRPr="00473EE5">
        <w:rPr>
          <w:rFonts w:asciiTheme="majorHAnsi" w:hAnsiTheme="majorHAnsi"/>
        </w:rPr>
        <w:t xml:space="preserve">women’s participation in </w:t>
      </w:r>
      <w:r w:rsidR="00332D26" w:rsidRPr="00473EE5">
        <w:rPr>
          <w:rFonts w:asciiTheme="majorHAnsi" w:hAnsiTheme="majorHAnsi"/>
        </w:rPr>
        <w:t>political and public</w:t>
      </w:r>
      <w:r w:rsidR="00FF2E1D" w:rsidRPr="00473EE5">
        <w:rPr>
          <w:rFonts w:asciiTheme="majorHAnsi" w:hAnsiTheme="majorHAnsi"/>
        </w:rPr>
        <w:t xml:space="preserve"> life</w:t>
      </w:r>
      <w:r w:rsidR="006B29FC" w:rsidRPr="00473EE5">
        <w:rPr>
          <w:rFonts w:asciiTheme="majorHAnsi" w:hAnsiTheme="majorHAnsi"/>
        </w:rPr>
        <w:t>, na</w:t>
      </w:r>
      <w:r w:rsidR="004839CF" w:rsidRPr="00473EE5">
        <w:rPr>
          <w:rFonts w:asciiTheme="majorHAnsi" w:hAnsiTheme="majorHAnsi"/>
        </w:rPr>
        <w:t>tionally and internationally</w:t>
      </w:r>
      <w:r w:rsidR="00D210B7" w:rsidRPr="00473EE5">
        <w:rPr>
          <w:rFonts w:asciiTheme="majorHAnsi" w:hAnsiTheme="majorHAnsi"/>
        </w:rPr>
        <w:t>, respectively</w:t>
      </w:r>
      <w:r w:rsidR="00E96EEF" w:rsidRPr="00473EE5">
        <w:rPr>
          <w:rFonts w:asciiTheme="majorHAnsi" w:hAnsiTheme="majorHAnsi"/>
        </w:rPr>
        <w:t xml:space="preserve">. </w:t>
      </w:r>
      <w:r w:rsidR="00FA7CB0" w:rsidRPr="00473EE5">
        <w:rPr>
          <w:rFonts w:asciiTheme="majorHAnsi" w:hAnsiTheme="majorHAnsi"/>
        </w:rPr>
        <w:t>Article 4(1) of CEDAW is also relevant</w:t>
      </w:r>
      <w:r w:rsidR="00F65876" w:rsidRPr="00473EE5">
        <w:rPr>
          <w:rFonts w:asciiTheme="majorHAnsi" w:hAnsiTheme="majorHAnsi"/>
        </w:rPr>
        <w:t xml:space="preserve"> </w:t>
      </w:r>
      <w:r w:rsidR="00B35F4E" w:rsidRPr="00473EE5">
        <w:rPr>
          <w:rFonts w:asciiTheme="majorHAnsi" w:hAnsiTheme="majorHAnsi"/>
        </w:rPr>
        <w:t>(</w:t>
      </w:r>
      <w:r w:rsidR="00F65876" w:rsidRPr="00473EE5">
        <w:rPr>
          <w:rFonts w:asciiTheme="majorHAnsi" w:hAnsiTheme="majorHAnsi"/>
        </w:rPr>
        <w:t>it addresses</w:t>
      </w:r>
      <w:r w:rsidR="00E96EEF" w:rsidRPr="00473EE5">
        <w:rPr>
          <w:rFonts w:asciiTheme="majorHAnsi" w:hAnsiTheme="majorHAnsi"/>
        </w:rPr>
        <w:t xml:space="preserve"> </w:t>
      </w:r>
      <w:r w:rsidR="004839CF" w:rsidRPr="00473EE5">
        <w:rPr>
          <w:rFonts w:asciiTheme="majorHAnsi" w:hAnsiTheme="majorHAnsi"/>
        </w:rPr>
        <w:t>temporary special measures to remo</w:t>
      </w:r>
      <w:r w:rsidR="00E96EEF" w:rsidRPr="00473EE5">
        <w:rPr>
          <w:rFonts w:asciiTheme="majorHAnsi" w:hAnsiTheme="majorHAnsi"/>
        </w:rPr>
        <w:t>ve discrimination against women</w:t>
      </w:r>
      <w:r w:rsidR="00B35F4E" w:rsidRPr="00473EE5">
        <w:rPr>
          <w:rFonts w:asciiTheme="majorHAnsi" w:hAnsiTheme="majorHAnsi"/>
        </w:rPr>
        <w:t xml:space="preserve"> </w:t>
      </w:r>
      <w:r w:rsidR="00FA7CB0" w:rsidRPr="00473EE5">
        <w:rPr>
          <w:rFonts w:asciiTheme="majorHAnsi" w:hAnsiTheme="majorHAnsi"/>
        </w:rPr>
        <w:t>e.g.</w:t>
      </w:r>
      <w:r w:rsidR="00E96EEF" w:rsidRPr="00473EE5">
        <w:rPr>
          <w:rFonts w:asciiTheme="majorHAnsi" w:hAnsiTheme="majorHAnsi"/>
        </w:rPr>
        <w:t xml:space="preserve"> quotas and other affirmative action measures </w:t>
      </w:r>
      <w:r w:rsidR="000A0617" w:rsidRPr="00473EE5">
        <w:rPr>
          <w:rFonts w:asciiTheme="majorHAnsi" w:hAnsiTheme="majorHAnsi"/>
        </w:rPr>
        <w:t>to involve women</w:t>
      </w:r>
      <w:r w:rsidR="00FA7CB0" w:rsidRPr="00473EE5">
        <w:rPr>
          <w:rFonts w:asciiTheme="majorHAnsi" w:hAnsiTheme="majorHAnsi"/>
        </w:rPr>
        <w:t>)</w:t>
      </w:r>
      <w:r w:rsidR="00B93C71" w:rsidRPr="00473EE5">
        <w:rPr>
          <w:rFonts w:asciiTheme="majorHAnsi" w:hAnsiTheme="majorHAnsi"/>
        </w:rPr>
        <w:t xml:space="preserve">. </w:t>
      </w:r>
      <w:r w:rsidR="009F4A90" w:rsidRPr="00473EE5">
        <w:rPr>
          <w:rFonts w:asciiTheme="majorHAnsi" w:hAnsiTheme="majorHAnsi"/>
        </w:rPr>
        <w:t>The</w:t>
      </w:r>
      <w:r w:rsidR="001D3060" w:rsidRPr="00473EE5">
        <w:rPr>
          <w:rFonts w:asciiTheme="majorHAnsi" w:hAnsiTheme="majorHAnsi"/>
        </w:rPr>
        <w:t xml:space="preserve"> ICCPR General Comment No. 28 </w:t>
      </w:r>
      <w:r w:rsidR="00B35F4E" w:rsidRPr="00473EE5">
        <w:rPr>
          <w:rFonts w:asciiTheme="majorHAnsi" w:hAnsiTheme="majorHAnsi"/>
        </w:rPr>
        <w:t>(</w:t>
      </w:r>
      <w:r w:rsidR="001D3060" w:rsidRPr="00473EE5">
        <w:rPr>
          <w:rFonts w:asciiTheme="majorHAnsi" w:hAnsiTheme="majorHAnsi"/>
        </w:rPr>
        <w:t>equality be</w:t>
      </w:r>
      <w:r w:rsidR="00B03662" w:rsidRPr="00473EE5">
        <w:rPr>
          <w:rFonts w:asciiTheme="majorHAnsi" w:hAnsiTheme="majorHAnsi"/>
        </w:rPr>
        <w:t>tween men and women (GC No. 28)</w:t>
      </w:r>
      <w:r w:rsidR="00B35F4E" w:rsidRPr="00473EE5">
        <w:rPr>
          <w:rFonts w:asciiTheme="majorHAnsi" w:hAnsiTheme="majorHAnsi"/>
        </w:rPr>
        <w:t>)</w:t>
      </w:r>
      <w:r w:rsidR="00DB5185" w:rsidRPr="00473EE5">
        <w:rPr>
          <w:rFonts w:asciiTheme="majorHAnsi" w:hAnsiTheme="majorHAnsi"/>
        </w:rPr>
        <w:t xml:space="preserve"> </w:t>
      </w:r>
      <w:r w:rsidR="009F4A90" w:rsidRPr="00473EE5">
        <w:rPr>
          <w:rFonts w:asciiTheme="majorHAnsi" w:hAnsiTheme="majorHAnsi"/>
        </w:rPr>
        <w:t>also</w:t>
      </w:r>
      <w:r w:rsidR="001D3060" w:rsidRPr="00473EE5">
        <w:rPr>
          <w:rFonts w:asciiTheme="majorHAnsi" w:hAnsiTheme="majorHAnsi"/>
        </w:rPr>
        <w:t xml:space="preserve"> recognises the importance of affirmative action measures</w:t>
      </w:r>
      <w:r w:rsidR="00F347F5" w:rsidRPr="00473EE5">
        <w:rPr>
          <w:rFonts w:asciiTheme="majorHAnsi" w:hAnsiTheme="majorHAnsi"/>
        </w:rPr>
        <w:t xml:space="preserve"> to promote gender equality</w:t>
      </w:r>
      <w:r w:rsidR="00E96EEF" w:rsidRPr="00473EE5">
        <w:rPr>
          <w:rFonts w:asciiTheme="majorHAnsi" w:hAnsiTheme="majorHAnsi"/>
        </w:rPr>
        <w:t xml:space="preserve">. </w:t>
      </w:r>
    </w:p>
    <w:p w14:paraId="61A92CCF" w14:textId="563B2CCD" w:rsidR="006E35CE" w:rsidRPr="00473EE5" w:rsidRDefault="009F4A90" w:rsidP="00B55114">
      <w:pPr>
        <w:pStyle w:val="ListParagraph"/>
        <w:numPr>
          <w:ilvl w:val="0"/>
          <w:numId w:val="19"/>
        </w:numPr>
        <w:spacing w:line="360" w:lineRule="auto"/>
        <w:jc w:val="both"/>
        <w:rPr>
          <w:rFonts w:asciiTheme="majorHAnsi" w:hAnsiTheme="majorHAnsi"/>
        </w:rPr>
      </w:pPr>
      <w:r w:rsidRPr="00473EE5">
        <w:rPr>
          <w:rFonts w:asciiTheme="majorHAnsi" w:hAnsiTheme="majorHAnsi"/>
        </w:rPr>
        <w:t xml:space="preserve">The </w:t>
      </w:r>
      <w:r w:rsidR="00E96EEF" w:rsidRPr="00473EE5">
        <w:rPr>
          <w:rFonts w:asciiTheme="majorHAnsi" w:hAnsiTheme="majorHAnsi"/>
        </w:rPr>
        <w:t>CEDAW</w:t>
      </w:r>
      <w:r w:rsidR="00FF2E1D" w:rsidRPr="00473EE5">
        <w:rPr>
          <w:rFonts w:asciiTheme="majorHAnsi" w:hAnsiTheme="majorHAnsi"/>
        </w:rPr>
        <w:t xml:space="preserve"> </w:t>
      </w:r>
      <w:r w:rsidR="001D3060" w:rsidRPr="00473EE5">
        <w:rPr>
          <w:rFonts w:asciiTheme="majorHAnsi" w:hAnsiTheme="majorHAnsi"/>
        </w:rPr>
        <w:t>GRs</w:t>
      </w:r>
      <w:r w:rsidR="00FF2E1D" w:rsidRPr="00473EE5">
        <w:rPr>
          <w:rFonts w:asciiTheme="majorHAnsi" w:hAnsiTheme="majorHAnsi"/>
        </w:rPr>
        <w:t xml:space="preserve"> No. 2</w:t>
      </w:r>
      <w:r w:rsidR="00332D26" w:rsidRPr="00473EE5">
        <w:rPr>
          <w:rFonts w:asciiTheme="majorHAnsi" w:hAnsiTheme="majorHAnsi"/>
        </w:rPr>
        <w:t>3</w:t>
      </w:r>
      <w:r w:rsidR="001D3060" w:rsidRPr="00473EE5">
        <w:rPr>
          <w:rFonts w:asciiTheme="majorHAnsi" w:hAnsiTheme="majorHAnsi"/>
        </w:rPr>
        <w:t xml:space="preserve"> </w:t>
      </w:r>
      <w:r w:rsidR="00B35F4E" w:rsidRPr="00473EE5">
        <w:rPr>
          <w:rFonts w:asciiTheme="majorHAnsi" w:hAnsiTheme="majorHAnsi"/>
        </w:rPr>
        <w:t>(</w:t>
      </w:r>
      <w:r w:rsidR="001D3060" w:rsidRPr="00473EE5">
        <w:rPr>
          <w:rFonts w:asciiTheme="majorHAnsi" w:hAnsiTheme="majorHAnsi"/>
        </w:rPr>
        <w:t>p</w:t>
      </w:r>
      <w:r w:rsidR="00A77256" w:rsidRPr="00473EE5">
        <w:rPr>
          <w:rFonts w:asciiTheme="majorHAnsi" w:hAnsiTheme="majorHAnsi"/>
        </w:rPr>
        <w:t xml:space="preserve">olitical </w:t>
      </w:r>
      <w:r w:rsidR="001D3060" w:rsidRPr="00473EE5">
        <w:rPr>
          <w:rFonts w:asciiTheme="majorHAnsi" w:hAnsiTheme="majorHAnsi"/>
        </w:rPr>
        <w:t>and public life</w:t>
      </w:r>
      <w:r w:rsidR="00B35F4E" w:rsidRPr="00473EE5">
        <w:rPr>
          <w:rFonts w:asciiTheme="majorHAnsi" w:hAnsiTheme="majorHAnsi"/>
        </w:rPr>
        <w:t>)</w:t>
      </w:r>
      <w:r w:rsidR="00FF2E1D" w:rsidRPr="00473EE5">
        <w:rPr>
          <w:rFonts w:asciiTheme="majorHAnsi" w:hAnsiTheme="majorHAnsi"/>
        </w:rPr>
        <w:t xml:space="preserve"> and 30</w:t>
      </w:r>
      <w:r w:rsidR="006E35CE" w:rsidRPr="00473EE5">
        <w:rPr>
          <w:rFonts w:asciiTheme="majorHAnsi" w:hAnsiTheme="majorHAnsi"/>
        </w:rPr>
        <w:t>. CEDAW GR No. 30 prohibits prevention efforts from discrimination against women and their peace groups, and</w:t>
      </w:r>
      <w:r w:rsidRPr="00473EE5">
        <w:rPr>
          <w:rFonts w:asciiTheme="majorHAnsi" w:hAnsiTheme="majorHAnsi"/>
        </w:rPr>
        <w:t xml:space="preserve"> takes a holistic approach to conflict prevention,</w:t>
      </w:r>
      <w:r w:rsidR="006E35CE" w:rsidRPr="00473EE5">
        <w:rPr>
          <w:rFonts w:asciiTheme="majorHAnsi" w:hAnsiTheme="majorHAnsi"/>
        </w:rPr>
        <w:t xml:space="preserve"> recognises women’s role informal, local and community-based preventive diplomacy efforts.</w:t>
      </w:r>
    </w:p>
    <w:p w14:paraId="0C405ABF" w14:textId="1E7A7750" w:rsidR="00115686" w:rsidRPr="00473EE5" w:rsidRDefault="00E96EEF" w:rsidP="00B55114">
      <w:pPr>
        <w:pStyle w:val="ListParagraph"/>
        <w:numPr>
          <w:ilvl w:val="0"/>
          <w:numId w:val="19"/>
        </w:numPr>
        <w:spacing w:line="360" w:lineRule="auto"/>
        <w:jc w:val="both"/>
        <w:rPr>
          <w:rFonts w:asciiTheme="majorHAnsi" w:hAnsiTheme="majorHAnsi"/>
        </w:rPr>
      </w:pPr>
      <w:r w:rsidRPr="00473EE5">
        <w:rPr>
          <w:rFonts w:asciiTheme="majorHAnsi" w:hAnsiTheme="majorHAnsi"/>
        </w:rPr>
        <w:t xml:space="preserve">Article 25 of the ICCPR </w:t>
      </w:r>
      <w:r w:rsidR="00B35F4E" w:rsidRPr="00473EE5">
        <w:rPr>
          <w:rFonts w:asciiTheme="majorHAnsi" w:hAnsiTheme="majorHAnsi"/>
        </w:rPr>
        <w:t>(</w:t>
      </w:r>
      <w:r w:rsidRPr="00473EE5">
        <w:rPr>
          <w:rFonts w:asciiTheme="majorHAnsi" w:hAnsiTheme="majorHAnsi"/>
        </w:rPr>
        <w:t>concerning p</w:t>
      </w:r>
      <w:r w:rsidR="00332D26" w:rsidRPr="00473EE5">
        <w:rPr>
          <w:rFonts w:asciiTheme="majorHAnsi" w:hAnsiTheme="majorHAnsi"/>
        </w:rPr>
        <w:t>articipation in</w:t>
      </w:r>
      <w:r w:rsidRPr="00473EE5">
        <w:rPr>
          <w:rFonts w:asciiTheme="majorHAnsi" w:hAnsiTheme="majorHAnsi"/>
        </w:rPr>
        <w:t xml:space="preserve"> public affa</w:t>
      </w:r>
      <w:r w:rsidR="00B35F4E" w:rsidRPr="00473EE5">
        <w:rPr>
          <w:rFonts w:asciiTheme="majorHAnsi" w:hAnsiTheme="majorHAnsi"/>
        </w:rPr>
        <w:t>irs)</w:t>
      </w:r>
      <w:r w:rsidRPr="00473EE5">
        <w:rPr>
          <w:rFonts w:asciiTheme="majorHAnsi" w:hAnsiTheme="majorHAnsi"/>
        </w:rPr>
        <w:t xml:space="preserve"> as well as the </w:t>
      </w:r>
      <w:r w:rsidR="00E337FD" w:rsidRPr="00473EE5">
        <w:rPr>
          <w:rFonts w:asciiTheme="majorHAnsi" w:hAnsiTheme="majorHAnsi"/>
        </w:rPr>
        <w:t>ICCPR</w:t>
      </w:r>
      <w:r w:rsidR="00CC11CF" w:rsidRPr="00473EE5">
        <w:rPr>
          <w:rFonts w:asciiTheme="majorHAnsi" w:hAnsiTheme="majorHAnsi"/>
        </w:rPr>
        <w:t xml:space="preserve"> </w:t>
      </w:r>
      <w:r w:rsidR="001D3060" w:rsidRPr="00473EE5">
        <w:rPr>
          <w:rFonts w:asciiTheme="majorHAnsi" w:hAnsiTheme="majorHAnsi"/>
        </w:rPr>
        <w:t>GCs</w:t>
      </w:r>
      <w:r w:rsidR="001B48B3" w:rsidRPr="00473EE5">
        <w:rPr>
          <w:rFonts w:asciiTheme="majorHAnsi" w:hAnsiTheme="majorHAnsi"/>
        </w:rPr>
        <w:t xml:space="preserve"> No. 25</w:t>
      </w:r>
      <w:r w:rsidR="00E337FD" w:rsidRPr="00473EE5">
        <w:rPr>
          <w:rFonts w:asciiTheme="majorHAnsi" w:hAnsiTheme="majorHAnsi"/>
        </w:rPr>
        <w:t xml:space="preserve"> </w:t>
      </w:r>
      <w:r w:rsidR="00B35F4E" w:rsidRPr="00473EE5">
        <w:rPr>
          <w:rFonts w:asciiTheme="majorHAnsi" w:hAnsiTheme="majorHAnsi"/>
        </w:rPr>
        <w:t>(</w:t>
      </w:r>
      <w:r w:rsidR="00E337FD" w:rsidRPr="00473EE5">
        <w:rPr>
          <w:rFonts w:asciiTheme="majorHAnsi" w:hAnsiTheme="majorHAnsi"/>
        </w:rPr>
        <w:t xml:space="preserve">on </w:t>
      </w:r>
      <w:r w:rsidR="00B35F4E" w:rsidRPr="00473EE5">
        <w:rPr>
          <w:rFonts w:asciiTheme="majorHAnsi" w:hAnsiTheme="majorHAnsi"/>
        </w:rPr>
        <w:t>Article 25)</w:t>
      </w:r>
      <w:r w:rsidR="001D3060" w:rsidRPr="00473EE5">
        <w:rPr>
          <w:rFonts w:asciiTheme="majorHAnsi" w:hAnsiTheme="majorHAnsi"/>
        </w:rPr>
        <w:t xml:space="preserve"> </w:t>
      </w:r>
      <w:r w:rsidR="00DB3942" w:rsidRPr="00473EE5">
        <w:rPr>
          <w:rFonts w:asciiTheme="majorHAnsi" w:hAnsiTheme="majorHAnsi"/>
        </w:rPr>
        <w:t>and No 28</w:t>
      </w:r>
      <w:r w:rsidR="00FF2E1D" w:rsidRPr="00473EE5">
        <w:rPr>
          <w:rFonts w:asciiTheme="majorHAnsi" w:hAnsiTheme="majorHAnsi"/>
        </w:rPr>
        <w:t xml:space="preserve">. </w:t>
      </w:r>
    </w:p>
    <w:p w14:paraId="03C84458" w14:textId="77777777" w:rsidR="00115686" w:rsidRPr="00473EE5" w:rsidRDefault="00115686" w:rsidP="00A34B66">
      <w:pPr>
        <w:jc w:val="both"/>
        <w:rPr>
          <w:rFonts w:asciiTheme="majorHAnsi" w:hAnsiTheme="majorHAnsi"/>
        </w:rPr>
      </w:pPr>
    </w:p>
    <w:p w14:paraId="26ACB503" w14:textId="4C6CAB2D" w:rsidR="00DB5185" w:rsidRPr="00473EE5" w:rsidRDefault="00D210B7" w:rsidP="00B55114">
      <w:pPr>
        <w:pStyle w:val="ListParagraph"/>
        <w:numPr>
          <w:ilvl w:val="0"/>
          <w:numId w:val="16"/>
        </w:numPr>
        <w:spacing w:line="360" w:lineRule="auto"/>
        <w:jc w:val="both"/>
        <w:rPr>
          <w:rFonts w:asciiTheme="majorHAnsi" w:hAnsiTheme="majorHAnsi"/>
        </w:rPr>
      </w:pPr>
      <w:r w:rsidRPr="00473EE5">
        <w:rPr>
          <w:rFonts w:asciiTheme="majorHAnsi" w:hAnsiTheme="majorHAnsi"/>
        </w:rPr>
        <w:t xml:space="preserve">SCR 1325 </w:t>
      </w:r>
      <w:r w:rsidR="003353C6" w:rsidRPr="00473EE5">
        <w:rPr>
          <w:rFonts w:asciiTheme="majorHAnsi" w:hAnsiTheme="majorHAnsi"/>
        </w:rPr>
        <w:t>seeks</w:t>
      </w:r>
      <w:r w:rsidRPr="00473EE5">
        <w:rPr>
          <w:rFonts w:asciiTheme="majorHAnsi" w:hAnsiTheme="majorHAnsi"/>
        </w:rPr>
        <w:t xml:space="preserve"> an </w:t>
      </w:r>
      <w:r w:rsidRPr="00473EE5">
        <w:rPr>
          <w:rFonts w:asciiTheme="majorHAnsi" w:hAnsiTheme="majorHAnsi"/>
          <w:b/>
          <w:color w:val="4F81BD" w:themeColor="accent1"/>
        </w:rPr>
        <w:t xml:space="preserve">evidence-based approach to </w:t>
      </w:r>
      <w:r w:rsidR="009075AA" w:rsidRPr="00473EE5">
        <w:rPr>
          <w:rFonts w:asciiTheme="majorHAnsi" w:hAnsiTheme="majorHAnsi"/>
          <w:b/>
          <w:color w:val="4F81BD" w:themeColor="accent1"/>
        </w:rPr>
        <w:t>conflict prevention</w:t>
      </w:r>
      <w:r w:rsidRPr="00473EE5">
        <w:rPr>
          <w:rFonts w:asciiTheme="majorHAnsi" w:hAnsiTheme="majorHAnsi"/>
        </w:rPr>
        <w:t xml:space="preserve">, </w:t>
      </w:r>
      <w:r w:rsidR="00A649BD" w:rsidRPr="00473EE5">
        <w:rPr>
          <w:rFonts w:asciiTheme="majorHAnsi" w:hAnsiTheme="majorHAnsi"/>
        </w:rPr>
        <w:t xml:space="preserve">noting the </w:t>
      </w:r>
      <w:r w:rsidR="00A649BD" w:rsidRPr="00473EE5">
        <w:rPr>
          <w:rFonts w:asciiTheme="majorHAnsi" w:hAnsiTheme="majorHAnsi"/>
          <w:b/>
          <w:color w:val="4F81BD" w:themeColor="accent1"/>
        </w:rPr>
        <w:t xml:space="preserve">need </w:t>
      </w:r>
      <w:r w:rsidR="00726524" w:rsidRPr="00473EE5">
        <w:rPr>
          <w:rFonts w:asciiTheme="majorHAnsi" w:hAnsiTheme="majorHAnsi"/>
          <w:b/>
          <w:color w:val="4F81BD" w:themeColor="accent1"/>
        </w:rPr>
        <w:t>for</w:t>
      </w:r>
      <w:r w:rsidR="00A649BD" w:rsidRPr="00473EE5">
        <w:rPr>
          <w:rFonts w:asciiTheme="majorHAnsi" w:hAnsiTheme="majorHAnsi"/>
          <w:b/>
          <w:color w:val="4F81BD" w:themeColor="accent1"/>
        </w:rPr>
        <w:t xml:space="preserve"> data</w:t>
      </w:r>
      <w:r w:rsidR="00A649BD" w:rsidRPr="00473EE5">
        <w:rPr>
          <w:rFonts w:asciiTheme="majorHAnsi" w:hAnsiTheme="majorHAnsi"/>
        </w:rPr>
        <w:t xml:space="preserve"> </w:t>
      </w:r>
      <w:r w:rsidR="00726524" w:rsidRPr="00473EE5">
        <w:rPr>
          <w:rFonts w:asciiTheme="majorHAnsi" w:hAnsiTheme="majorHAnsi"/>
        </w:rPr>
        <w:t xml:space="preserve">collection to </w:t>
      </w:r>
      <w:r w:rsidR="00A649BD" w:rsidRPr="00473EE5">
        <w:rPr>
          <w:rFonts w:asciiTheme="majorHAnsi" w:hAnsiTheme="majorHAnsi"/>
        </w:rPr>
        <w:t>address the impact of armed conflict on women and girls</w:t>
      </w:r>
      <w:r w:rsidR="00300A27" w:rsidRPr="00473EE5">
        <w:rPr>
          <w:rFonts w:asciiTheme="majorHAnsi" w:hAnsiTheme="majorHAnsi"/>
        </w:rPr>
        <w:t xml:space="preserve">, and requesting the Secretary-General </w:t>
      </w:r>
      <w:r w:rsidR="001E6AEC" w:rsidRPr="00473EE5">
        <w:rPr>
          <w:rFonts w:asciiTheme="majorHAnsi" w:hAnsiTheme="majorHAnsi"/>
        </w:rPr>
        <w:t>for</w:t>
      </w:r>
      <w:r w:rsidR="008D5488" w:rsidRPr="00473EE5">
        <w:rPr>
          <w:rFonts w:asciiTheme="majorHAnsi" w:hAnsiTheme="majorHAnsi"/>
        </w:rPr>
        <w:t xml:space="preserve"> </w:t>
      </w:r>
      <w:r w:rsidR="008D5488" w:rsidRPr="00473EE5">
        <w:rPr>
          <w:rFonts w:asciiTheme="majorHAnsi" w:hAnsiTheme="majorHAnsi"/>
          <w:b/>
          <w:color w:val="4F81BD" w:themeColor="accent1"/>
        </w:rPr>
        <w:t>gender-sensitive reporting</w:t>
      </w:r>
      <w:r w:rsidR="008D5488" w:rsidRPr="00473EE5">
        <w:rPr>
          <w:rFonts w:asciiTheme="majorHAnsi" w:hAnsiTheme="majorHAnsi"/>
        </w:rPr>
        <w:t xml:space="preserve"> on armed conflict (including women’s role in peace-building </w:t>
      </w:r>
      <w:r w:rsidR="008D5488" w:rsidRPr="00473EE5">
        <w:rPr>
          <w:rFonts w:asciiTheme="majorHAnsi" w:hAnsiTheme="majorHAnsi"/>
        </w:rPr>
        <w:lastRenderedPageBreak/>
        <w:t xml:space="preserve">and the gender dimensions of conflict resolution) and on </w:t>
      </w:r>
      <w:r w:rsidR="008D5488" w:rsidRPr="00473EE5">
        <w:rPr>
          <w:rFonts w:asciiTheme="majorHAnsi" w:hAnsiTheme="majorHAnsi"/>
          <w:b/>
          <w:color w:val="4F81BD" w:themeColor="accent1"/>
        </w:rPr>
        <w:t>gender-mainstreaming</w:t>
      </w:r>
      <w:r w:rsidR="008D5488" w:rsidRPr="00473EE5">
        <w:rPr>
          <w:rFonts w:asciiTheme="majorHAnsi" w:hAnsiTheme="majorHAnsi"/>
          <w:color w:val="4F81BD" w:themeColor="accent1"/>
        </w:rPr>
        <w:t xml:space="preserve"> </w:t>
      </w:r>
      <w:r w:rsidR="008D5488" w:rsidRPr="00473EE5">
        <w:rPr>
          <w:rFonts w:asciiTheme="majorHAnsi" w:hAnsiTheme="majorHAnsi"/>
          <w:b/>
          <w:color w:val="4F81BD" w:themeColor="accent1"/>
        </w:rPr>
        <w:t>in peacekeeping missions</w:t>
      </w:r>
      <w:r w:rsidRPr="00473EE5">
        <w:rPr>
          <w:rFonts w:asciiTheme="majorHAnsi" w:hAnsiTheme="majorHAnsi"/>
        </w:rPr>
        <w:t xml:space="preserve">. </w:t>
      </w:r>
      <w:r w:rsidR="00DD65C7" w:rsidRPr="00473EE5">
        <w:rPr>
          <w:rFonts w:asciiTheme="majorHAnsi" w:hAnsiTheme="majorHAnsi"/>
        </w:rPr>
        <w:t>This reflects:</w:t>
      </w:r>
      <w:r w:rsidR="00B42DB6" w:rsidRPr="00473EE5">
        <w:rPr>
          <w:rStyle w:val="FootnoteReference"/>
          <w:rFonts w:asciiTheme="majorHAnsi" w:hAnsiTheme="majorHAnsi"/>
        </w:rPr>
        <w:footnoteReference w:id="33"/>
      </w:r>
    </w:p>
    <w:p w14:paraId="1DAFDD8D" w14:textId="77777777" w:rsidR="00E4120D" w:rsidRPr="00473EE5" w:rsidRDefault="00E4120D" w:rsidP="00B55114">
      <w:pPr>
        <w:pStyle w:val="ListParagraph"/>
        <w:spacing w:line="360" w:lineRule="auto"/>
        <w:ind w:left="360"/>
        <w:jc w:val="both"/>
        <w:rPr>
          <w:rFonts w:asciiTheme="majorHAnsi" w:hAnsiTheme="majorHAnsi"/>
        </w:rPr>
      </w:pPr>
    </w:p>
    <w:p w14:paraId="1B54EEAE" w14:textId="77777777" w:rsidR="006E35CE" w:rsidRPr="00473EE5" w:rsidRDefault="00CD38B4" w:rsidP="00B55114">
      <w:pPr>
        <w:pStyle w:val="ListParagraph"/>
        <w:numPr>
          <w:ilvl w:val="0"/>
          <w:numId w:val="20"/>
        </w:numPr>
        <w:spacing w:line="360" w:lineRule="auto"/>
        <w:jc w:val="both"/>
        <w:rPr>
          <w:rFonts w:asciiTheme="majorHAnsi" w:hAnsiTheme="majorHAnsi"/>
        </w:rPr>
      </w:pPr>
      <w:r w:rsidRPr="00473EE5">
        <w:rPr>
          <w:rFonts w:asciiTheme="majorHAnsi" w:hAnsiTheme="majorHAnsi"/>
        </w:rPr>
        <w:t>Article 18 of CEDAW, which requires states to report on progress on eliminating discrimination against women every four years, and CEDAW GR No. 2</w:t>
      </w:r>
      <w:r w:rsidR="001E6AEC" w:rsidRPr="00473EE5">
        <w:rPr>
          <w:rFonts w:asciiTheme="majorHAnsi" w:hAnsiTheme="majorHAnsi"/>
        </w:rPr>
        <w:t>,</w:t>
      </w:r>
      <w:r w:rsidRPr="00473EE5">
        <w:rPr>
          <w:rFonts w:asciiTheme="majorHAnsi" w:hAnsiTheme="majorHAnsi"/>
        </w:rPr>
        <w:t xml:space="preserve"> which elaborates the process for states’ reporting. </w:t>
      </w:r>
    </w:p>
    <w:p w14:paraId="6E3D0F87" w14:textId="62C08713" w:rsidR="00DB5185" w:rsidRPr="00473EE5" w:rsidRDefault="00322930" w:rsidP="00B55114">
      <w:pPr>
        <w:pStyle w:val="ListParagraph"/>
        <w:numPr>
          <w:ilvl w:val="0"/>
          <w:numId w:val="20"/>
        </w:numPr>
        <w:spacing w:line="360" w:lineRule="auto"/>
        <w:jc w:val="both"/>
        <w:rPr>
          <w:rFonts w:asciiTheme="majorHAnsi" w:hAnsiTheme="majorHAnsi"/>
        </w:rPr>
      </w:pPr>
      <w:r w:rsidRPr="00473EE5">
        <w:rPr>
          <w:rFonts w:asciiTheme="majorHAnsi" w:hAnsiTheme="majorHAnsi"/>
        </w:rPr>
        <w:t xml:space="preserve">The </w:t>
      </w:r>
      <w:r w:rsidR="00F31EF8" w:rsidRPr="00473EE5">
        <w:rPr>
          <w:rFonts w:asciiTheme="majorHAnsi" w:hAnsiTheme="majorHAnsi"/>
        </w:rPr>
        <w:t>CEDAW</w:t>
      </w:r>
      <w:r w:rsidR="001D3060" w:rsidRPr="00473EE5">
        <w:rPr>
          <w:rFonts w:asciiTheme="majorHAnsi" w:hAnsiTheme="majorHAnsi"/>
        </w:rPr>
        <w:t xml:space="preserve"> GR</w:t>
      </w:r>
      <w:r w:rsidR="00FF4878" w:rsidRPr="00473EE5">
        <w:rPr>
          <w:rFonts w:asciiTheme="majorHAnsi" w:hAnsiTheme="majorHAnsi"/>
        </w:rPr>
        <w:t xml:space="preserve"> No. 9 on </w:t>
      </w:r>
      <w:r w:rsidR="00E96EEF" w:rsidRPr="00473EE5">
        <w:rPr>
          <w:rFonts w:asciiTheme="majorHAnsi" w:hAnsiTheme="majorHAnsi"/>
        </w:rPr>
        <w:t>statistical data co</w:t>
      </w:r>
      <w:r w:rsidR="00FF4878" w:rsidRPr="00473EE5">
        <w:rPr>
          <w:rFonts w:asciiTheme="majorHAnsi" w:hAnsiTheme="majorHAnsi"/>
        </w:rPr>
        <w:t xml:space="preserve">ncerning the situation of women, </w:t>
      </w:r>
      <w:r w:rsidR="00E96EEF" w:rsidRPr="00473EE5">
        <w:rPr>
          <w:rFonts w:asciiTheme="majorHAnsi" w:hAnsiTheme="majorHAnsi"/>
        </w:rPr>
        <w:t>which r</w:t>
      </w:r>
      <w:r w:rsidR="001E6AEC" w:rsidRPr="00473EE5">
        <w:rPr>
          <w:rFonts w:asciiTheme="majorHAnsi" w:hAnsiTheme="majorHAnsi"/>
        </w:rPr>
        <w:t xml:space="preserve">equires member states to make </w:t>
      </w:r>
      <w:r w:rsidR="00E96EEF" w:rsidRPr="00473EE5">
        <w:rPr>
          <w:rFonts w:asciiTheme="majorHAnsi" w:hAnsiTheme="majorHAnsi"/>
        </w:rPr>
        <w:t>every effort to provide ge</w:t>
      </w:r>
      <w:r w:rsidR="00FF4878" w:rsidRPr="00473EE5">
        <w:rPr>
          <w:rFonts w:asciiTheme="majorHAnsi" w:hAnsiTheme="majorHAnsi"/>
        </w:rPr>
        <w:t xml:space="preserve">nder-disaggregated data. </w:t>
      </w:r>
    </w:p>
    <w:p w14:paraId="0B1A84DF" w14:textId="77777777" w:rsidR="006E35CE" w:rsidRPr="00473EE5" w:rsidRDefault="00DD65C7" w:rsidP="00B55114">
      <w:pPr>
        <w:pStyle w:val="ListParagraph"/>
        <w:numPr>
          <w:ilvl w:val="0"/>
          <w:numId w:val="20"/>
        </w:numPr>
        <w:spacing w:line="360" w:lineRule="auto"/>
        <w:jc w:val="both"/>
        <w:rPr>
          <w:rFonts w:asciiTheme="majorHAnsi" w:hAnsiTheme="majorHAnsi"/>
        </w:rPr>
      </w:pPr>
      <w:r w:rsidRPr="00473EE5">
        <w:rPr>
          <w:rFonts w:asciiTheme="majorHAnsi" w:hAnsiTheme="majorHAnsi"/>
        </w:rPr>
        <w:t>The</w:t>
      </w:r>
      <w:r w:rsidR="001D3060" w:rsidRPr="00473EE5">
        <w:rPr>
          <w:rFonts w:asciiTheme="majorHAnsi" w:hAnsiTheme="majorHAnsi"/>
        </w:rPr>
        <w:t xml:space="preserve"> CEDAW GR</w:t>
      </w:r>
      <w:r w:rsidR="00726524" w:rsidRPr="00473EE5">
        <w:rPr>
          <w:rFonts w:asciiTheme="majorHAnsi" w:hAnsiTheme="majorHAnsi"/>
        </w:rPr>
        <w:t>s</w:t>
      </w:r>
      <w:r w:rsidR="001D3060" w:rsidRPr="00473EE5">
        <w:rPr>
          <w:rFonts w:asciiTheme="majorHAnsi" w:hAnsiTheme="majorHAnsi"/>
        </w:rPr>
        <w:t xml:space="preserve"> No.</w:t>
      </w:r>
      <w:r w:rsidR="00726524" w:rsidRPr="00473EE5">
        <w:rPr>
          <w:rFonts w:asciiTheme="majorHAnsi" w:hAnsiTheme="majorHAnsi"/>
        </w:rPr>
        <w:t xml:space="preserve"> 12 and</w:t>
      </w:r>
      <w:r w:rsidR="001D3060" w:rsidRPr="00473EE5">
        <w:rPr>
          <w:rFonts w:asciiTheme="majorHAnsi" w:hAnsiTheme="majorHAnsi"/>
        </w:rPr>
        <w:t xml:space="preserve"> </w:t>
      </w:r>
      <w:r w:rsidR="00D210B7" w:rsidRPr="00473EE5">
        <w:rPr>
          <w:rFonts w:asciiTheme="majorHAnsi" w:hAnsiTheme="majorHAnsi"/>
        </w:rPr>
        <w:t>19</w:t>
      </w:r>
      <w:r w:rsidR="00E96EEF" w:rsidRPr="00473EE5">
        <w:rPr>
          <w:rFonts w:asciiTheme="majorHAnsi" w:hAnsiTheme="majorHAnsi"/>
        </w:rPr>
        <w:t xml:space="preserve"> </w:t>
      </w:r>
      <w:r w:rsidR="001D3060" w:rsidRPr="00473EE5">
        <w:rPr>
          <w:rFonts w:asciiTheme="majorHAnsi" w:hAnsiTheme="majorHAnsi"/>
        </w:rPr>
        <w:t xml:space="preserve">on violence against women, </w:t>
      </w:r>
      <w:r w:rsidR="00726524" w:rsidRPr="00473EE5">
        <w:rPr>
          <w:rFonts w:asciiTheme="majorHAnsi" w:hAnsiTheme="majorHAnsi"/>
        </w:rPr>
        <w:t>which require</w:t>
      </w:r>
      <w:r w:rsidR="00D210B7" w:rsidRPr="00473EE5">
        <w:rPr>
          <w:rFonts w:asciiTheme="majorHAnsi" w:hAnsiTheme="majorHAnsi"/>
        </w:rPr>
        <w:t xml:space="preserve"> states to collect data on the extent, causes and effects of violence against women and the effective</w:t>
      </w:r>
      <w:r w:rsidR="005E4E28" w:rsidRPr="00473EE5">
        <w:rPr>
          <w:rFonts w:asciiTheme="majorHAnsi" w:hAnsiTheme="majorHAnsi"/>
        </w:rPr>
        <w:t>ness of anti-violence measures</w:t>
      </w:r>
      <w:r w:rsidR="00D210B7" w:rsidRPr="00473EE5">
        <w:rPr>
          <w:rFonts w:asciiTheme="majorHAnsi" w:hAnsiTheme="majorHAnsi"/>
        </w:rPr>
        <w:t xml:space="preserve">. </w:t>
      </w:r>
    </w:p>
    <w:p w14:paraId="4D9977C4" w14:textId="5C1A995A" w:rsidR="007125F7" w:rsidRPr="00473EE5" w:rsidRDefault="00541DBC" w:rsidP="00B55114">
      <w:pPr>
        <w:pStyle w:val="ListParagraph"/>
        <w:numPr>
          <w:ilvl w:val="0"/>
          <w:numId w:val="20"/>
        </w:numPr>
        <w:spacing w:line="360" w:lineRule="auto"/>
        <w:jc w:val="both"/>
        <w:rPr>
          <w:rFonts w:asciiTheme="majorHAnsi" w:hAnsiTheme="majorHAnsi"/>
        </w:rPr>
      </w:pPr>
      <w:r w:rsidRPr="00473EE5">
        <w:rPr>
          <w:rFonts w:asciiTheme="majorHAnsi" w:hAnsiTheme="majorHAnsi"/>
        </w:rPr>
        <w:t>The CEDAW GR No. 30</w:t>
      </w:r>
      <w:r w:rsidR="00A96B6F" w:rsidRPr="00473EE5">
        <w:rPr>
          <w:rFonts w:asciiTheme="majorHAnsi" w:hAnsiTheme="majorHAnsi"/>
        </w:rPr>
        <w:t>, which</w:t>
      </w:r>
      <w:r w:rsidRPr="00473EE5">
        <w:rPr>
          <w:rFonts w:asciiTheme="majorHAnsi" w:hAnsiTheme="majorHAnsi"/>
        </w:rPr>
        <w:t xml:space="preserve"> specifies that data collection on violence should focus on the incidence and prevalence of gender-based violence (GBV) especially sexual violence in different settings and against different categories of women</w:t>
      </w:r>
      <w:r w:rsidR="001E6AEC" w:rsidRPr="00473EE5">
        <w:rPr>
          <w:rFonts w:asciiTheme="majorHAnsi" w:hAnsiTheme="majorHAnsi"/>
        </w:rPr>
        <w:t xml:space="preserve">. The GR No. 30 also </w:t>
      </w:r>
      <w:r w:rsidR="00DD65C7" w:rsidRPr="00473EE5">
        <w:rPr>
          <w:rFonts w:asciiTheme="majorHAnsi" w:hAnsiTheme="majorHAnsi"/>
        </w:rPr>
        <w:t>has</w:t>
      </w:r>
      <w:r w:rsidR="001E6AEC" w:rsidRPr="00473EE5">
        <w:rPr>
          <w:rFonts w:asciiTheme="majorHAnsi" w:hAnsiTheme="majorHAnsi"/>
        </w:rPr>
        <w:t xml:space="preserve"> comprehensive recommendations on monitoring and reporting </w:t>
      </w:r>
      <w:r w:rsidR="00DB5185" w:rsidRPr="00473EE5">
        <w:rPr>
          <w:rFonts w:asciiTheme="majorHAnsi" w:hAnsiTheme="majorHAnsi"/>
        </w:rPr>
        <w:t>(see</w:t>
      </w:r>
      <w:r w:rsidR="001E6AEC" w:rsidRPr="00473EE5">
        <w:rPr>
          <w:rFonts w:asciiTheme="majorHAnsi" w:hAnsiTheme="majorHAnsi"/>
        </w:rPr>
        <w:t xml:space="preserve"> below).</w:t>
      </w:r>
    </w:p>
    <w:p w14:paraId="469A1AA7" w14:textId="77777777" w:rsidR="00EF479B" w:rsidRPr="00473EE5" w:rsidRDefault="00EF479B" w:rsidP="004E5EBC">
      <w:pPr>
        <w:jc w:val="both"/>
        <w:rPr>
          <w:rFonts w:asciiTheme="majorHAnsi" w:hAnsiTheme="majorHAnsi"/>
        </w:rPr>
      </w:pPr>
    </w:p>
    <w:p w14:paraId="3A35ADEE" w14:textId="43185787" w:rsidR="00A34B66" w:rsidRPr="00473EE5" w:rsidRDefault="004E5EBC" w:rsidP="00671735">
      <w:pPr>
        <w:pStyle w:val="ListParagraph"/>
        <w:numPr>
          <w:ilvl w:val="0"/>
          <w:numId w:val="2"/>
        </w:numPr>
        <w:jc w:val="both"/>
        <w:rPr>
          <w:rFonts w:asciiTheme="majorHAnsi" w:hAnsiTheme="majorHAnsi" w:cs="Times New Roman"/>
          <w:b/>
          <w:color w:val="1F497D" w:themeColor="text2"/>
          <w:u w:val="single"/>
        </w:rPr>
      </w:pPr>
      <w:r w:rsidRPr="00473EE5">
        <w:rPr>
          <w:rFonts w:asciiTheme="majorHAnsi" w:hAnsiTheme="majorHAnsi" w:cs="Times New Roman"/>
          <w:b/>
          <w:color w:val="1F497D" w:themeColor="text2"/>
          <w:u w:val="single"/>
        </w:rPr>
        <w:t>Participation</w:t>
      </w:r>
    </w:p>
    <w:p w14:paraId="6B09FC87" w14:textId="77777777" w:rsidR="007E1E7A" w:rsidRPr="00473EE5" w:rsidRDefault="007E1E7A" w:rsidP="00B42DB6">
      <w:pPr>
        <w:jc w:val="both"/>
        <w:rPr>
          <w:rFonts w:asciiTheme="majorHAnsi" w:hAnsiTheme="majorHAnsi" w:cs="Times New Roman"/>
        </w:rPr>
      </w:pPr>
    </w:p>
    <w:p w14:paraId="2A9B7AF7" w14:textId="75F73C31" w:rsidR="00DB5185" w:rsidRPr="00473EE5" w:rsidRDefault="00A34B66" w:rsidP="00B55114">
      <w:pPr>
        <w:pStyle w:val="ListParagraph"/>
        <w:numPr>
          <w:ilvl w:val="1"/>
          <w:numId w:val="2"/>
        </w:numPr>
        <w:spacing w:line="360" w:lineRule="auto"/>
        <w:jc w:val="both"/>
        <w:rPr>
          <w:rFonts w:asciiTheme="majorHAnsi" w:hAnsiTheme="majorHAnsi" w:cs="Times New Roman"/>
          <w:u w:val="single"/>
        </w:rPr>
      </w:pPr>
      <w:r w:rsidRPr="00473EE5">
        <w:rPr>
          <w:rFonts w:asciiTheme="majorHAnsi" w:hAnsiTheme="majorHAnsi" w:cs="Times New Roman"/>
        </w:rPr>
        <w:t xml:space="preserve">By urging </w:t>
      </w:r>
      <w:r w:rsidR="00414161" w:rsidRPr="00473EE5">
        <w:rPr>
          <w:rFonts w:asciiTheme="majorHAnsi" w:hAnsiTheme="majorHAnsi" w:cs="Times New Roman"/>
        </w:rPr>
        <w:t>Member States</w:t>
      </w:r>
      <w:r w:rsidRPr="00473EE5">
        <w:rPr>
          <w:rFonts w:asciiTheme="majorHAnsi" w:hAnsiTheme="majorHAnsi" w:cs="Times New Roman"/>
        </w:rPr>
        <w:t xml:space="preserve"> </w:t>
      </w:r>
      <w:r w:rsidR="005A1CE7" w:rsidRPr="00473EE5">
        <w:rPr>
          <w:rFonts w:asciiTheme="majorHAnsi" w:hAnsiTheme="majorHAnsi" w:cs="Times New Roman"/>
        </w:rPr>
        <w:t xml:space="preserve">to ensure </w:t>
      </w:r>
      <w:r w:rsidR="005A1CE7" w:rsidRPr="00473EE5">
        <w:rPr>
          <w:rFonts w:asciiTheme="majorHAnsi" w:hAnsiTheme="majorHAnsi" w:cs="Times New Roman"/>
          <w:b/>
          <w:color w:val="4F81BD" w:themeColor="accent1"/>
        </w:rPr>
        <w:t>women’s participation in all decision-making levels</w:t>
      </w:r>
      <w:r w:rsidR="005A1CE7" w:rsidRPr="00473EE5">
        <w:rPr>
          <w:rFonts w:asciiTheme="majorHAnsi" w:hAnsiTheme="majorHAnsi" w:cs="Times New Roman"/>
        </w:rPr>
        <w:t xml:space="preserve"> in </w:t>
      </w:r>
      <w:r w:rsidR="005A1CE7" w:rsidRPr="00473EE5">
        <w:rPr>
          <w:rFonts w:asciiTheme="majorHAnsi" w:hAnsiTheme="majorHAnsi" w:cs="Times New Roman"/>
          <w:b/>
          <w:color w:val="4F81BD" w:themeColor="accent1"/>
        </w:rPr>
        <w:t>national, regional and international institutions to prevent, manage and resolve conflict</w:t>
      </w:r>
      <w:r w:rsidRPr="00473EE5">
        <w:rPr>
          <w:rFonts w:asciiTheme="majorHAnsi" w:hAnsiTheme="majorHAnsi" w:cs="Times New Roman"/>
        </w:rPr>
        <w:t>, SCR 1325</w:t>
      </w:r>
      <w:r w:rsidR="005A1CE7" w:rsidRPr="00473EE5">
        <w:rPr>
          <w:rFonts w:asciiTheme="majorHAnsi" w:hAnsiTheme="majorHAnsi" w:cs="Times New Roman"/>
        </w:rPr>
        <w:t xml:space="preserve"> recalls</w:t>
      </w:r>
      <w:r w:rsidR="006E35CE" w:rsidRPr="00473EE5">
        <w:rPr>
          <w:rFonts w:asciiTheme="majorHAnsi" w:hAnsiTheme="majorHAnsi" w:cs="Times New Roman"/>
        </w:rPr>
        <w:t>:</w:t>
      </w:r>
      <w:r w:rsidR="00B42DB6" w:rsidRPr="00473EE5">
        <w:rPr>
          <w:rStyle w:val="FootnoteReference"/>
          <w:rFonts w:asciiTheme="majorHAnsi" w:hAnsiTheme="majorHAnsi" w:cs="Times New Roman"/>
        </w:rPr>
        <w:footnoteReference w:id="34"/>
      </w:r>
    </w:p>
    <w:p w14:paraId="7ED31FDE" w14:textId="77777777" w:rsidR="00E4120D" w:rsidRPr="00473EE5" w:rsidRDefault="00E4120D" w:rsidP="00B55114">
      <w:pPr>
        <w:pStyle w:val="ListParagraph"/>
        <w:spacing w:line="360" w:lineRule="auto"/>
        <w:ind w:left="360"/>
        <w:jc w:val="both"/>
        <w:rPr>
          <w:rFonts w:asciiTheme="majorHAnsi" w:hAnsiTheme="majorHAnsi" w:cs="Times New Roman"/>
          <w:u w:val="single"/>
        </w:rPr>
      </w:pPr>
    </w:p>
    <w:p w14:paraId="5ED437ED" w14:textId="35AE0AF6" w:rsidR="006E35CE" w:rsidRPr="00473EE5" w:rsidRDefault="006E35CE" w:rsidP="00B55114">
      <w:pPr>
        <w:pStyle w:val="ListParagraph"/>
        <w:numPr>
          <w:ilvl w:val="0"/>
          <w:numId w:val="21"/>
        </w:numPr>
        <w:spacing w:line="360" w:lineRule="auto"/>
        <w:jc w:val="both"/>
        <w:rPr>
          <w:rFonts w:asciiTheme="majorHAnsi" w:hAnsiTheme="majorHAnsi" w:cs="Times New Roman"/>
          <w:u w:val="single"/>
        </w:rPr>
      </w:pPr>
      <w:r w:rsidRPr="00473EE5">
        <w:rPr>
          <w:rFonts w:asciiTheme="majorHAnsi" w:hAnsiTheme="majorHAnsi" w:cs="Times New Roman"/>
        </w:rPr>
        <w:t>Articles and GRs/GCs of CEDAW and the ICCPR mentioned above in relation to Prevention under 1(a).</w:t>
      </w:r>
    </w:p>
    <w:p w14:paraId="1C7A4E45" w14:textId="3E20CE3C" w:rsidR="000F5A4E" w:rsidRPr="00473EE5" w:rsidRDefault="00BB0CEB" w:rsidP="00B55114">
      <w:pPr>
        <w:pStyle w:val="ListParagraph"/>
        <w:numPr>
          <w:ilvl w:val="0"/>
          <w:numId w:val="21"/>
        </w:numPr>
        <w:spacing w:line="360" w:lineRule="auto"/>
        <w:jc w:val="both"/>
        <w:rPr>
          <w:rFonts w:asciiTheme="majorHAnsi" w:hAnsiTheme="majorHAnsi" w:cs="Times New Roman"/>
          <w:u w:val="single"/>
        </w:rPr>
      </w:pPr>
      <w:r w:rsidRPr="00473EE5">
        <w:rPr>
          <w:rFonts w:asciiTheme="majorHAnsi" w:hAnsiTheme="majorHAnsi"/>
        </w:rPr>
        <w:t>The</w:t>
      </w:r>
      <w:r w:rsidR="00726524" w:rsidRPr="00473EE5">
        <w:rPr>
          <w:rFonts w:asciiTheme="majorHAnsi" w:hAnsiTheme="majorHAnsi"/>
        </w:rPr>
        <w:t xml:space="preserve"> CEDAW GR No. 30</w:t>
      </w:r>
      <w:r w:rsidR="00ED7691" w:rsidRPr="00473EE5">
        <w:rPr>
          <w:rFonts w:asciiTheme="majorHAnsi" w:hAnsiTheme="majorHAnsi"/>
        </w:rPr>
        <w:t>,</w:t>
      </w:r>
      <w:r w:rsidR="00785539" w:rsidRPr="00473EE5">
        <w:rPr>
          <w:rFonts w:asciiTheme="majorHAnsi" w:hAnsiTheme="majorHAnsi"/>
        </w:rPr>
        <w:t xml:space="preserve"> </w:t>
      </w:r>
      <w:r w:rsidR="00ED7691" w:rsidRPr="00473EE5">
        <w:rPr>
          <w:rFonts w:asciiTheme="majorHAnsi" w:hAnsiTheme="majorHAnsi"/>
        </w:rPr>
        <w:t>which</w:t>
      </w:r>
      <w:r w:rsidR="00726524" w:rsidRPr="00473EE5">
        <w:rPr>
          <w:rFonts w:asciiTheme="majorHAnsi" w:hAnsiTheme="majorHAnsi"/>
        </w:rPr>
        <w:t xml:space="preserve"> specifies the national institutions</w:t>
      </w:r>
      <w:r w:rsidR="00ED7691" w:rsidRPr="00473EE5">
        <w:rPr>
          <w:rFonts w:asciiTheme="majorHAnsi" w:hAnsiTheme="majorHAnsi"/>
        </w:rPr>
        <w:t xml:space="preserve"> dealing with conflict-related crimes</w:t>
      </w:r>
      <w:r w:rsidR="00726524" w:rsidRPr="00473EE5">
        <w:rPr>
          <w:rFonts w:asciiTheme="majorHAnsi" w:hAnsiTheme="majorHAnsi"/>
        </w:rPr>
        <w:t xml:space="preserve"> </w:t>
      </w:r>
      <w:r w:rsidR="00ED7691" w:rsidRPr="00473EE5">
        <w:rPr>
          <w:rFonts w:asciiTheme="majorHAnsi" w:hAnsiTheme="majorHAnsi"/>
        </w:rPr>
        <w:t>i</w:t>
      </w:r>
      <w:r w:rsidR="00726524" w:rsidRPr="00473EE5">
        <w:rPr>
          <w:rFonts w:asciiTheme="majorHAnsi" w:hAnsiTheme="majorHAnsi"/>
        </w:rPr>
        <w:t xml:space="preserve">ncluding </w:t>
      </w:r>
      <w:r w:rsidRPr="00473EE5">
        <w:rPr>
          <w:rFonts w:asciiTheme="majorHAnsi" w:hAnsiTheme="majorHAnsi"/>
        </w:rPr>
        <w:t>the armed forces, police, justice institutions and transitional justice mechanisms (judicial and non-j</w:t>
      </w:r>
      <w:r w:rsidR="00726524" w:rsidRPr="00473EE5">
        <w:rPr>
          <w:rFonts w:asciiTheme="majorHAnsi" w:hAnsiTheme="majorHAnsi"/>
        </w:rPr>
        <w:t>udicial)</w:t>
      </w:r>
      <w:r w:rsidRPr="00473EE5">
        <w:rPr>
          <w:rFonts w:asciiTheme="majorHAnsi" w:hAnsiTheme="majorHAnsi"/>
        </w:rPr>
        <w:t>.</w:t>
      </w:r>
      <w:r w:rsidR="00B93C71" w:rsidRPr="00473EE5">
        <w:rPr>
          <w:rFonts w:asciiTheme="majorHAnsi" w:hAnsiTheme="majorHAnsi"/>
        </w:rPr>
        <w:t xml:space="preserve"> </w:t>
      </w:r>
    </w:p>
    <w:p w14:paraId="6A1397DF" w14:textId="13A0D63B" w:rsidR="006E35CE" w:rsidRPr="00473EE5" w:rsidRDefault="00BB0CEB" w:rsidP="00B55114">
      <w:pPr>
        <w:pStyle w:val="ListParagraph"/>
        <w:numPr>
          <w:ilvl w:val="0"/>
          <w:numId w:val="21"/>
        </w:numPr>
        <w:spacing w:line="360" w:lineRule="auto"/>
        <w:jc w:val="both"/>
        <w:rPr>
          <w:rFonts w:asciiTheme="majorHAnsi" w:hAnsiTheme="majorHAnsi" w:cs="Times New Roman"/>
          <w:u w:val="single"/>
        </w:rPr>
      </w:pPr>
      <w:r w:rsidRPr="00473EE5">
        <w:rPr>
          <w:rFonts w:asciiTheme="majorHAnsi" w:hAnsiTheme="majorHAnsi"/>
        </w:rPr>
        <w:t xml:space="preserve">The </w:t>
      </w:r>
      <w:r w:rsidR="005E4E28" w:rsidRPr="00473EE5">
        <w:rPr>
          <w:rFonts w:asciiTheme="majorHAnsi" w:hAnsiTheme="majorHAnsi"/>
        </w:rPr>
        <w:t>CEDAW GR No. 23</w:t>
      </w:r>
      <w:r w:rsidR="00ED7691" w:rsidRPr="00473EE5">
        <w:rPr>
          <w:rFonts w:asciiTheme="majorHAnsi" w:hAnsiTheme="majorHAnsi"/>
        </w:rPr>
        <w:t>, which</w:t>
      </w:r>
      <w:r w:rsidR="005E4E28" w:rsidRPr="00473EE5">
        <w:rPr>
          <w:rFonts w:asciiTheme="majorHAnsi" w:hAnsiTheme="majorHAnsi"/>
        </w:rPr>
        <w:t xml:space="preserve"> </w:t>
      </w:r>
      <w:r w:rsidR="007125F7" w:rsidRPr="00473EE5">
        <w:rPr>
          <w:rFonts w:asciiTheme="majorHAnsi" w:hAnsiTheme="majorHAnsi"/>
        </w:rPr>
        <w:t>asks</w:t>
      </w:r>
      <w:r w:rsidR="005E4E28" w:rsidRPr="00473EE5">
        <w:rPr>
          <w:rFonts w:asciiTheme="majorHAnsi" w:hAnsiTheme="majorHAnsi"/>
        </w:rPr>
        <w:t xml:space="preserve"> states to collect data on women’s representation in the foreign service or international representation (including government delegations to conferences or nominations for peacekeeping</w:t>
      </w:r>
      <w:r w:rsidR="006E35CE" w:rsidRPr="00473EE5">
        <w:rPr>
          <w:rFonts w:asciiTheme="majorHAnsi" w:hAnsiTheme="majorHAnsi"/>
        </w:rPr>
        <w:t>/</w:t>
      </w:r>
      <w:r w:rsidR="005E4E28" w:rsidRPr="00473EE5">
        <w:rPr>
          <w:rFonts w:asciiTheme="majorHAnsi" w:hAnsiTheme="majorHAnsi"/>
        </w:rPr>
        <w:t xml:space="preserve"> conflict resolution roles) and seniority in the relevant sector. </w:t>
      </w:r>
    </w:p>
    <w:p w14:paraId="32C67924" w14:textId="1C4746E4" w:rsidR="005A1CE7" w:rsidRPr="00473EE5" w:rsidRDefault="005E4E28" w:rsidP="00B55114">
      <w:pPr>
        <w:pStyle w:val="ListParagraph"/>
        <w:numPr>
          <w:ilvl w:val="0"/>
          <w:numId w:val="21"/>
        </w:numPr>
        <w:spacing w:line="360" w:lineRule="auto"/>
        <w:jc w:val="both"/>
        <w:rPr>
          <w:rFonts w:asciiTheme="majorHAnsi" w:hAnsiTheme="majorHAnsi" w:cs="Times New Roman"/>
          <w:u w:val="single"/>
        </w:rPr>
      </w:pPr>
      <w:r w:rsidRPr="00473EE5">
        <w:rPr>
          <w:rFonts w:asciiTheme="majorHAnsi" w:hAnsiTheme="majorHAnsi"/>
        </w:rPr>
        <w:t>The ICCPR GC No. 28</w:t>
      </w:r>
      <w:r w:rsidR="00ED7691" w:rsidRPr="00473EE5">
        <w:rPr>
          <w:rFonts w:asciiTheme="majorHAnsi" w:hAnsiTheme="majorHAnsi"/>
        </w:rPr>
        <w:t>, which</w:t>
      </w:r>
      <w:r w:rsidRPr="00473EE5">
        <w:rPr>
          <w:rFonts w:asciiTheme="majorHAnsi" w:hAnsiTheme="majorHAnsi"/>
        </w:rPr>
        <w:t xml:space="preserve"> </w:t>
      </w:r>
      <w:r w:rsidR="00BB0CEB" w:rsidRPr="00473EE5">
        <w:rPr>
          <w:rFonts w:asciiTheme="majorHAnsi" w:hAnsiTheme="majorHAnsi"/>
        </w:rPr>
        <w:t>asks states</w:t>
      </w:r>
      <w:r w:rsidRPr="00473EE5">
        <w:rPr>
          <w:rFonts w:asciiTheme="majorHAnsi" w:hAnsiTheme="majorHAnsi"/>
        </w:rPr>
        <w:t xml:space="preserve"> to provide statistic</w:t>
      </w:r>
      <w:r w:rsidR="00BB0CEB" w:rsidRPr="00473EE5">
        <w:rPr>
          <w:rFonts w:asciiTheme="majorHAnsi" w:hAnsiTheme="majorHAnsi"/>
        </w:rPr>
        <w:t>s</w:t>
      </w:r>
      <w:r w:rsidRPr="00473EE5">
        <w:rPr>
          <w:rFonts w:asciiTheme="majorHAnsi" w:hAnsiTheme="majorHAnsi"/>
        </w:rPr>
        <w:t xml:space="preserve"> on women in publicly elected office, including the legislature, civil service and the judiciary.</w:t>
      </w:r>
      <w:r w:rsidR="00A34B66" w:rsidRPr="00473EE5">
        <w:rPr>
          <w:rFonts w:asciiTheme="majorHAnsi" w:hAnsiTheme="majorHAnsi" w:cs="Times New Roman"/>
        </w:rPr>
        <w:t xml:space="preserve"> </w:t>
      </w:r>
    </w:p>
    <w:p w14:paraId="777743CD" w14:textId="77777777" w:rsidR="0054600C" w:rsidRPr="00473EE5" w:rsidRDefault="0054600C" w:rsidP="0054600C">
      <w:pPr>
        <w:jc w:val="both"/>
        <w:rPr>
          <w:rFonts w:asciiTheme="majorHAnsi" w:hAnsiTheme="majorHAnsi" w:cs="Times New Roman"/>
          <w:u w:val="single"/>
        </w:rPr>
      </w:pPr>
    </w:p>
    <w:p w14:paraId="5F28B476" w14:textId="28CD122C" w:rsidR="000F5A4E" w:rsidRPr="00473EE5" w:rsidRDefault="00FA7CB0" w:rsidP="00785539">
      <w:pPr>
        <w:pStyle w:val="ListParagraph"/>
        <w:numPr>
          <w:ilvl w:val="1"/>
          <w:numId w:val="2"/>
        </w:numPr>
        <w:spacing w:line="360" w:lineRule="auto"/>
        <w:jc w:val="both"/>
        <w:rPr>
          <w:rFonts w:asciiTheme="majorHAnsi" w:hAnsiTheme="majorHAnsi" w:cs="Times New Roman"/>
          <w:u w:val="single"/>
        </w:rPr>
      </w:pPr>
      <w:r w:rsidRPr="00473EE5">
        <w:rPr>
          <w:rFonts w:asciiTheme="majorHAnsi" w:hAnsiTheme="majorHAnsi" w:cs="Times New Roman"/>
        </w:rPr>
        <w:t xml:space="preserve">By urging the </w:t>
      </w:r>
      <w:r w:rsidR="003B318B" w:rsidRPr="00473EE5">
        <w:rPr>
          <w:rFonts w:asciiTheme="majorHAnsi" w:hAnsiTheme="majorHAnsi" w:cs="Times New Roman"/>
          <w:b/>
          <w:color w:val="4F81BD" w:themeColor="accent1"/>
        </w:rPr>
        <w:t>S</w:t>
      </w:r>
      <w:r w:rsidR="00B03662" w:rsidRPr="00473EE5">
        <w:rPr>
          <w:rFonts w:asciiTheme="majorHAnsi" w:hAnsiTheme="majorHAnsi" w:cs="Times New Roman"/>
          <w:b/>
          <w:color w:val="4F81BD" w:themeColor="accent1"/>
        </w:rPr>
        <w:t>ecretary-</w:t>
      </w:r>
      <w:r w:rsidR="003B318B" w:rsidRPr="00473EE5">
        <w:rPr>
          <w:rFonts w:asciiTheme="majorHAnsi" w:hAnsiTheme="majorHAnsi" w:cs="Times New Roman"/>
          <w:b/>
          <w:color w:val="4F81BD" w:themeColor="accent1"/>
        </w:rPr>
        <w:t>G</w:t>
      </w:r>
      <w:r w:rsidR="00B03662" w:rsidRPr="00473EE5">
        <w:rPr>
          <w:rFonts w:asciiTheme="majorHAnsi" w:hAnsiTheme="majorHAnsi" w:cs="Times New Roman"/>
          <w:b/>
          <w:color w:val="4F81BD" w:themeColor="accent1"/>
        </w:rPr>
        <w:t>eneral</w:t>
      </w:r>
      <w:r w:rsidRPr="00473EE5">
        <w:rPr>
          <w:rFonts w:asciiTheme="majorHAnsi" w:hAnsiTheme="majorHAnsi" w:cs="Times New Roman"/>
        </w:rPr>
        <w:t xml:space="preserve"> </w:t>
      </w:r>
      <w:r w:rsidR="0054600C" w:rsidRPr="00473EE5">
        <w:rPr>
          <w:rFonts w:asciiTheme="majorHAnsi" w:hAnsiTheme="majorHAnsi" w:cs="Times New Roman"/>
        </w:rPr>
        <w:t xml:space="preserve">to </w:t>
      </w:r>
      <w:r w:rsidR="00F108EB" w:rsidRPr="00473EE5">
        <w:rPr>
          <w:rFonts w:asciiTheme="majorHAnsi" w:hAnsiTheme="majorHAnsi" w:cs="Times New Roman"/>
        </w:rPr>
        <w:t>appoint more female</w:t>
      </w:r>
      <w:r w:rsidR="0054600C" w:rsidRPr="00473EE5">
        <w:rPr>
          <w:rFonts w:asciiTheme="majorHAnsi" w:hAnsiTheme="majorHAnsi" w:cs="Times New Roman"/>
        </w:rPr>
        <w:t xml:space="preserve"> </w:t>
      </w:r>
      <w:r w:rsidR="0054600C" w:rsidRPr="00473EE5">
        <w:rPr>
          <w:rFonts w:asciiTheme="majorHAnsi" w:hAnsiTheme="majorHAnsi" w:cs="Times New Roman"/>
          <w:b/>
          <w:color w:val="4F81BD" w:themeColor="accent1"/>
        </w:rPr>
        <w:t>special representatives</w:t>
      </w:r>
      <w:r w:rsidR="003B318B" w:rsidRPr="00473EE5">
        <w:rPr>
          <w:rFonts w:asciiTheme="majorHAnsi" w:hAnsiTheme="majorHAnsi" w:cs="Times New Roman"/>
          <w:b/>
          <w:color w:val="4F81BD" w:themeColor="accent1"/>
        </w:rPr>
        <w:t>/</w:t>
      </w:r>
      <w:r w:rsidR="0054600C" w:rsidRPr="00473EE5">
        <w:rPr>
          <w:rFonts w:asciiTheme="majorHAnsi" w:hAnsiTheme="majorHAnsi" w:cs="Times New Roman"/>
          <w:b/>
          <w:color w:val="4F81BD" w:themeColor="accent1"/>
        </w:rPr>
        <w:t>envoys</w:t>
      </w:r>
      <w:r w:rsidR="0054600C" w:rsidRPr="00473EE5">
        <w:rPr>
          <w:rFonts w:asciiTheme="majorHAnsi" w:hAnsiTheme="majorHAnsi" w:cs="Times New Roman"/>
        </w:rPr>
        <w:t xml:space="preserve">, </w:t>
      </w:r>
      <w:r w:rsidRPr="00473EE5">
        <w:rPr>
          <w:rFonts w:asciiTheme="majorHAnsi" w:hAnsiTheme="majorHAnsi" w:cs="Times New Roman"/>
        </w:rPr>
        <w:t>and asking Member States to provide women candidates, SCR 1325</w:t>
      </w:r>
      <w:r w:rsidR="006E35CE" w:rsidRPr="00473EE5">
        <w:rPr>
          <w:rFonts w:asciiTheme="majorHAnsi" w:hAnsiTheme="majorHAnsi" w:cs="Times New Roman"/>
        </w:rPr>
        <w:t xml:space="preserve"> reflects</w:t>
      </w:r>
      <w:r w:rsidR="000F5A4E" w:rsidRPr="00473EE5">
        <w:rPr>
          <w:rFonts w:asciiTheme="majorHAnsi" w:hAnsiTheme="majorHAnsi" w:cs="Times New Roman"/>
        </w:rPr>
        <w:t>:</w:t>
      </w:r>
      <w:r w:rsidR="00B42DB6" w:rsidRPr="00473EE5">
        <w:rPr>
          <w:rStyle w:val="FootnoteReference"/>
          <w:rFonts w:asciiTheme="majorHAnsi" w:hAnsiTheme="majorHAnsi" w:cs="Times New Roman"/>
        </w:rPr>
        <w:footnoteReference w:id="35"/>
      </w:r>
    </w:p>
    <w:p w14:paraId="047A89F4" w14:textId="77777777" w:rsidR="00E4120D" w:rsidRPr="00473EE5" w:rsidRDefault="00E4120D" w:rsidP="00E4120D">
      <w:pPr>
        <w:pStyle w:val="ListParagraph"/>
        <w:ind w:left="360"/>
        <w:jc w:val="both"/>
        <w:rPr>
          <w:rFonts w:asciiTheme="majorHAnsi" w:hAnsiTheme="majorHAnsi" w:cs="Times New Roman"/>
          <w:u w:val="single"/>
        </w:rPr>
      </w:pPr>
    </w:p>
    <w:p w14:paraId="30F1B416" w14:textId="7C0AA5C4" w:rsidR="0003228C" w:rsidRPr="00473EE5" w:rsidRDefault="00830126" w:rsidP="00785539">
      <w:pPr>
        <w:pStyle w:val="ListParagraph"/>
        <w:numPr>
          <w:ilvl w:val="0"/>
          <w:numId w:val="26"/>
        </w:numPr>
        <w:spacing w:line="360" w:lineRule="auto"/>
        <w:jc w:val="both"/>
        <w:rPr>
          <w:rFonts w:asciiTheme="majorHAnsi" w:hAnsiTheme="majorHAnsi" w:cs="Times New Roman"/>
          <w:u w:val="single"/>
        </w:rPr>
      </w:pPr>
      <w:r w:rsidRPr="00473EE5">
        <w:rPr>
          <w:rFonts w:asciiTheme="majorHAnsi" w:hAnsiTheme="majorHAnsi" w:cs="Times New Roman"/>
        </w:rPr>
        <w:t xml:space="preserve">Article 8 of CEDAW and </w:t>
      </w:r>
      <w:r w:rsidR="00ED7691" w:rsidRPr="00473EE5">
        <w:rPr>
          <w:rFonts w:asciiTheme="majorHAnsi" w:hAnsiTheme="majorHAnsi" w:cs="Times New Roman"/>
        </w:rPr>
        <w:t xml:space="preserve">the CEDAW </w:t>
      </w:r>
      <w:r w:rsidR="00414161" w:rsidRPr="00473EE5">
        <w:rPr>
          <w:rFonts w:asciiTheme="majorHAnsi" w:hAnsiTheme="majorHAnsi" w:cs="Times New Roman"/>
        </w:rPr>
        <w:t>GR</w:t>
      </w:r>
      <w:r w:rsidRPr="00473EE5">
        <w:rPr>
          <w:rFonts w:asciiTheme="majorHAnsi" w:hAnsiTheme="majorHAnsi" w:cs="Times New Roman"/>
        </w:rPr>
        <w:t xml:space="preserve"> No. 23, as mentioned</w:t>
      </w:r>
      <w:r w:rsidR="000A0617" w:rsidRPr="00473EE5">
        <w:rPr>
          <w:rFonts w:asciiTheme="majorHAnsi" w:hAnsiTheme="majorHAnsi" w:cs="Times New Roman"/>
        </w:rPr>
        <w:t xml:space="preserve"> above</w:t>
      </w:r>
      <w:r w:rsidR="00FA7CB0" w:rsidRPr="00473EE5">
        <w:rPr>
          <w:rFonts w:asciiTheme="majorHAnsi" w:hAnsiTheme="majorHAnsi" w:cs="Times New Roman"/>
        </w:rPr>
        <w:t xml:space="preserve"> </w:t>
      </w:r>
      <w:r w:rsidR="000F5A4E" w:rsidRPr="00473EE5">
        <w:rPr>
          <w:rFonts w:asciiTheme="majorHAnsi" w:hAnsiTheme="majorHAnsi" w:cs="Times New Roman"/>
        </w:rPr>
        <w:t>under</w:t>
      </w:r>
      <w:r w:rsidR="00FA7CB0" w:rsidRPr="00473EE5">
        <w:rPr>
          <w:rFonts w:asciiTheme="majorHAnsi" w:hAnsiTheme="majorHAnsi" w:cs="Times New Roman"/>
        </w:rPr>
        <w:t xml:space="preserve"> 1(a). </w:t>
      </w:r>
      <w:r w:rsidR="006E35CE" w:rsidRPr="00473EE5">
        <w:rPr>
          <w:rFonts w:asciiTheme="majorHAnsi" w:hAnsiTheme="majorHAnsi" w:cs="Times New Roman"/>
        </w:rPr>
        <w:t xml:space="preserve">The </w:t>
      </w:r>
      <w:r w:rsidR="00ED7691" w:rsidRPr="00473EE5">
        <w:rPr>
          <w:rFonts w:asciiTheme="majorHAnsi" w:hAnsiTheme="majorHAnsi" w:cs="Times New Roman"/>
        </w:rPr>
        <w:t xml:space="preserve">CEDAW </w:t>
      </w:r>
      <w:r w:rsidR="00116BDF" w:rsidRPr="00473EE5">
        <w:rPr>
          <w:rFonts w:asciiTheme="majorHAnsi" w:hAnsiTheme="majorHAnsi" w:cs="Times New Roman"/>
        </w:rPr>
        <w:t xml:space="preserve">GR No. 23 asks </w:t>
      </w:r>
      <w:r w:rsidR="00414161" w:rsidRPr="00473EE5">
        <w:rPr>
          <w:rFonts w:asciiTheme="majorHAnsi" w:hAnsiTheme="majorHAnsi" w:cs="Times New Roman"/>
        </w:rPr>
        <w:t>states to</w:t>
      </w:r>
      <w:r w:rsidR="00517B20" w:rsidRPr="00473EE5">
        <w:rPr>
          <w:rFonts w:asciiTheme="majorHAnsi" w:hAnsiTheme="majorHAnsi" w:cs="Times New Roman"/>
        </w:rPr>
        <w:t xml:space="preserve"> identify, implement and monitor measures to ensure a </w:t>
      </w:r>
      <w:r w:rsidR="0003228C" w:rsidRPr="00473EE5">
        <w:rPr>
          <w:rFonts w:asciiTheme="majorHAnsi" w:hAnsiTheme="majorHAnsi" w:cs="Times New Roman"/>
        </w:rPr>
        <w:t>better gender balance in all UN bodies, i</w:t>
      </w:r>
      <w:r w:rsidR="00517B20" w:rsidRPr="00473EE5">
        <w:rPr>
          <w:rFonts w:asciiTheme="majorHAnsi" w:hAnsiTheme="majorHAnsi" w:cs="Times New Roman"/>
        </w:rPr>
        <w:t>ncluding</w:t>
      </w:r>
      <w:r w:rsidR="0003228C" w:rsidRPr="00473EE5">
        <w:rPr>
          <w:rFonts w:asciiTheme="majorHAnsi" w:hAnsiTheme="majorHAnsi" w:cs="Times New Roman"/>
        </w:rPr>
        <w:t xml:space="preserve"> committees, expert bodies and </w:t>
      </w:r>
      <w:r w:rsidR="00517B20" w:rsidRPr="00473EE5">
        <w:rPr>
          <w:rFonts w:asciiTheme="majorHAnsi" w:hAnsiTheme="majorHAnsi" w:cs="Times New Roman"/>
        </w:rPr>
        <w:t xml:space="preserve">treaty bodies, and appointments to independent working groups or as country and special rapporteurs. </w:t>
      </w:r>
    </w:p>
    <w:p w14:paraId="178E44B3" w14:textId="1B8B9CC7" w:rsidR="007E1E7A" w:rsidRPr="00473EE5" w:rsidRDefault="007E1E7A" w:rsidP="00785539">
      <w:pPr>
        <w:pStyle w:val="ListParagraph"/>
        <w:numPr>
          <w:ilvl w:val="0"/>
          <w:numId w:val="26"/>
        </w:numPr>
        <w:spacing w:line="360" w:lineRule="auto"/>
        <w:jc w:val="both"/>
        <w:rPr>
          <w:rFonts w:asciiTheme="majorHAnsi" w:hAnsiTheme="majorHAnsi" w:cs="Times New Roman"/>
          <w:u w:val="single"/>
        </w:rPr>
      </w:pPr>
      <w:r w:rsidRPr="00473EE5">
        <w:rPr>
          <w:rFonts w:asciiTheme="majorHAnsi" w:hAnsiTheme="majorHAnsi" w:cs="Times New Roman"/>
        </w:rPr>
        <w:t>Article 8 of the UN Charter</w:t>
      </w:r>
      <w:r w:rsidR="00ED7691" w:rsidRPr="00473EE5">
        <w:rPr>
          <w:rFonts w:asciiTheme="majorHAnsi" w:hAnsiTheme="majorHAnsi" w:cs="Times New Roman"/>
        </w:rPr>
        <w:t>, which</w:t>
      </w:r>
      <w:r w:rsidRPr="00473EE5">
        <w:rPr>
          <w:rFonts w:asciiTheme="majorHAnsi" w:hAnsiTheme="majorHAnsi" w:cs="Times New Roman"/>
        </w:rPr>
        <w:t xml:space="preserve"> states the UN cannot place any restrictions on the eligibility of men and women to participate in any capacity and under conditions of equality in its principal and subsidiary organs. </w:t>
      </w:r>
    </w:p>
    <w:p w14:paraId="43967441" w14:textId="77777777" w:rsidR="0003228C" w:rsidRPr="00473EE5" w:rsidRDefault="0003228C" w:rsidP="0054600C">
      <w:pPr>
        <w:jc w:val="both"/>
        <w:rPr>
          <w:rFonts w:asciiTheme="majorHAnsi" w:hAnsiTheme="majorHAnsi" w:cs="Times New Roman"/>
          <w:u w:val="single"/>
        </w:rPr>
      </w:pPr>
    </w:p>
    <w:p w14:paraId="1869A065" w14:textId="77777777" w:rsidR="000F5A4E" w:rsidRPr="00473EE5" w:rsidRDefault="0054600C" w:rsidP="00785539">
      <w:pPr>
        <w:pStyle w:val="ListParagraph"/>
        <w:numPr>
          <w:ilvl w:val="1"/>
          <w:numId w:val="2"/>
        </w:numPr>
        <w:spacing w:line="360" w:lineRule="auto"/>
        <w:jc w:val="both"/>
        <w:rPr>
          <w:rFonts w:asciiTheme="majorHAnsi" w:hAnsiTheme="majorHAnsi" w:cs="Times New Roman"/>
          <w:u w:val="single"/>
        </w:rPr>
      </w:pPr>
      <w:r w:rsidRPr="00473EE5">
        <w:rPr>
          <w:rFonts w:asciiTheme="majorHAnsi" w:hAnsiTheme="majorHAnsi" w:cs="Times New Roman"/>
        </w:rPr>
        <w:t xml:space="preserve">SCR 1325 </w:t>
      </w:r>
      <w:r w:rsidR="003B318B" w:rsidRPr="00473EE5">
        <w:rPr>
          <w:rFonts w:asciiTheme="majorHAnsi" w:hAnsiTheme="majorHAnsi" w:cs="Times New Roman"/>
        </w:rPr>
        <w:t xml:space="preserve">also </w:t>
      </w:r>
      <w:r w:rsidR="00633386" w:rsidRPr="00473EE5">
        <w:rPr>
          <w:rFonts w:asciiTheme="majorHAnsi" w:hAnsiTheme="majorHAnsi" w:cs="Times New Roman"/>
        </w:rPr>
        <w:t xml:space="preserve">urges the </w:t>
      </w:r>
      <w:r w:rsidR="003B318B" w:rsidRPr="00473EE5">
        <w:rPr>
          <w:rFonts w:asciiTheme="majorHAnsi" w:hAnsiTheme="majorHAnsi" w:cs="Times New Roman"/>
        </w:rPr>
        <w:t>S</w:t>
      </w:r>
      <w:r w:rsidR="00B03662" w:rsidRPr="00473EE5">
        <w:rPr>
          <w:rFonts w:asciiTheme="majorHAnsi" w:hAnsiTheme="majorHAnsi" w:cs="Times New Roman"/>
        </w:rPr>
        <w:t>ecretary-</w:t>
      </w:r>
      <w:r w:rsidR="003B318B" w:rsidRPr="00473EE5">
        <w:rPr>
          <w:rFonts w:asciiTheme="majorHAnsi" w:hAnsiTheme="majorHAnsi" w:cs="Times New Roman"/>
        </w:rPr>
        <w:t>G</w:t>
      </w:r>
      <w:r w:rsidR="00B03662" w:rsidRPr="00473EE5">
        <w:rPr>
          <w:rFonts w:asciiTheme="majorHAnsi" w:hAnsiTheme="majorHAnsi" w:cs="Times New Roman"/>
        </w:rPr>
        <w:t>eneral</w:t>
      </w:r>
      <w:r w:rsidR="00633386" w:rsidRPr="00473EE5">
        <w:rPr>
          <w:rFonts w:asciiTheme="majorHAnsi" w:hAnsiTheme="majorHAnsi" w:cs="Times New Roman"/>
        </w:rPr>
        <w:t xml:space="preserve"> to </w:t>
      </w:r>
      <w:r w:rsidR="00633386" w:rsidRPr="00473EE5">
        <w:rPr>
          <w:rFonts w:asciiTheme="majorHAnsi" w:hAnsiTheme="majorHAnsi" w:cs="Times New Roman"/>
          <w:b/>
          <w:color w:val="4F81BD" w:themeColor="accent1"/>
        </w:rPr>
        <w:t>expand women’s role and contribution in UN field-based</w:t>
      </w:r>
      <w:r w:rsidR="00633386" w:rsidRPr="00473EE5">
        <w:rPr>
          <w:rFonts w:asciiTheme="majorHAnsi" w:hAnsiTheme="majorHAnsi" w:cs="Times New Roman"/>
        </w:rPr>
        <w:t xml:space="preserve"> operations, especially among military observers, civilian police, human rights and humanitarian personnel, and expresses </w:t>
      </w:r>
      <w:r w:rsidR="00B03662" w:rsidRPr="00473EE5">
        <w:rPr>
          <w:rFonts w:asciiTheme="majorHAnsi" w:hAnsiTheme="majorHAnsi" w:cs="Times New Roman"/>
        </w:rPr>
        <w:t>the Council’s</w:t>
      </w:r>
      <w:r w:rsidR="00633386" w:rsidRPr="00473EE5">
        <w:rPr>
          <w:rFonts w:asciiTheme="majorHAnsi" w:hAnsiTheme="majorHAnsi" w:cs="Times New Roman"/>
        </w:rPr>
        <w:t xml:space="preserve"> willingness to incorporate a gender perspective, urging the Secretary-General to include a gender p</w:t>
      </w:r>
      <w:r w:rsidR="005E4E28" w:rsidRPr="00473EE5">
        <w:rPr>
          <w:rFonts w:asciiTheme="majorHAnsi" w:hAnsiTheme="majorHAnsi" w:cs="Times New Roman"/>
        </w:rPr>
        <w:t>erspective in field operations, where appropriate</w:t>
      </w:r>
      <w:r w:rsidR="00633386" w:rsidRPr="00473EE5">
        <w:rPr>
          <w:rFonts w:asciiTheme="majorHAnsi" w:hAnsiTheme="majorHAnsi" w:cs="Times New Roman"/>
        </w:rPr>
        <w:t xml:space="preserve">. </w:t>
      </w:r>
      <w:r w:rsidR="00633386" w:rsidRPr="00473EE5">
        <w:rPr>
          <w:rStyle w:val="FootnoteReference"/>
          <w:rFonts w:asciiTheme="majorHAnsi" w:hAnsiTheme="majorHAnsi" w:cs="Times New Roman"/>
        </w:rPr>
        <w:footnoteReference w:id="36"/>
      </w:r>
      <w:r w:rsidR="00DF6CBA" w:rsidRPr="00473EE5">
        <w:rPr>
          <w:rFonts w:asciiTheme="majorHAnsi" w:hAnsiTheme="majorHAnsi" w:cs="Times New Roman"/>
        </w:rPr>
        <w:t xml:space="preserve"> </w:t>
      </w:r>
    </w:p>
    <w:p w14:paraId="6C0B0452" w14:textId="77777777" w:rsidR="00E4120D" w:rsidRPr="00473EE5" w:rsidRDefault="00E4120D" w:rsidP="00E4120D">
      <w:pPr>
        <w:pStyle w:val="ListParagraph"/>
        <w:ind w:left="360"/>
        <w:jc w:val="both"/>
        <w:rPr>
          <w:rFonts w:asciiTheme="majorHAnsi" w:hAnsiTheme="majorHAnsi" w:cs="Times New Roman"/>
          <w:u w:val="single"/>
        </w:rPr>
      </w:pPr>
    </w:p>
    <w:p w14:paraId="765BE4C5" w14:textId="2A342EB7" w:rsidR="0054600C" w:rsidRPr="00473EE5" w:rsidRDefault="00DF6CBA" w:rsidP="00785539">
      <w:pPr>
        <w:pStyle w:val="ListParagraph"/>
        <w:numPr>
          <w:ilvl w:val="0"/>
          <w:numId w:val="27"/>
        </w:numPr>
        <w:spacing w:line="360" w:lineRule="auto"/>
        <w:jc w:val="both"/>
        <w:rPr>
          <w:rFonts w:asciiTheme="majorHAnsi" w:hAnsiTheme="majorHAnsi" w:cs="Times New Roman"/>
          <w:u w:val="single"/>
        </w:rPr>
      </w:pPr>
      <w:r w:rsidRPr="00473EE5">
        <w:rPr>
          <w:rFonts w:asciiTheme="majorHAnsi" w:hAnsiTheme="majorHAnsi" w:cs="Times New Roman"/>
        </w:rPr>
        <w:t xml:space="preserve">CEDAW </w:t>
      </w:r>
      <w:r w:rsidR="00F3615E" w:rsidRPr="00473EE5">
        <w:rPr>
          <w:rFonts w:asciiTheme="majorHAnsi" w:hAnsiTheme="majorHAnsi" w:cs="Times New Roman"/>
        </w:rPr>
        <w:t>extends</w:t>
      </w:r>
      <w:r w:rsidR="00116BDF" w:rsidRPr="00473EE5">
        <w:rPr>
          <w:rFonts w:asciiTheme="majorHAnsi" w:hAnsiTheme="majorHAnsi" w:cs="Times New Roman"/>
        </w:rPr>
        <w:t xml:space="preserve"> this provision,</w:t>
      </w:r>
      <w:r w:rsidRPr="00473EE5">
        <w:rPr>
          <w:rFonts w:asciiTheme="majorHAnsi" w:hAnsiTheme="majorHAnsi" w:cs="Times New Roman"/>
        </w:rPr>
        <w:t xml:space="preserve"> </w:t>
      </w:r>
      <w:r w:rsidR="005E4E28" w:rsidRPr="00473EE5">
        <w:rPr>
          <w:rFonts w:asciiTheme="majorHAnsi" w:hAnsiTheme="majorHAnsi" w:cs="Times New Roman"/>
        </w:rPr>
        <w:t>confirming</w:t>
      </w:r>
      <w:r w:rsidRPr="00473EE5">
        <w:rPr>
          <w:rFonts w:asciiTheme="majorHAnsi" w:hAnsiTheme="majorHAnsi" w:cs="Times New Roman"/>
        </w:rPr>
        <w:t xml:space="preserve"> </w:t>
      </w:r>
      <w:r w:rsidR="00116BDF" w:rsidRPr="00473EE5">
        <w:rPr>
          <w:rFonts w:asciiTheme="majorHAnsi" w:hAnsiTheme="majorHAnsi" w:cs="Times New Roman"/>
        </w:rPr>
        <w:t xml:space="preserve">a gender perspective as </w:t>
      </w:r>
      <w:r w:rsidRPr="00473EE5">
        <w:rPr>
          <w:rFonts w:asciiTheme="majorHAnsi" w:hAnsiTheme="majorHAnsi" w:cs="Times New Roman"/>
        </w:rPr>
        <w:t xml:space="preserve">mandatory and not optional. </w:t>
      </w:r>
      <w:r w:rsidR="00A27E5A" w:rsidRPr="00473EE5">
        <w:rPr>
          <w:rFonts w:asciiTheme="majorHAnsi" w:hAnsiTheme="majorHAnsi" w:cs="Times New Roman"/>
        </w:rPr>
        <w:t xml:space="preserve">As the CEDAW </w:t>
      </w:r>
      <w:r w:rsidR="00DB3942" w:rsidRPr="00473EE5">
        <w:rPr>
          <w:rFonts w:asciiTheme="majorHAnsi" w:hAnsiTheme="majorHAnsi" w:cs="Times New Roman"/>
        </w:rPr>
        <w:t>Committee observes in</w:t>
      </w:r>
      <w:r w:rsidR="00ED7691" w:rsidRPr="00473EE5">
        <w:rPr>
          <w:rFonts w:asciiTheme="majorHAnsi" w:hAnsiTheme="majorHAnsi" w:cs="Times New Roman"/>
        </w:rPr>
        <w:t xml:space="preserve"> its</w:t>
      </w:r>
      <w:r w:rsidR="00DB3942" w:rsidRPr="00473EE5">
        <w:rPr>
          <w:rFonts w:asciiTheme="majorHAnsi" w:hAnsiTheme="majorHAnsi" w:cs="Times New Roman"/>
        </w:rPr>
        <w:t xml:space="preserve"> GR No. 23</w:t>
      </w:r>
      <w:r w:rsidR="00A27E5A" w:rsidRPr="00473EE5">
        <w:rPr>
          <w:rFonts w:asciiTheme="majorHAnsi" w:hAnsiTheme="majorHAnsi" w:cs="Times New Roman"/>
        </w:rPr>
        <w:t xml:space="preserve"> and reiterates in GR No. 30, “the inclusion of a critical mass of women in international negotiations, peacekeeping activities, all levels of preventive diplomacy, mediation, humanitarian assistance, social reconciliation, peace negotiations and the international criminal justice system will make a difference. In addressing armed or other conflicts, a gender perspective and analysis is </w:t>
      </w:r>
      <w:r w:rsidR="00A27E5A" w:rsidRPr="00473EE5">
        <w:rPr>
          <w:rFonts w:asciiTheme="majorHAnsi" w:hAnsiTheme="majorHAnsi" w:cs="Times New Roman"/>
          <w:b/>
          <w:i/>
          <w:color w:val="4F81BD" w:themeColor="accent1"/>
        </w:rPr>
        <w:t>necessary</w:t>
      </w:r>
      <w:r w:rsidR="00A27E5A" w:rsidRPr="00473EE5">
        <w:rPr>
          <w:rFonts w:asciiTheme="majorHAnsi" w:hAnsiTheme="majorHAnsi" w:cs="Times New Roman"/>
          <w:b/>
          <w:i/>
        </w:rPr>
        <w:t xml:space="preserve"> </w:t>
      </w:r>
      <w:r w:rsidR="00A27E5A" w:rsidRPr="00473EE5">
        <w:rPr>
          <w:rFonts w:asciiTheme="majorHAnsi" w:hAnsiTheme="majorHAnsi" w:cs="Times New Roman"/>
        </w:rPr>
        <w:t>to understanding their differing effects on women and men”</w:t>
      </w:r>
      <w:r w:rsidR="00DB3942" w:rsidRPr="00473EE5">
        <w:rPr>
          <w:rFonts w:asciiTheme="majorHAnsi" w:hAnsiTheme="majorHAnsi" w:cs="Times New Roman"/>
        </w:rPr>
        <w:t xml:space="preserve"> (emphasis added)</w:t>
      </w:r>
      <w:r w:rsidR="00A27E5A" w:rsidRPr="00473EE5">
        <w:rPr>
          <w:rFonts w:asciiTheme="majorHAnsi" w:hAnsiTheme="majorHAnsi" w:cs="Times New Roman"/>
        </w:rPr>
        <w:t>.</w:t>
      </w:r>
      <w:r w:rsidR="00A27E5A" w:rsidRPr="00473EE5">
        <w:rPr>
          <w:rStyle w:val="FootnoteReference"/>
          <w:rFonts w:asciiTheme="majorHAnsi" w:hAnsiTheme="majorHAnsi" w:cs="Times New Roman"/>
        </w:rPr>
        <w:t xml:space="preserve"> </w:t>
      </w:r>
    </w:p>
    <w:p w14:paraId="77789581" w14:textId="77777777" w:rsidR="00A27E5A" w:rsidRPr="00473EE5" w:rsidRDefault="00A27E5A" w:rsidP="00A27E5A">
      <w:pPr>
        <w:jc w:val="both"/>
        <w:rPr>
          <w:rFonts w:asciiTheme="majorHAnsi" w:hAnsiTheme="majorHAnsi" w:cs="Times New Roman"/>
          <w:u w:val="single"/>
        </w:rPr>
      </w:pPr>
    </w:p>
    <w:p w14:paraId="4849EE39" w14:textId="2A4AD9E2" w:rsidR="000F5A4E" w:rsidRPr="00473EE5" w:rsidRDefault="00A27E5A" w:rsidP="00785539">
      <w:pPr>
        <w:pStyle w:val="ListParagraph"/>
        <w:numPr>
          <w:ilvl w:val="1"/>
          <w:numId w:val="2"/>
        </w:numPr>
        <w:spacing w:line="360" w:lineRule="auto"/>
        <w:jc w:val="both"/>
        <w:rPr>
          <w:rFonts w:asciiTheme="majorHAnsi" w:hAnsiTheme="majorHAnsi" w:cs="Times New Roman"/>
          <w:u w:val="single"/>
        </w:rPr>
      </w:pPr>
      <w:r w:rsidRPr="00473EE5">
        <w:rPr>
          <w:rFonts w:asciiTheme="majorHAnsi" w:hAnsiTheme="majorHAnsi" w:cs="Times New Roman"/>
        </w:rPr>
        <w:t xml:space="preserve">By calling on all involved in </w:t>
      </w:r>
      <w:r w:rsidRPr="00473EE5">
        <w:rPr>
          <w:rFonts w:asciiTheme="majorHAnsi" w:hAnsiTheme="majorHAnsi" w:cs="Times New Roman"/>
          <w:b/>
          <w:color w:val="4F81BD" w:themeColor="accent1"/>
        </w:rPr>
        <w:t xml:space="preserve">negotiating and </w:t>
      </w:r>
      <w:r w:rsidR="003B318B" w:rsidRPr="00473EE5">
        <w:rPr>
          <w:rFonts w:asciiTheme="majorHAnsi" w:hAnsiTheme="majorHAnsi" w:cs="Times New Roman"/>
          <w:b/>
          <w:color w:val="4F81BD" w:themeColor="accent1"/>
        </w:rPr>
        <w:t xml:space="preserve">enforcing </w:t>
      </w:r>
      <w:r w:rsidR="00F65876" w:rsidRPr="00473EE5">
        <w:rPr>
          <w:rFonts w:asciiTheme="majorHAnsi" w:hAnsiTheme="majorHAnsi" w:cs="Times New Roman"/>
          <w:b/>
          <w:color w:val="4F81BD" w:themeColor="accent1"/>
        </w:rPr>
        <w:t>peace agreements to adopt a gender</w:t>
      </w:r>
      <w:r w:rsidR="00F65876" w:rsidRPr="00473EE5">
        <w:rPr>
          <w:rFonts w:asciiTheme="majorHAnsi" w:hAnsiTheme="majorHAnsi" w:cs="Times New Roman"/>
          <w:color w:val="4F81BD" w:themeColor="accent1"/>
        </w:rPr>
        <w:t xml:space="preserve"> </w:t>
      </w:r>
      <w:r w:rsidR="00F65876" w:rsidRPr="00473EE5">
        <w:rPr>
          <w:rFonts w:asciiTheme="majorHAnsi" w:hAnsiTheme="majorHAnsi" w:cs="Times New Roman"/>
          <w:b/>
          <w:color w:val="4F81BD" w:themeColor="accent1"/>
        </w:rPr>
        <w:t>perspective</w:t>
      </w:r>
      <w:r w:rsidR="00F65876" w:rsidRPr="00473EE5">
        <w:rPr>
          <w:rFonts w:asciiTheme="majorHAnsi" w:hAnsiTheme="majorHAnsi" w:cs="Times New Roman"/>
        </w:rPr>
        <w:t xml:space="preserve">, including measures that support local women’s peace initiatives and indigenous processes for conflict resolution, and that involve women in </w:t>
      </w:r>
      <w:r w:rsidR="004D3EBC" w:rsidRPr="00473EE5">
        <w:rPr>
          <w:rFonts w:asciiTheme="majorHAnsi" w:hAnsiTheme="majorHAnsi" w:cs="Times New Roman"/>
        </w:rPr>
        <w:t>implementing</w:t>
      </w:r>
      <w:r w:rsidR="00F65876" w:rsidRPr="00473EE5">
        <w:rPr>
          <w:rFonts w:asciiTheme="majorHAnsi" w:hAnsiTheme="majorHAnsi" w:cs="Times New Roman"/>
        </w:rPr>
        <w:t xml:space="preserve"> peace agreements, SCR 1325 </w:t>
      </w:r>
      <w:r w:rsidR="00DD65C7" w:rsidRPr="00473EE5">
        <w:rPr>
          <w:rFonts w:asciiTheme="majorHAnsi" w:hAnsiTheme="majorHAnsi" w:cs="Times New Roman"/>
        </w:rPr>
        <w:t>reflects:</w:t>
      </w:r>
      <w:r w:rsidR="006E35CE" w:rsidRPr="00473EE5">
        <w:rPr>
          <w:rStyle w:val="FootnoteReference"/>
          <w:rFonts w:asciiTheme="majorHAnsi" w:hAnsiTheme="majorHAnsi" w:cs="Times New Roman"/>
        </w:rPr>
        <w:footnoteReference w:id="37"/>
      </w:r>
    </w:p>
    <w:p w14:paraId="7DB19DD8" w14:textId="77777777" w:rsidR="00E4120D" w:rsidRPr="00473EE5" w:rsidRDefault="00E4120D" w:rsidP="00E4120D">
      <w:pPr>
        <w:pStyle w:val="ListParagraph"/>
        <w:ind w:left="360"/>
        <w:jc w:val="both"/>
        <w:rPr>
          <w:rFonts w:asciiTheme="majorHAnsi" w:hAnsiTheme="majorHAnsi" w:cs="Times New Roman"/>
          <w:u w:val="single"/>
        </w:rPr>
      </w:pPr>
    </w:p>
    <w:p w14:paraId="1A3CF9A1" w14:textId="03B8F36C" w:rsidR="000F5A4E" w:rsidRPr="00473EE5" w:rsidRDefault="00DD65C7" w:rsidP="00785539">
      <w:pPr>
        <w:pStyle w:val="ListParagraph"/>
        <w:numPr>
          <w:ilvl w:val="0"/>
          <w:numId w:val="22"/>
        </w:numPr>
        <w:spacing w:line="360" w:lineRule="auto"/>
        <w:jc w:val="both"/>
        <w:rPr>
          <w:rFonts w:asciiTheme="majorHAnsi" w:hAnsiTheme="majorHAnsi" w:cs="Times New Roman"/>
          <w:u w:val="single"/>
        </w:rPr>
      </w:pPr>
      <w:r w:rsidRPr="00473EE5">
        <w:rPr>
          <w:rFonts w:asciiTheme="majorHAnsi" w:hAnsiTheme="majorHAnsi" w:cs="Times New Roman"/>
        </w:rPr>
        <w:lastRenderedPageBreak/>
        <w:t xml:space="preserve">Articles 7 and 8 of CEDAW. </w:t>
      </w:r>
      <w:r w:rsidR="00F068BF" w:rsidRPr="00473EE5">
        <w:rPr>
          <w:rFonts w:asciiTheme="majorHAnsi" w:hAnsiTheme="majorHAnsi" w:cs="Times New Roman"/>
        </w:rPr>
        <w:t>The SCR 1325</w:t>
      </w:r>
      <w:r w:rsidR="001369EE" w:rsidRPr="00473EE5">
        <w:rPr>
          <w:rFonts w:asciiTheme="majorHAnsi" w:hAnsiTheme="majorHAnsi" w:cs="Times New Roman"/>
        </w:rPr>
        <w:t xml:space="preserve"> also </w:t>
      </w:r>
      <w:r w:rsidR="00F65876" w:rsidRPr="00473EE5">
        <w:rPr>
          <w:rFonts w:asciiTheme="majorHAnsi" w:hAnsiTheme="majorHAnsi" w:cs="Times New Roman"/>
        </w:rPr>
        <w:t xml:space="preserve">reflects </w:t>
      </w:r>
      <w:r w:rsidR="004F1CA3" w:rsidRPr="00473EE5">
        <w:rPr>
          <w:rFonts w:asciiTheme="majorHAnsi" w:hAnsiTheme="majorHAnsi" w:cs="Times New Roman"/>
        </w:rPr>
        <w:t xml:space="preserve">the language of </w:t>
      </w:r>
      <w:r w:rsidR="00F65876" w:rsidRPr="00473EE5">
        <w:rPr>
          <w:rFonts w:asciiTheme="majorHAnsi" w:hAnsiTheme="majorHAnsi" w:cs="Times New Roman"/>
        </w:rPr>
        <w:t>CEDAW</w:t>
      </w:r>
      <w:r w:rsidR="005E4E28" w:rsidRPr="00473EE5">
        <w:rPr>
          <w:rFonts w:asciiTheme="majorHAnsi" w:hAnsiTheme="majorHAnsi" w:cs="Times New Roman"/>
        </w:rPr>
        <w:t xml:space="preserve"> </w:t>
      </w:r>
      <w:r w:rsidR="00F65876" w:rsidRPr="00473EE5">
        <w:rPr>
          <w:rFonts w:asciiTheme="majorHAnsi" w:hAnsiTheme="majorHAnsi" w:cs="Times New Roman"/>
        </w:rPr>
        <w:t>GR No. 30</w:t>
      </w:r>
      <w:r w:rsidR="008F77DB" w:rsidRPr="00473EE5">
        <w:rPr>
          <w:rFonts w:asciiTheme="majorHAnsi" w:hAnsiTheme="majorHAnsi" w:cs="Times New Roman"/>
        </w:rPr>
        <w:t>, which</w:t>
      </w:r>
      <w:r w:rsidR="004F1CA3" w:rsidRPr="00473EE5">
        <w:rPr>
          <w:rFonts w:asciiTheme="majorHAnsi" w:hAnsiTheme="majorHAnsi" w:cs="Times New Roman"/>
        </w:rPr>
        <w:t xml:space="preserve"> extends these protections by</w:t>
      </w:r>
      <w:r w:rsidR="004D3EBC" w:rsidRPr="00473EE5">
        <w:rPr>
          <w:rFonts w:asciiTheme="majorHAnsi" w:hAnsiTheme="majorHAnsi" w:cs="Times New Roman"/>
        </w:rPr>
        <w:t xml:space="preserve"> requiring states to build women’s capacity </w:t>
      </w:r>
      <w:r w:rsidR="00B03662" w:rsidRPr="00473EE5">
        <w:rPr>
          <w:rFonts w:asciiTheme="majorHAnsi" w:hAnsiTheme="majorHAnsi" w:cs="Times New Roman"/>
        </w:rPr>
        <w:t>so that they can take part in these</w:t>
      </w:r>
      <w:r w:rsidR="004D3EBC" w:rsidRPr="00473EE5">
        <w:rPr>
          <w:rFonts w:asciiTheme="majorHAnsi" w:hAnsiTheme="majorHAnsi" w:cs="Times New Roman"/>
        </w:rPr>
        <w:t xml:space="preserve"> activities. </w:t>
      </w:r>
      <w:r w:rsidR="00F068BF" w:rsidRPr="00473EE5">
        <w:rPr>
          <w:rFonts w:asciiTheme="majorHAnsi" w:hAnsiTheme="majorHAnsi" w:cs="Times New Roman"/>
        </w:rPr>
        <w:t>The CEDAW GR No. 30 asks</w:t>
      </w:r>
      <w:r w:rsidR="004F1CA3" w:rsidRPr="00473EE5">
        <w:rPr>
          <w:rFonts w:asciiTheme="majorHAnsi" w:hAnsiTheme="majorHAnsi" w:cs="Times New Roman"/>
        </w:rPr>
        <w:t xml:space="preserve"> states to</w:t>
      </w:r>
      <w:r w:rsidR="005E4E28" w:rsidRPr="00473EE5">
        <w:rPr>
          <w:rFonts w:asciiTheme="majorHAnsi" w:hAnsiTheme="majorHAnsi" w:cs="Times New Roman"/>
        </w:rPr>
        <w:t xml:space="preserve"> </w:t>
      </w:r>
      <w:r w:rsidR="004F1CA3" w:rsidRPr="00473EE5">
        <w:rPr>
          <w:rFonts w:asciiTheme="majorHAnsi" w:hAnsiTheme="majorHAnsi" w:cs="Times New Roman"/>
        </w:rPr>
        <w:t xml:space="preserve">ensure that women and </w:t>
      </w:r>
      <w:r w:rsidR="00083D64" w:rsidRPr="00473EE5">
        <w:rPr>
          <w:rFonts w:asciiTheme="majorHAnsi" w:hAnsiTheme="majorHAnsi" w:cs="Times New Roman"/>
        </w:rPr>
        <w:t>women’s</w:t>
      </w:r>
      <w:r w:rsidR="004F1CA3" w:rsidRPr="00473EE5">
        <w:rPr>
          <w:rFonts w:asciiTheme="majorHAnsi" w:hAnsiTheme="majorHAnsi" w:cs="Times New Roman"/>
        </w:rPr>
        <w:t xml:space="preserve"> or</w:t>
      </w:r>
      <w:r w:rsidR="005E4E28" w:rsidRPr="00473EE5">
        <w:rPr>
          <w:rFonts w:asciiTheme="majorHAnsi" w:hAnsiTheme="majorHAnsi" w:cs="Times New Roman"/>
        </w:rPr>
        <w:t xml:space="preserve">ganizations </w:t>
      </w:r>
      <w:r w:rsidR="004F1CA3" w:rsidRPr="00473EE5">
        <w:rPr>
          <w:rFonts w:asciiTheme="majorHAnsi" w:hAnsiTheme="majorHAnsi" w:cs="Times New Roman"/>
        </w:rPr>
        <w:t>are included equally in peace negotiations and post-conflict rebuil</w:t>
      </w:r>
      <w:r w:rsidR="005E4E28" w:rsidRPr="00473EE5">
        <w:rPr>
          <w:rFonts w:asciiTheme="majorHAnsi" w:hAnsiTheme="majorHAnsi" w:cs="Times New Roman"/>
        </w:rPr>
        <w:t>ding and reconstruction, and</w:t>
      </w:r>
      <w:r w:rsidR="004D3EBC" w:rsidRPr="00473EE5">
        <w:rPr>
          <w:rFonts w:asciiTheme="majorHAnsi" w:hAnsiTheme="majorHAnsi" w:cs="Times New Roman"/>
        </w:rPr>
        <w:t xml:space="preserve"> to</w:t>
      </w:r>
      <w:r w:rsidR="005E4E28" w:rsidRPr="00473EE5">
        <w:rPr>
          <w:rFonts w:asciiTheme="majorHAnsi" w:hAnsiTheme="majorHAnsi" w:cs="Times New Roman"/>
        </w:rPr>
        <w:t xml:space="preserve"> </w:t>
      </w:r>
      <w:r w:rsidR="004F1CA3" w:rsidRPr="00473EE5">
        <w:rPr>
          <w:rFonts w:asciiTheme="majorHAnsi" w:hAnsiTheme="majorHAnsi" w:cs="Times New Roman"/>
        </w:rPr>
        <w:t xml:space="preserve">provide leadership training </w:t>
      </w:r>
      <w:r w:rsidR="005E4E28" w:rsidRPr="00473EE5">
        <w:rPr>
          <w:rFonts w:asciiTheme="majorHAnsi" w:hAnsiTheme="majorHAnsi" w:cs="Times New Roman"/>
        </w:rPr>
        <w:t>for women’s</w:t>
      </w:r>
      <w:r w:rsidR="004F1CA3" w:rsidRPr="00473EE5">
        <w:rPr>
          <w:rFonts w:asciiTheme="majorHAnsi" w:hAnsiTheme="majorHAnsi" w:cs="Times New Roman"/>
        </w:rPr>
        <w:t xml:space="preserve"> effective participation in post-conflict</w:t>
      </w:r>
      <w:r w:rsidR="004D3EBC" w:rsidRPr="00473EE5">
        <w:rPr>
          <w:rFonts w:asciiTheme="majorHAnsi" w:hAnsiTheme="majorHAnsi" w:cs="Times New Roman"/>
        </w:rPr>
        <w:t xml:space="preserve"> processes</w:t>
      </w:r>
      <w:r w:rsidR="000F5A4E" w:rsidRPr="00473EE5">
        <w:rPr>
          <w:rFonts w:asciiTheme="majorHAnsi" w:hAnsiTheme="majorHAnsi" w:cs="Times New Roman"/>
        </w:rPr>
        <w:t>.</w:t>
      </w:r>
    </w:p>
    <w:p w14:paraId="552B6B4C" w14:textId="695F3865" w:rsidR="000F5A4E" w:rsidRPr="00473EE5" w:rsidRDefault="00DD65C7" w:rsidP="00785539">
      <w:pPr>
        <w:pStyle w:val="ListParagraph"/>
        <w:numPr>
          <w:ilvl w:val="0"/>
          <w:numId w:val="22"/>
        </w:numPr>
        <w:spacing w:line="360" w:lineRule="auto"/>
        <w:jc w:val="both"/>
        <w:rPr>
          <w:rFonts w:asciiTheme="majorHAnsi" w:hAnsiTheme="majorHAnsi" w:cs="Times New Roman"/>
          <w:u w:val="single"/>
        </w:rPr>
      </w:pPr>
      <w:r w:rsidRPr="00473EE5">
        <w:rPr>
          <w:rFonts w:asciiTheme="majorHAnsi" w:hAnsiTheme="majorHAnsi" w:cs="Times New Roman"/>
        </w:rPr>
        <w:t>The obligation under CEDAW GR No. 30 for t</w:t>
      </w:r>
      <w:r w:rsidR="00195976" w:rsidRPr="00473EE5">
        <w:rPr>
          <w:rFonts w:asciiTheme="majorHAnsi" w:hAnsiTheme="majorHAnsi" w:cs="Times New Roman"/>
        </w:rPr>
        <w:t xml:space="preserve">hird party states participating in post-conflict processes (individually or as part of international organizations) </w:t>
      </w:r>
      <w:r w:rsidR="008F77DB" w:rsidRPr="00473EE5">
        <w:rPr>
          <w:rFonts w:asciiTheme="majorHAnsi" w:hAnsiTheme="majorHAnsi" w:cs="Times New Roman"/>
        </w:rPr>
        <w:t>to</w:t>
      </w:r>
      <w:r w:rsidR="00195976" w:rsidRPr="00473EE5">
        <w:rPr>
          <w:rFonts w:asciiTheme="majorHAnsi" w:hAnsiTheme="majorHAnsi" w:cs="Times New Roman"/>
        </w:rPr>
        <w:t xml:space="preserve"> include women in negotiation and mediation as delegates, including at senior levels, and provide technical assistance to post-conflict states to promote women’s participation</w:t>
      </w:r>
      <w:r w:rsidR="005E4E28" w:rsidRPr="00473EE5">
        <w:rPr>
          <w:rFonts w:asciiTheme="majorHAnsi" w:hAnsiTheme="majorHAnsi" w:cs="Times New Roman"/>
        </w:rPr>
        <w:t>.</w:t>
      </w:r>
      <w:r w:rsidR="00F80406" w:rsidRPr="00473EE5">
        <w:rPr>
          <w:rFonts w:asciiTheme="majorHAnsi" w:hAnsiTheme="majorHAnsi" w:cs="Times New Roman"/>
        </w:rPr>
        <w:t xml:space="preserve"> </w:t>
      </w:r>
    </w:p>
    <w:p w14:paraId="79AE8127" w14:textId="2F456629" w:rsidR="00F80406" w:rsidRPr="00473EE5" w:rsidRDefault="00DD65C7" w:rsidP="00785539">
      <w:pPr>
        <w:pStyle w:val="ListParagraph"/>
        <w:numPr>
          <w:ilvl w:val="0"/>
          <w:numId w:val="22"/>
        </w:numPr>
        <w:spacing w:line="360" w:lineRule="auto"/>
        <w:jc w:val="both"/>
        <w:rPr>
          <w:rFonts w:asciiTheme="majorHAnsi" w:hAnsiTheme="majorHAnsi" w:cs="Times New Roman"/>
          <w:u w:val="single"/>
        </w:rPr>
      </w:pPr>
      <w:r w:rsidRPr="00473EE5">
        <w:rPr>
          <w:rFonts w:asciiTheme="majorHAnsi" w:hAnsiTheme="majorHAnsi" w:cs="Times New Roman"/>
        </w:rPr>
        <w:t>The</w:t>
      </w:r>
      <w:r w:rsidR="00F80406" w:rsidRPr="00473EE5">
        <w:rPr>
          <w:rFonts w:asciiTheme="majorHAnsi" w:hAnsiTheme="majorHAnsi" w:cs="Times New Roman"/>
        </w:rPr>
        <w:t xml:space="preserve"> UN Declaration on the Rights of Indigenous Peoples, which protects indigenous peoples’ right to access and prompt decision via fair and just procedures to resolve conflicts and disputes with states/other parties, and effective remedies for rights violations.</w:t>
      </w:r>
      <w:r w:rsidR="00F80406" w:rsidRPr="00473EE5">
        <w:rPr>
          <w:rStyle w:val="FootnoteReference"/>
          <w:rFonts w:asciiTheme="majorHAnsi" w:hAnsiTheme="majorHAnsi" w:cs="Times New Roman"/>
        </w:rPr>
        <w:t xml:space="preserve"> </w:t>
      </w:r>
    </w:p>
    <w:p w14:paraId="1809F6A3" w14:textId="77777777" w:rsidR="004E5EBC" w:rsidRPr="00473EE5" w:rsidRDefault="004E5EBC" w:rsidP="004E5EBC">
      <w:pPr>
        <w:jc w:val="both"/>
        <w:rPr>
          <w:rFonts w:asciiTheme="majorHAnsi" w:hAnsiTheme="majorHAnsi"/>
        </w:rPr>
      </w:pPr>
    </w:p>
    <w:p w14:paraId="526B6686" w14:textId="49E0328C" w:rsidR="00195976" w:rsidRPr="00473EE5" w:rsidRDefault="004E5EBC" w:rsidP="00671735">
      <w:pPr>
        <w:pStyle w:val="ListParagraph"/>
        <w:numPr>
          <w:ilvl w:val="0"/>
          <w:numId w:val="2"/>
        </w:numPr>
        <w:jc w:val="both"/>
        <w:rPr>
          <w:rFonts w:asciiTheme="majorHAnsi" w:hAnsiTheme="majorHAnsi" w:cs="Times New Roman"/>
          <w:b/>
          <w:color w:val="1F497D" w:themeColor="text2"/>
          <w:u w:val="single"/>
        </w:rPr>
      </w:pPr>
      <w:r w:rsidRPr="00473EE5">
        <w:rPr>
          <w:rFonts w:asciiTheme="majorHAnsi" w:hAnsiTheme="majorHAnsi" w:cs="Times New Roman"/>
          <w:b/>
          <w:color w:val="1F497D" w:themeColor="text2"/>
          <w:u w:val="single"/>
        </w:rPr>
        <w:t>Protection</w:t>
      </w:r>
    </w:p>
    <w:p w14:paraId="42845749" w14:textId="77777777" w:rsidR="00B42DB6" w:rsidRPr="00473EE5" w:rsidRDefault="00B42DB6" w:rsidP="00B42DB6">
      <w:pPr>
        <w:jc w:val="both"/>
        <w:rPr>
          <w:rFonts w:asciiTheme="majorHAnsi" w:hAnsiTheme="majorHAnsi" w:cs="Times New Roman"/>
          <w:b/>
          <w:u w:val="single"/>
        </w:rPr>
      </w:pPr>
    </w:p>
    <w:p w14:paraId="069A6836" w14:textId="35410CAA" w:rsidR="000F5A4E" w:rsidRPr="00473EE5" w:rsidRDefault="0056786F" w:rsidP="00785539">
      <w:pPr>
        <w:pStyle w:val="ListParagraph"/>
        <w:numPr>
          <w:ilvl w:val="1"/>
          <w:numId w:val="2"/>
        </w:numPr>
        <w:spacing w:line="360" w:lineRule="auto"/>
        <w:jc w:val="both"/>
        <w:rPr>
          <w:rFonts w:asciiTheme="majorHAnsi" w:hAnsiTheme="majorHAnsi"/>
        </w:rPr>
      </w:pPr>
      <w:r w:rsidRPr="00473EE5">
        <w:rPr>
          <w:rFonts w:asciiTheme="majorHAnsi" w:hAnsiTheme="majorHAnsi"/>
        </w:rPr>
        <w:t xml:space="preserve">SCR 1325 </w:t>
      </w:r>
      <w:r w:rsidR="00875FEE" w:rsidRPr="00473EE5">
        <w:rPr>
          <w:rFonts w:asciiTheme="majorHAnsi" w:hAnsiTheme="majorHAnsi"/>
        </w:rPr>
        <w:t xml:space="preserve">asks Member States to protect the </w:t>
      </w:r>
      <w:r w:rsidR="00875FEE" w:rsidRPr="00473EE5">
        <w:rPr>
          <w:rFonts w:asciiTheme="majorHAnsi" w:hAnsiTheme="majorHAnsi"/>
          <w:b/>
          <w:color w:val="4F81BD" w:themeColor="accent1"/>
        </w:rPr>
        <w:t>human rights of</w:t>
      </w:r>
      <w:r w:rsidR="004E5EBC" w:rsidRPr="00473EE5">
        <w:rPr>
          <w:rFonts w:asciiTheme="majorHAnsi" w:hAnsiTheme="majorHAnsi"/>
          <w:b/>
          <w:color w:val="4F81BD" w:themeColor="accent1"/>
        </w:rPr>
        <w:t xml:space="preserve"> women and girls</w:t>
      </w:r>
      <w:r w:rsidR="004E5EBC" w:rsidRPr="00473EE5">
        <w:rPr>
          <w:rFonts w:asciiTheme="majorHAnsi" w:hAnsiTheme="majorHAnsi"/>
          <w:b/>
        </w:rPr>
        <w:t xml:space="preserve"> </w:t>
      </w:r>
      <w:r w:rsidR="004E5EBC" w:rsidRPr="00473EE5">
        <w:rPr>
          <w:rFonts w:asciiTheme="majorHAnsi" w:hAnsiTheme="majorHAnsi"/>
        </w:rPr>
        <w:t xml:space="preserve">especially in relation to the </w:t>
      </w:r>
      <w:r w:rsidR="004E5EBC" w:rsidRPr="00473EE5">
        <w:rPr>
          <w:rFonts w:asciiTheme="majorHAnsi" w:hAnsiTheme="majorHAnsi"/>
          <w:b/>
          <w:color w:val="4F81BD" w:themeColor="accent1"/>
        </w:rPr>
        <w:t>constitution,</w:t>
      </w:r>
      <w:r w:rsidR="004E5EBC" w:rsidRPr="00473EE5">
        <w:rPr>
          <w:rFonts w:asciiTheme="majorHAnsi" w:hAnsiTheme="majorHAnsi"/>
          <w:b/>
        </w:rPr>
        <w:t xml:space="preserve"> </w:t>
      </w:r>
      <w:r w:rsidR="004E5EBC" w:rsidRPr="00473EE5">
        <w:rPr>
          <w:rFonts w:asciiTheme="majorHAnsi" w:hAnsiTheme="majorHAnsi"/>
          <w:b/>
          <w:color w:val="4F81BD" w:themeColor="accent1"/>
        </w:rPr>
        <w:t>the electoral system, the police and the judiciary</w:t>
      </w:r>
      <w:r w:rsidR="004E5EBC" w:rsidRPr="00473EE5">
        <w:rPr>
          <w:rFonts w:asciiTheme="majorHAnsi" w:hAnsiTheme="majorHAnsi"/>
        </w:rPr>
        <w:t>.</w:t>
      </w:r>
      <w:r w:rsidR="00875FEE" w:rsidRPr="00473EE5">
        <w:rPr>
          <w:rFonts w:asciiTheme="majorHAnsi" w:hAnsiTheme="majorHAnsi"/>
        </w:rPr>
        <w:t xml:space="preserve"> </w:t>
      </w:r>
      <w:r w:rsidR="00DD65C7" w:rsidRPr="00473EE5">
        <w:rPr>
          <w:rFonts w:asciiTheme="majorHAnsi" w:hAnsiTheme="majorHAnsi"/>
        </w:rPr>
        <w:t>It reflects:</w:t>
      </w:r>
      <w:r w:rsidR="006E35CE" w:rsidRPr="00473EE5">
        <w:rPr>
          <w:rStyle w:val="FootnoteReference"/>
          <w:rFonts w:asciiTheme="majorHAnsi" w:hAnsiTheme="majorHAnsi"/>
        </w:rPr>
        <w:footnoteReference w:id="38"/>
      </w:r>
      <w:r w:rsidR="006E35CE" w:rsidRPr="00473EE5">
        <w:rPr>
          <w:rFonts w:asciiTheme="majorHAnsi" w:hAnsiTheme="majorHAnsi"/>
        </w:rPr>
        <w:t xml:space="preserve">  </w:t>
      </w:r>
    </w:p>
    <w:p w14:paraId="2201626E" w14:textId="77777777" w:rsidR="00E4120D" w:rsidRPr="00473EE5" w:rsidRDefault="00E4120D" w:rsidP="00E4120D">
      <w:pPr>
        <w:pStyle w:val="ListParagraph"/>
        <w:ind w:left="360"/>
        <w:jc w:val="both"/>
        <w:rPr>
          <w:rFonts w:asciiTheme="majorHAnsi" w:hAnsiTheme="majorHAnsi"/>
        </w:rPr>
      </w:pPr>
    </w:p>
    <w:p w14:paraId="4DC57CD0" w14:textId="2FF44FBA" w:rsidR="000F5A4E" w:rsidRPr="00473EE5" w:rsidRDefault="00E6303C" w:rsidP="00945E71">
      <w:pPr>
        <w:pStyle w:val="ListParagraph"/>
        <w:numPr>
          <w:ilvl w:val="0"/>
          <w:numId w:val="28"/>
        </w:numPr>
        <w:spacing w:line="360" w:lineRule="auto"/>
        <w:jc w:val="both"/>
        <w:rPr>
          <w:rFonts w:asciiTheme="majorHAnsi" w:hAnsiTheme="majorHAnsi"/>
        </w:rPr>
      </w:pPr>
      <w:r w:rsidRPr="00473EE5">
        <w:rPr>
          <w:rFonts w:asciiTheme="majorHAnsi" w:hAnsiTheme="majorHAnsi"/>
        </w:rPr>
        <w:t>Th</w:t>
      </w:r>
      <w:r w:rsidR="001369EE" w:rsidRPr="00473EE5">
        <w:rPr>
          <w:rFonts w:asciiTheme="majorHAnsi" w:hAnsiTheme="majorHAnsi"/>
        </w:rPr>
        <w:t>e</w:t>
      </w:r>
      <w:r w:rsidR="008F77DB" w:rsidRPr="00473EE5">
        <w:rPr>
          <w:rFonts w:asciiTheme="majorHAnsi" w:hAnsiTheme="majorHAnsi"/>
        </w:rPr>
        <w:t xml:space="preserve"> right to equal protection according to humanitarian norms during international or internal armed conflict</w:t>
      </w:r>
      <w:r w:rsidR="00DD65C7" w:rsidRPr="00473EE5">
        <w:rPr>
          <w:rFonts w:asciiTheme="majorHAnsi" w:hAnsiTheme="majorHAnsi"/>
        </w:rPr>
        <w:t>, which</w:t>
      </w:r>
      <w:r w:rsidR="008F77DB" w:rsidRPr="00473EE5">
        <w:rPr>
          <w:rFonts w:asciiTheme="majorHAnsi" w:hAnsiTheme="majorHAnsi"/>
        </w:rPr>
        <w:t xml:space="preserve"> is a </w:t>
      </w:r>
      <w:r w:rsidR="0086330F" w:rsidRPr="00473EE5">
        <w:rPr>
          <w:rFonts w:asciiTheme="majorHAnsi" w:hAnsiTheme="majorHAnsi"/>
        </w:rPr>
        <w:t>human right</w:t>
      </w:r>
      <w:r w:rsidR="008F77DB" w:rsidRPr="00473EE5">
        <w:rPr>
          <w:rFonts w:asciiTheme="majorHAnsi" w:hAnsiTheme="majorHAnsi"/>
        </w:rPr>
        <w:t xml:space="preserve"> under general international law</w:t>
      </w:r>
      <w:r w:rsidR="00875FEE" w:rsidRPr="00473EE5">
        <w:rPr>
          <w:rFonts w:asciiTheme="majorHAnsi" w:hAnsiTheme="majorHAnsi"/>
        </w:rPr>
        <w:t>.</w:t>
      </w:r>
      <w:r w:rsidR="00817818" w:rsidRPr="00473EE5">
        <w:rPr>
          <w:rFonts w:asciiTheme="majorHAnsi" w:hAnsiTheme="majorHAnsi"/>
        </w:rPr>
        <w:t xml:space="preserve"> </w:t>
      </w:r>
      <w:r w:rsidR="000E25B2" w:rsidRPr="00473EE5">
        <w:rPr>
          <w:rFonts w:asciiTheme="majorHAnsi" w:hAnsiTheme="majorHAnsi"/>
        </w:rPr>
        <w:t>The SCR 1325 also reflects</w:t>
      </w:r>
      <w:r w:rsidR="00DD65C7" w:rsidRPr="00473EE5">
        <w:rPr>
          <w:rFonts w:asciiTheme="majorHAnsi" w:hAnsiTheme="majorHAnsi"/>
        </w:rPr>
        <w:t xml:space="preserve"> </w:t>
      </w:r>
      <w:r w:rsidR="000E25B2" w:rsidRPr="00473EE5">
        <w:rPr>
          <w:rFonts w:asciiTheme="majorHAnsi" w:hAnsiTheme="majorHAnsi"/>
        </w:rPr>
        <w:t>customary IHL rules on</w:t>
      </w:r>
      <w:r w:rsidR="00817818" w:rsidRPr="00473EE5">
        <w:rPr>
          <w:rFonts w:asciiTheme="majorHAnsi" w:hAnsiTheme="majorHAnsi"/>
        </w:rPr>
        <w:t xml:space="preserve"> the specific protection, health and assistance needs of women and children affected by armed conflict</w:t>
      </w:r>
      <w:r w:rsidR="00F56490" w:rsidRPr="00473EE5">
        <w:rPr>
          <w:rFonts w:asciiTheme="majorHAnsi" w:hAnsiTheme="majorHAnsi"/>
        </w:rPr>
        <w:t xml:space="preserve"> (including child soldiers)</w:t>
      </w:r>
      <w:r w:rsidR="00817818" w:rsidRPr="00473EE5">
        <w:rPr>
          <w:rFonts w:asciiTheme="majorHAnsi" w:hAnsiTheme="majorHAnsi"/>
        </w:rPr>
        <w:t xml:space="preserve">. </w:t>
      </w:r>
      <w:r w:rsidR="00875FEE" w:rsidRPr="00473EE5">
        <w:rPr>
          <w:rFonts w:asciiTheme="majorHAnsi" w:hAnsiTheme="majorHAnsi"/>
        </w:rPr>
        <w:t xml:space="preserve"> </w:t>
      </w:r>
    </w:p>
    <w:p w14:paraId="475E7DA3" w14:textId="46FD7069" w:rsidR="006E35CE" w:rsidRPr="00473EE5" w:rsidRDefault="001369EE" w:rsidP="00945E71">
      <w:pPr>
        <w:pStyle w:val="ListParagraph"/>
        <w:numPr>
          <w:ilvl w:val="0"/>
          <w:numId w:val="23"/>
        </w:numPr>
        <w:spacing w:line="360" w:lineRule="auto"/>
        <w:jc w:val="both"/>
        <w:rPr>
          <w:rFonts w:asciiTheme="majorHAnsi" w:hAnsiTheme="majorHAnsi"/>
        </w:rPr>
      </w:pPr>
      <w:r w:rsidRPr="00473EE5">
        <w:rPr>
          <w:rFonts w:asciiTheme="majorHAnsi" w:hAnsiTheme="majorHAnsi"/>
        </w:rPr>
        <w:t>Article</w:t>
      </w:r>
      <w:r w:rsidR="00B35F4E" w:rsidRPr="00473EE5">
        <w:rPr>
          <w:rFonts w:asciiTheme="majorHAnsi" w:hAnsiTheme="majorHAnsi"/>
        </w:rPr>
        <w:t>s</w:t>
      </w:r>
      <w:r w:rsidRPr="00473EE5">
        <w:rPr>
          <w:rFonts w:asciiTheme="majorHAnsi" w:hAnsiTheme="majorHAnsi"/>
        </w:rPr>
        <w:t xml:space="preserve"> 3</w:t>
      </w:r>
      <w:r w:rsidR="00B35F4E" w:rsidRPr="00473EE5">
        <w:rPr>
          <w:rFonts w:asciiTheme="majorHAnsi" w:hAnsiTheme="majorHAnsi"/>
        </w:rPr>
        <w:t xml:space="preserve"> and 15</w:t>
      </w:r>
      <w:r w:rsidRPr="00473EE5">
        <w:rPr>
          <w:rFonts w:asciiTheme="majorHAnsi" w:hAnsiTheme="majorHAnsi"/>
        </w:rPr>
        <w:t xml:space="preserve"> of CEDAW, which</w:t>
      </w:r>
      <w:r w:rsidR="00B35F4E" w:rsidRPr="00473EE5">
        <w:rPr>
          <w:rFonts w:asciiTheme="majorHAnsi" w:hAnsiTheme="majorHAnsi"/>
        </w:rPr>
        <w:t xml:space="preserve"> oblige</w:t>
      </w:r>
      <w:r w:rsidRPr="00473EE5">
        <w:rPr>
          <w:rFonts w:asciiTheme="majorHAnsi" w:hAnsiTheme="majorHAnsi"/>
        </w:rPr>
        <w:t xml:space="preserve"> states to</w:t>
      </w:r>
      <w:r w:rsidR="00B35F4E" w:rsidRPr="00473EE5">
        <w:rPr>
          <w:rFonts w:asciiTheme="majorHAnsi" w:hAnsiTheme="majorHAnsi"/>
        </w:rPr>
        <w:t>:</w:t>
      </w:r>
      <w:r w:rsidRPr="00473EE5">
        <w:rPr>
          <w:rFonts w:asciiTheme="majorHAnsi" w:hAnsiTheme="majorHAnsi"/>
        </w:rPr>
        <w:t xml:space="preserve"> take appropriate measures in all fields </w:t>
      </w:r>
      <w:r w:rsidR="00BE7662" w:rsidRPr="00473EE5">
        <w:rPr>
          <w:rFonts w:asciiTheme="majorHAnsi" w:hAnsiTheme="majorHAnsi"/>
        </w:rPr>
        <w:t xml:space="preserve">(political, </w:t>
      </w:r>
      <w:r w:rsidRPr="00473EE5">
        <w:rPr>
          <w:rFonts w:asciiTheme="majorHAnsi" w:hAnsiTheme="majorHAnsi"/>
        </w:rPr>
        <w:t>social</w:t>
      </w:r>
      <w:r w:rsidR="00BE7662" w:rsidRPr="00473EE5">
        <w:rPr>
          <w:rFonts w:asciiTheme="majorHAnsi" w:hAnsiTheme="majorHAnsi"/>
        </w:rPr>
        <w:t xml:space="preserve">, </w:t>
      </w:r>
      <w:r w:rsidRPr="00473EE5">
        <w:rPr>
          <w:rFonts w:asciiTheme="majorHAnsi" w:hAnsiTheme="majorHAnsi"/>
        </w:rPr>
        <w:t>cultural and economic) including legislation, to ensure women’s f</w:t>
      </w:r>
      <w:r w:rsidR="00826B2D" w:rsidRPr="00473EE5">
        <w:rPr>
          <w:rFonts w:asciiTheme="majorHAnsi" w:hAnsiTheme="majorHAnsi"/>
        </w:rPr>
        <w:t>ull development and advancement</w:t>
      </w:r>
      <w:r w:rsidRPr="00473EE5">
        <w:rPr>
          <w:rFonts w:asciiTheme="majorHAnsi" w:hAnsiTheme="majorHAnsi"/>
        </w:rPr>
        <w:t xml:space="preserve"> and </w:t>
      </w:r>
      <w:r w:rsidR="00166E4C" w:rsidRPr="00473EE5">
        <w:rPr>
          <w:rFonts w:asciiTheme="majorHAnsi" w:hAnsiTheme="majorHAnsi"/>
        </w:rPr>
        <w:t>guarantee their human rights</w:t>
      </w:r>
      <w:r w:rsidR="00B35F4E" w:rsidRPr="00473EE5">
        <w:rPr>
          <w:rFonts w:asciiTheme="majorHAnsi" w:hAnsiTheme="majorHAnsi"/>
        </w:rPr>
        <w:t>; and guarantee equality between women and men, respectively.</w:t>
      </w:r>
      <w:r w:rsidR="006F06B3" w:rsidRPr="00473EE5">
        <w:rPr>
          <w:rFonts w:asciiTheme="majorHAnsi" w:hAnsiTheme="majorHAnsi"/>
        </w:rPr>
        <w:t xml:space="preserve"> Article 6 requires states to take all appropriate measures, including legislation, to suppress all forms of traffic in women and exploitation of prostitution of women. </w:t>
      </w:r>
      <w:r w:rsidR="00BE7662" w:rsidRPr="00473EE5">
        <w:rPr>
          <w:rFonts w:asciiTheme="majorHAnsi" w:hAnsiTheme="majorHAnsi"/>
        </w:rPr>
        <w:t xml:space="preserve"> The SCR 1325</w:t>
      </w:r>
      <w:r w:rsidR="00B35F4E" w:rsidRPr="00473EE5">
        <w:rPr>
          <w:rFonts w:asciiTheme="majorHAnsi" w:hAnsiTheme="majorHAnsi"/>
        </w:rPr>
        <w:t xml:space="preserve"> also reflects Articles 1 (</w:t>
      </w:r>
      <w:r w:rsidR="00BE7662" w:rsidRPr="00473EE5">
        <w:rPr>
          <w:rFonts w:asciiTheme="majorHAnsi" w:hAnsiTheme="majorHAnsi"/>
        </w:rPr>
        <w:t xml:space="preserve">which defines </w:t>
      </w:r>
      <w:r w:rsidR="00B35F4E" w:rsidRPr="00473EE5">
        <w:rPr>
          <w:rFonts w:asciiTheme="majorHAnsi" w:hAnsiTheme="majorHAnsi"/>
        </w:rPr>
        <w:t>discrimination); 2 (</w:t>
      </w:r>
      <w:r w:rsidR="00784768" w:rsidRPr="00473EE5">
        <w:rPr>
          <w:rFonts w:asciiTheme="majorHAnsi" w:hAnsiTheme="majorHAnsi"/>
        </w:rPr>
        <w:t>states’</w:t>
      </w:r>
      <w:r w:rsidR="00B35F4E" w:rsidRPr="00473EE5">
        <w:rPr>
          <w:rFonts w:asciiTheme="majorHAnsi" w:hAnsiTheme="majorHAnsi"/>
        </w:rPr>
        <w:t xml:space="preserve"> positive obligations to eliminate discrimination) 4(1) </w:t>
      </w:r>
      <w:r w:rsidR="006E35CE" w:rsidRPr="00473EE5">
        <w:rPr>
          <w:rFonts w:asciiTheme="majorHAnsi" w:hAnsiTheme="majorHAnsi"/>
        </w:rPr>
        <w:t xml:space="preserve">and </w:t>
      </w:r>
      <w:r w:rsidR="00B35F4E" w:rsidRPr="00473EE5">
        <w:rPr>
          <w:rFonts w:asciiTheme="majorHAnsi" w:hAnsiTheme="majorHAnsi"/>
        </w:rPr>
        <w:t>5(a) (measures to modify gender stereotypes) and 7 of CEDAW</w:t>
      </w:r>
      <w:r w:rsidRPr="00473EE5">
        <w:rPr>
          <w:rFonts w:asciiTheme="majorHAnsi" w:hAnsiTheme="majorHAnsi"/>
        </w:rPr>
        <w:t xml:space="preserve">. </w:t>
      </w:r>
    </w:p>
    <w:p w14:paraId="110C9EB2" w14:textId="75C6205B" w:rsidR="006E35CE" w:rsidRPr="00473EE5" w:rsidRDefault="00BE7662" w:rsidP="00945E71">
      <w:pPr>
        <w:pStyle w:val="ListParagraph"/>
        <w:numPr>
          <w:ilvl w:val="0"/>
          <w:numId w:val="23"/>
        </w:numPr>
        <w:spacing w:line="360" w:lineRule="auto"/>
        <w:jc w:val="both"/>
        <w:rPr>
          <w:rFonts w:asciiTheme="majorHAnsi" w:hAnsiTheme="majorHAnsi"/>
        </w:rPr>
      </w:pPr>
      <w:r w:rsidRPr="00473EE5">
        <w:rPr>
          <w:rFonts w:asciiTheme="majorHAnsi" w:hAnsiTheme="majorHAnsi"/>
        </w:rPr>
        <w:lastRenderedPageBreak/>
        <w:t xml:space="preserve">The </w:t>
      </w:r>
      <w:r w:rsidR="00826B2D" w:rsidRPr="00473EE5">
        <w:rPr>
          <w:rFonts w:asciiTheme="majorHAnsi" w:hAnsiTheme="majorHAnsi"/>
        </w:rPr>
        <w:t>CEDAW GR No. 28</w:t>
      </w:r>
      <w:r w:rsidR="00DD65C7" w:rsidRPr="00473EE5">
        <w:rPr>
          <w:rFonts w:asciiTheme="majorHAnsi" w:hAnsiTheme="majorHAnsi"/>
        </w:rPr>
        <w:t>, which</w:t>
      </w:r>
      <w:r w:rsidR="00826B2D" w:rsidRPr="00473EE5">
        <w:rPr>
          <w:rFonts w:asciiTheme="majorHAnsi" w:hAnsiTheme="majorHAnsi"/>
        </w:rPr>
        <w:t xml:space="preserve"> emphasises </w:t>
      </w:r>
      <w:r w:rsidR="00541F2C" w:rsidRPr="00473EE5">
        <w:rPr>
          <w:rFonts w:asciiTheme="majorHAnsi" w:hAnsiTheme="majorHAnsi"/>
        </w:rPr>
        <w:t xml:space="preserve">that </w:t>
      </w:r>
      <w:r w:rsidR="00826B2D" w:rsidRPr="00473EE5">
        <w:rPr>
          <w:rFonts w:asciiTheme="majorHAnsi" w:hAnsiTheme="majorHAnsi"/>
        </w:rPr>
        <w:t>states’ positive obligations to end discrimination do not cease during armed conflict or in states of emergency, and that recommendation to adopt strategies and measures to meet women’s particular needs in such situations</w:t>
      </w:r>
      <w:r w:rsidR="00541F2C" w:rsidRPr="00473EE5">
        <w:rPr>
          <w:rFonts w:asciiTheme="majorHAnsi" w:hAnsiTheme="majorHAnsi"/>
        </w:rPr>
        <w:t xml:space="preserve">. </w:t>
      </w:r>
    </w:p>
    <w:p w14:paraId="6137CFF7" w14:textId="78C06FFA" w:rsidR="00A46D3E" w:rsidRPr="00473EE5" w:rsidRDefault="00541F2C" w:rsidP="00945E71">
      <w:pPr>
        <w:pStyle w:val="ListParagraph"/>
        <w:numPr>
          <w:ilvl w:val="0"/>
          <w:numId w:val="23"/>
        </w:numPr>
        <w:spacing w:line="360" w:lineRule="auto"/>
        <w:jc w:val="both"/>
        <w:rPr>
          <w:rFonts w:asciiTheme="majorHAnsi" w:hAnsiTheme="majorHAnsi"/>
        </w:rPr>
      </w:pPr>
      <w:r w:rsidRPr="00473EE5">
        <w:rPr>
          <w:rFonts w:asciiTheme="majorHAnsi" w:hAnsiTheme="majorHAnsi"/>
        </w:rPr>
        <w:t xml:space="preserve">The </w:t>
      </w:r>
      <w:r w:rsidR="00826B2D" w:rsidRPr="00473EE5">
        <w:rPr>
          <w:rFonts w:asciiTheme="majorHAnsi" w:hAnsiTheme="majorHAnsi"/>
        </w:rPr>
        <w:t>CEDAW GR No. 30</w:t>
      </w:r>
      <w:r w:rsidR="00BE7662" w:rsidRPr="00473EE5">
        <w:rPr>
          <w:rFonts w:asciiTheme="majorHAnsi" w:hAnsiTheme="majorHAnsi"/>
        </w:rPr>
        <w:t>, which</w:t>
      </w:r>
      <w:r w:rsidR="00826B2D" w:rsidRPr="00473EE5">
        <w:rPr>
          <w:rFonts w:asciiTheme="majorHAnsi" w:hAnsiTheme="majorHAnsi"/>
        </w:rPr>
        <w:t xml:space="preserve"> extends this provision by protecting the human rights and women and girls during constitutional and electoral reforms</w:t>
      </w:r>
      <w:r w:rsidR="008F77DB" w:rsidRPr="00473EE5">
        <w:rPr>
          <w:rFonts w:asciiTheme="majorHAnsi" w:hAnsiTheme="majorHAnsi"/>
        </w:rPr>
        <w:t xml:space="preserve">. </w:t>
      </w:r>
    </w:p>
    <w:p w14:paraId="2885030E" w14:textId="3D761310" w:rsidR="00BE7662" w:rsidRPr="00473EE5" w:rsidRDefault="00BE7662" w:rsidP="00945E71">
      <w:pPr>
        <w:pStyle w:val="ListParagraph"/>
        <w:numPr>
          <w:ilvl w:val="0"/>
          <w:numId w:val="23"/>
        </w:numPr>
        <w:spacing w:line="360" w:lineRule="auto"/>
        <w:jc w:val="both"/>
        <w:rPr>
          <w:rFonts w:asciiTheme="majorHAnsi" w:hAnsiTheme="majorHAnsi"/>
        </w:rPr>
      </w:pPr>
      <w:r w:rsidRPr="00473EE5">
        <w:rPr>
          <w:rFonts w:asciiTheme="majorHAnsi" w:hAnsiTheme="majorHAnsi"/>
        </w:rPr>
        <w:t xml:space="preserve">The CEDAW and ICCPR Articles and GCs/GRs discussed under 1(a). </w:t>
      </w:r>
    </w:p>
    <w:p w14:paraId="6055D8CF" w14:textId="77777777" w:rsidR="00A46D3E" w:rsidRPr="00473EE5" w:rsidRDefault="00A46D3E" w:rsidP="00A46D3E">
      <w:pPr>
        <w:jc w:val="both"/>
        <w:rPr>
          <w:rFonts w:asciiTheme="majorHAnsi" w:hAnsiTheme="majorHAnsi"/>
        </w:rPr>
      </w:pPr>
    </w:p>
    <w:p w14:paraId="5D45D01A" w14:textId="7C6FDDAF" w:rsidR="000F5A4E" w:rsidRPr="00473EE5" w:rsidRDefault="00FA7CB0" w:rsidP="00945E71">
      <w:pPr>
        <w:pStyle w:val="ListParagraph"/>
        <w:numPr>
          <w:ilvl w:val="1"/>
          <w:numId w:val="2"/>
        </w:numPr>
        <w:spacing w:line="360" w:lineRule="auto"/>
        <w:jc w:val="both"/>
        <w:rPr>
          <w:rFonts w:asciiTheme="majorHAnsi" w:hAnsiTheme="majorHAnsi"/>
        </w:rPr>
      </w:pPr>
      <w:r w:rsidRPr="00473EE5">
        <w:rPr>
          <w:rFonts w:asciiTheme="majorHAnsi" w:hAnsiTheme="majorHAnsi"/>
        </w:rPr>
        <w:t xml:space="preserve">SCR 1325 urges Member States to conduct </w:t>
      </w:r>
      <w:r w:rsidRPr="00473EE5">
        <w:rPr>
          <w:rFonts w:asciiTheme="majorHAnsi" w:hAnsiTheme="majorHAnsi"/>
          <w:b/>
          <w:color w:val="4F81BD" w:themeColor="accent1"/>
        </w:rPr>
        <w:t>gender-sensitive training</w:t>
      </w:r>
      <w:r w:rsidRPr="00473EE5">
        <w:rPr>
          <w:rFonts w:asciiTheme="majorHAnsi" w:hAnsiTheme="majorHAnsi"/>
          <w:color w:val="4F81BD" w:themeColor="accent1"/>
        </w:rPr>
        <w:t xml:space="preserve"> </w:t>
      </w:r>
      <w:r w:rsidRPr="00473EE5">
        <w:rPr>
          <w:rFonts w:asciiTheme="majorHAnsi" w:hAnsiTheme="majorHAnsi"/>
        </w:rPr>
        <w:t xml:space="preserve">efforts on the protection, rights and particular needs of women. Governments are encouraged to incorporate these elements as well as </w:t>
      </w:r>
      <w:r w:rsidRPr="00473EE5">
        <w:rPr>
          <w:rFonts w:asciiTheme="majorHAnsi" w:hAnsiTheme="majorHAnsi"/>
          <w:b/>
          <w:color w:val="4F81BD" w:themeColor="accent1"/>
        </w:rPr>
        <w:t>HIV/AIDS awareness training</w:t>
      </w:r>
      <w:r w:rsidRPr="00473EE5">
        <w:rPr>
          <w:rFonts w:asciiTheme="majorHAnsi" w:hAnsiTheme="majorHAnsi"/>
        </w:rPr>
        <w:t xml:space="preserve"> into their national training programmes for their military and civilian police personnel, in cooperation with the Secretary-General who is requested to provide appropriate tr</w:t>
      </w:r>
      <w:r w:rsidR="00E93ADE" w:rsidRPr="00473EE5">
        <w:rPr>
          <w:rFonts w:asciiTheme="majorHAnsi" w:hAnsiTheme="majorHAnsi"/>
        </w:rPr>
        <w:t>aining guidelines and materials.</w:t>
      </w:r>
      <w:r w:rsidRPr="00473EE5">
        <w:rPr>
          <w:rFonts w:asciiTheme="majorHAnsi" w:hAnsiTheme="majorHAnsi"/>
        </w:rPr>
        <w:t xml:space="preserve"> </w:t>
      </w:r>
      <w:r w:rsidR="003925C2" w:rsidRPr="00473EE5">
        <w:rPr>
          <w:rFonts w:asciiTheme="majorHAnsi" w:hAnsiTheme="majorHAnsi"/>
        </w:rPr>
        <w:t>SCR 1325</w:t>
      </w:r>
      <w:r w:rsidRPr="00473EE5">
        <w:rPr>
          <w:rFonts w:asciiTheme="majorHAnsi" w:hAnsiTheme="majorHAnsi"/>
        </w:rPr>
        <w:t xml:space="preserve"> urges Member States to increase their voluntary financial, technical and logistical support for gender-sensitive training</w:t>
      </w:r>
      <w:r w:rsidR="003925C2" w:rsidRPr="00473EE5">
        <w:rPr>
          <w:rFonts w:asciiTheme="majorHAnsi" w:hAnsiTheme="majorHAnsi"/>
        </w:rPr>
        <w:t xml:space="preserve"> efforts at the UN</w:t>
      </w:r>
      <w:r w:rsidRPr="00473EE5">
        <w:rPr>
          <w:rFonts w:asciiTheme="majorHAnsi" w:hAnsiTheme="majorHAnsi"/>
        </w:rPr>
        <w:t>.</w:t>
      </w:r>
      <w:r w:rsidR="00ED42D8" w:rsidRPr="00473EE5">
        <w:rPr>
          <w:rFonts w:asciiTheme="majorHAnsi" w:hAnsiTheme="majorHAnsi"/>
        </w:rPr>
        <w:t xml:space="preserve"> </w:t>
      </w:r>
      <w:r w:rsidR="006E35CE" w:rsidRPr="00473EE5">
        <w:rPr>
          <w:rFonts w:asciiTheme="majorHAnsi" w:hAnsiTheme="majorHAnsi"/>
        </w:rPr>
        <w:t>This reflects:</w:t>
      </w:r>
      <w:r w:rsidR="006E35CE" w:rsidRPr="00473EE5">
        <w:rPr>
          <w:rStyle w:val="FootnoteReference"/>
          <w:rFonts w:asciiTheme="majorHAnsi" w:hAnsiTheme="majorHAnsi"/>
        </w:rPr>
        <w:footnoteReference w:id="39"/>
      </w:r>
    </w:p>
    <w:p w14:paraId="2A29CC49" w14:textId="77777777" w:rsidR="00E4120D" w:rsidRPr="00473EE5" w:rsidRDefault="00E4120D" w:rsidP="00E4120D">
      <w:pPr>
        <w:pStyle w:val="ListParagraph"/>
        <w:ind w:left="360"/>
        <w:jc w:val="both"/>
        <w:rPr>
          <w:rFonts w:asciiTheme="majorHAnsi" w:hAnsiTheme="majorHAnsi"/>
        </w:rPr>
      </w:pPr>
    </w:p>
    <w:p w14:paraId="59984438" w14:textId="00CD36D4" w:rsidR="000F5A4E" w:rsidRPr="00473EE5" w:rsidRDefault="001D4F71" w:rsidP="00945E71">
      <w:pPr>
        <w:pStyle w:val="ListParagraph"/>
        <w:numPr>
          <w:ilvl w:val="0"/>
          <w:numId w:val="24"/>
        </w:numPr>
        <w:spacing w:line="360" w:lineRule="auto"/>
        <w:jc w:val="both"/>
        <w:rPr>
          <w:rFonts w:asciiTheme="majorHAnsi" w:hAnsiTheme="majorHAnsi"/>
        </w:rPr>
      </w:pPr>
      <w:r w:rsidRPr="00473EE5">
        <w:rPr>
          <w:rFonts w:asciiTheme="majorHAnsi" w:hAnsiTheme="majorHAnsi"/>
        </w:rPr>
        <w:t xml:space="preserve">Articles </w:t>
      </w:r>
      <w:r w:rsidR="00ED42D8" w:rsidRPr="00473EE5">
        <w:rPr>
          <w:rFonts w:asciiTheme="majorHAnsi" w:hAnsiTheme="majorHAnsi"/>
        </w:rPr>
        <w:t>1-</w:t>
      </w:r>
      <w:r w:rsidR="00AE5EE1" w:rsidRPr="00473EE5">
        <w:rPr>
          <w:rFonts w:asciiTheme="majorHAnsi" w:hAnsiTheme="majorHAnsi"/>
        </w:rPr>
        <w:t xml:space="preserve">3, 4(1) and </w:t>
      </w:r>
      <w:r w:rsidR="00ED42D8" w:rsidRPr="00473EE5">
        <w:rPr>
          <w:rFonts w:asciiTheme="majorHAnsi" w:hAnsiTheme="majorHAnsi"/>
        </w:rPr>
        <w:t>5</w:t>
      </w:r>
      <w:r w:rsidRPr="00473EE5">
        <w:rPr>
          <w:rFonts w:asciiTheme="majorHAnsi" w:hAnsiTheme="majorHAnsi"/>
        </w:rPr>
        <w:t>(a)</w:t>
      </w:r>
      <w:r w:rsidR="00ED42D8" w:rsidRPr="00473EE5">
        <w:rPr>
          <w:rFonts w:asciiTheme="majorHAnsi" w:hAnsiTheme="majorHAnsi"/>
        </w:rPr>
        <w:t xml:space="preserve"> of CEDAW</w:t>
      </w:r>
      <w:r w:rsidR="003925C2" w:rsidRPr="00473EE5">
        <w:rPr>
          <w:rFonts w:asciiTheme="majorHAnsi" w:hAnsiTheme="majorHAnsi"/>
        </w:rPr>
        <w:t>, and</w:t>
      </w:r>
      <w:r w:rsidR="00ED42D8" w:rsidRPr="00473EE5">
        <w:rPr>
          <w:rFonts w:asciiTheme="majorHAnsi" w:hAnsiTheme="majorHAnsi"/>
        </w:rPr>
        <w:t xml:space="preserve"> </w:t>
      </w:r>
      <w:r w:rsidR="00BE7662" w:rsidRPr="00473EE5">
        <w:rPr>
          <w:rFonts w:asciiTheme="majorHAnsi" w:hAnsiTheme="majorHAnsi"/>
        </w:rPr>
        <w:t>GRs</w:t>
      </w:r>
      <w:r w:rsidR="00FA7CB0" w:rsidRPr="00473EE5">
        <w:rPr>
          <w:rFonts w:asciiTheme="majorHAnsi" w:hAnsiTheme="majorHAnsi"/>
        </w:rPr>
        <w:t xml:space="preserve"> No. 15 </w:t>
      </w:r>
      <w:r w:rsidR="004672C3" w:rsidRPr="00473EE5">
        <w:rPr>
          <w:rFonts w:asciiTheme="majorHAnsi" w:hAnsiTheme="majorHAnsi"/>
        </w:rPr>
        <w:t>(women and HIV/AIDS)</w:t>
      </w:r>
      <w:r w:rsidR="00ED42D8" w:rsidRPr="00473EE5">
        <w:rPr>
          <w:rFonts w:asciiTheme="majorHAnsi" w:hAnsiTheme="majorHAnsi"/>
        </w:rPr>
        <w:t xml:space="preserve"> 19,</w:t>
      </w:r>
      <w:r w:rsidR="003925C2" w:rsidRPr="00473EE5">
        <w:rPr>
          <w:rFonts w:asciiTheme="majorHAnsi" w:hAnsiTheme="majorHAnsi"/>
        </w:rPr>
        <w:t xml:space="preserve"> </w:t>
      </w:r>
      <w:r w:rsidR="00FA7CB0" w:rsidRPr="00473EE5">
        <w:rPr>
          <w:rFonts w:asciiTheme="majorHAnsi" w:hAnsiTheme="majorHAnsi"/>
        </w:rPr>
        <w:t xml:space="preserve">24 </w:t>
      </w:r>
      <w:r w:rsidR="004672C3" w:rsidRPr="00473EE5">
        <w:rPr>
          <w:rFonts w:asciiTheme="majorHAnsi" w:hAnsiTheme="majorHAnsi"/>
        </w:rPr>
        <w:t>(</w:t>
      </w:r>
      <w:r w:rsidR="00FA7CB0" w:rsidRPr="00473EE5">
        <w:rPr>
          <w:rFonts w:asciiTheme="majorHAnsi" w:hAnsiTheme="majorHAnsi"/>
        </w:rPr>
        <w:t>women and health</w:t>
      </w:r>
      <w:r w:rsidR="004672C3" w:rsidRPr="00473EE5">
        <w:rPr>
          <w:rFonts w:asciiTheme="majorHAnsi" w:hAnsiTheme="majorHAnsi"/>
        </w:rPr>
        <w:t>) and</w:t>
      </w:r>
      <w:r w:rsidR="00FA7CB0" w:rsidRPr="00473EE5">
        <w:rPr>
          <w:rFonts w:asciiTheme="majorHAnsi" w:hAnsiTheme="majorHAnsi"/>
        </w:rPr>
        <w:t xml:space="preserve"> 30.</w:t>
      </w:r>
      <w:r w:rsidR="004672C3" w:rsidRPr="00473EE5">
        <w:rPr>
          <w:rFonts w:asciiTheme="majorHAnsi" w:hAnsiTheme="majorHAnsi"/>
        </w:rPr>
        <w:t xml:space="preserve"> As discussed below, </w:t>
      </w:r>
      <w:r w:rsidR="00BE7662" w:rsidRPr="00473EE5">
        <w:rPr>
          <w:rFonts w:asciiTheme="majorHAnsi" w:hAnsiTheme="majorHAnsi"/>
        </w:rPr>
        <w:t xml:space="preserve">the </w:t>
      </w:r>
      <w:r w:rsidR="004672C3" w:rsidRPr="00473EE5">
        <w:rPr>
          <w:rFonts w:asciiTheme="majorHAnsi" w:hAnsiTheme="majorHAnsi"/>
        </w:rPr>
        <w:t xml:space="preserve">CEDAW GR No. 30 </w:t>
      </w:r>
      <w:r w:rsidR="003925C2" w:rsidRPr="00473EE5">
        <w:rPr>
          <w:rFonts w:asciiTheme="majorHAnsi" w:hAnsiTheme="majorHAnsi"/>
        </w:rPr>
        <w:t>substantively protects</w:t>
      </w:r>
      <w:r w:rsidR="004672C3" w:rsidRPr="00473EE5">
        <w:rPr>
          <w:rFonts w:asciiTheme="majorHAnsi" w:hAnsiTheme="majorHAnsi"/>
        </w:rPr>
        <w:t xml:space="preserve"> women and girls regarding sexual and reproductive health (SRH) including HIV/AIDS</w:t>
      </w:r>
      <w:r w:rsidR="00E93ADE" w:rsidRPr="00473EE5">
        <w:rPr>
          <w:rFonts w:asciiTheme="majorHAnsi" w:hAnsiTheme="majorHAnsi"/>
        </w:rPr>
        <w:t xml:space="preserve">. </w:t>
      </w:r>
    </w:p>
    <w:p w14:paraId="1C0AD559" w14:textId="5BBD0DE0" w:rsidR="000F5A4E" w:rsidRPr="00473EE5" w:rsidRDefault="00E93ADE" w:rsidP="00945E71">
      <w:pPr>
        <w:pStyle w:val="ListParagraph"/>
        <w:numPr>
          <w:ilvl w:val="0"/>
          <w:numId w:val="24"/>
        </w:numPr>
        <w:spacing w:line="360" w:lineRule="auto"/>
        <w:jc w:val="both"/>
        <w:rPr>
          <w:rFonts w:asciiTheme="majorHAnsi" w:hAnsiTheme="majorHAnsi"/>
        </w:rPr>
      </w:pPr>
      <w:r w:rsidRPr="00473EE5">
        <w:rPr>
          <w:rFonts w:asciiTheme="majorHAnsi" w:hAnsiTheme="majorHAnsi"/>
        </w:rPr>
        <w:t>The CEDAW GR No. 15</w:t>
      </w:r>
      <w:r w:rsidR="00DD65C7" w:rsidRPr="00473EE5">
        <w:rPr>
          <w:rFonts w:asciiTheme="majorHAnsi" w:hAnsiTheme="majorHAnsi"/>
        </w:rPr>
        <w:t>, which extends this</w:t>
      </w:r>
      <w:r w:rsidRPr="00473EE5">
        <w:rPr>
          <w:rFonts w:asciiTheme="majorHAnsi" w:hAnsiTheme="majorHAnsi"/>
        </w:rPr>
        <w:t xml:space="preserve"> protection in SCR 1325 by recommending that states intensify efforts to disseminate information to increase public awareness of HIV/AIDS, especially its effects on women and children, and </w:t>
      </w:r>
      <w:r w:rsidR="00BE7662" w:rsidRPr="00473EE5">
        <w:rPr>
          <w:rFonts w:asciiTheme="majorHAnsi" w:hAnsiTheme="majorHAnsi"/>
        </w:rPr>
        <w:t xml:space="preserve">by </w:t>
      </w:r>
      <w:r w:rsidR="003925C2" w:rsidRPr="00473EE5">
        <w:rPr>
          <w:rFonts w:asciiTheme="majorHAnsi" w:hAnsiTheme="majorHAnsi"/>
        </w:rPr>
        <w:t>requiring</w:t>
      </w:r>
      <w:r w:rsidRPr="00473EE5">
        <w:rPr>
          <w:rFonts w:asciiTheme="majorHAnsi" w:hAnsiTheme="majorHAnsi"/>
        </w:rPr>
        <w:t xml:space="preserve"> that programmes to combat AIDS give special attention to women and children. </w:t>
      </w:r>
    </w:p>
    <w:p w14:paraId="54FF7278" w14:textId="52BAE108" w:rsidR="00A46D3E" w:rsidRPr="00473EE5" w:rsidRDefault="00E93ADE" w:rsidP="00945E71">
      <w:pPr>
        <w:pStyle w:val="ListParagraph"/>
        <w:numPr>
          <w:ilvl w:val="0"/>
          <w:numId w:val="24"/>
        </w:numPr>
        <w:spacing w:line="360" w:lineRule="auto"/>
        <w:jc w:val="both"/>
        <w:rPr>
          <w:rFonts w:asciiTheme="majorHAnsi" w:hAnsiTheme="majorHAnsi"/>
        </w:rPr>
      </w:pPr>
      <w:r w:rsidRPr="00473EE5">
        <w:rPr>
          <w:rFonts w:asciiTheme="majorHAnsi" w:hAnsiTheme="majorHAnsi"/>
        </w:rPr>
        <w:t>The CEDAW GR No. 24</w:t>
      </w:r>
      <w:r w:rsidR="00DD65C7" w:rsidRPr="00473EE5">
        <w:rPr>
          <w:rFonts w:asciiTheme="majorHAnsi" w:hAnsiTheme="majorHAnsi"/>
        </w:rPr>
        <w:t>, which</w:t>
      </w:r>
      <w:r w:rsidRPr="00473EE5">
        <w:rPr>
          <w:rFonts w:asciiTheme="majorHAnsi" w:hAnsiTheme="majorHAnsi"/>
        </w:rPr>
        <w:t xml:space="preserve"> </w:t>
      </w:r>
      <w:r w:rsidR="003925C2" w:rsidRPr="00473EE5">
        <w:rPr>
          <w:rFonts w:asciiTheme="majorHAnsi" w:hAnsiTheme="majorHAnsi"/>
        </w:rPr>
        <w:t>asks</w:t>
      </w:r>
      <w:r w:rsidRPr="00473EE5">
        <w:rPr>
          <w:rFonts w:asciiTheme="majorHAnsi" w:hAnsiTheme="majorHAnsi"/>
        </w:rPr>
        <w:t xml:space="preserve"> states </w:t>
      </w:r>
      <w:r w:rsidR="003925C2" w:rsidRPr="00473EE5">
        <w:rPr>
          <w:rFonts w:asciiTheme="majorHAnsi" w:hAnsiTheme="majorHAnsi"/>
        </w:rPr>
        <w:t xml:space="preserve">to </w:t>
      </w:r>
      <w:r w:rsidRPr="00473EE5">
        <w:rPr>
          <w:rFonts w:asciiTheme="majorHAnsi" w:hAnsiTheme="majorHAnsi"/>
        </w:rPr>
        <w:t xml:space="preserve">remove all barriers on women’s access to health services, education and information, including </w:t>
      </w:r>
      <w:r w:rsidR="003925C2" w:rsidRPr="00473EE5">
        <w:rPr>
          <w:rFonts w:asciiTheme="majorHAnsi" w:hAnsiTheme="majorHAnsi"/>
        </w:rPr>
        <w:t>regarding</w:t>
      </w:r>
      <w:r w:rsidRPr="00473EE5">
        <w:rPr>
          <w:rFonts w:asciiTheme="majorHAnsi" w:hAnsiTheme="majorHAnsi"/>
        </w:rPr>
        <w:t xml:space="preserve"> </w:t>
      </w:r>
      <w:r w:rsidR="00BE7662" w:rsidRPr="00473EE5">
        <w:rPr>
          <w:rFonts w:asciiTheme="majorHAnsi" w:hAnsiTheme="majorHAnsi"/>
        </w:rPr>
        <w:t>sexual and reproductive health</w:t>
      </w:r>
      <w:r w:rsidRPr="00473EE5">
        <w:rPr>
          <w:rFonts w:asciiTheme="majorHAnsi" w:hAnsiTheme="majorHAnsi"/>
        </w:rPr>
        <w:t xml:space="preserve">, and </w:t>
      </w:r>
      <w:r w:rsidR="00BE7662" w:rsidRPr="00473EE5">
        <w:rPr>
          <w:rFonts w:asciiTheme="majorHAnsi" w:hAnsiTheme="majorHAnsi"/>
        </w:rPr>
        <w:t xml:space="preserve">to </w:t>
      </w:r>
      <w:r w:rsidRPr="00473EE5">
        <w:rPr>
          <w:rFonts w:asciiTheme="majorHAnsi" w:hAnsiTheme="majorHAnsi"/>
        </w:rPr>
        <w:t>allocate resources for programmes for adolescents to prevent and treat sexually transmitted diseases, including HIV/AIDS.</w:t>
      </w:r>
      <w:r w:rsidR="00ED42D8" w:rsidRPr="00473EE5">
        <w:rPr>
          <w:rFonts w:asciiTheme="majorHAnsi" w:hAnsiTheme="majorHAnsi"/>
        </w:rPr>
        <w:t xml:space="preserve"> </w:t>
      </w:r>
    </w:p>
    <w:p w14:paraId="097F85A8" w14:textId="66D736BD" w:rsidR="00A46D3E" w:rsidRPr="00473EE5" w:rsidRDefault="00FA7CB0" w:rsidP="00A46D3E">
      <w:pPr>
        <w:jc w:val="both"/>
        <w:rPr>
          <w:rFonts w:asciiTheme="majorHAnsi" w:hAnsiTheme="majorHAnsi"/>
        </w:rPr>
      </w:pPr>
      <w:r w:rsidRPr="00473EE5">
        <w:rPr>
          <w:rFonts w:asciiTheme="majorHAnsi" w:hAnsiTheme="majorHAnsi"/>
        </w:rPr>
        <w:t xml:space="preserve"> </w:t>
      </w:r>
    </w:p>
    <w:p w14:paraId="3F745BFA" w14:textId="5891E59F" w:rsidR="000F5A4E" w:rsidRPr="00473EE5" w:rsidRDefault="00A46D3E" w:rsidP="00945E71">
      <w:pPr>
        <w:pStyle w:val="ListParagraph"/>
        <w:numPr>
          <w:ilvl w:val="0"/>
          <w:numId w:val="16"/>
        </w:numPr>
        <w:spacing w:line="360" w:lineRule="auto"/>
        <w:jc w:val="both"/>
        <w:rPr>
          <w:rFonts w:asciiTheme="majorHAnsi" w:hAnsiTheme="majorHAnsi"/>
        </w:rPr>
      </w:pPr>
      <w:r w:rsidRPr="00473EE5">
        <w:rPr>
          <w:rFonts w:asciiTheme="majorHAnsi" w:hAnsiTheme="majorHAnsi"/>
        </w:rPr>
        <w:t xml:space="preserve">The Resolution calls on all parties to armed conflict to take special measures to protect women and girls from </w:t>
      </w:r>
      <w:r w:rsidRPr="00473EE5">
        <w:rPr>
          <w:rFonts w:asciiTheme="majorHAnsi" w:hAnsiTheme="majorHAnsi"/>
          <w:b/>
          <w:color w:val="4F81BD" w:themeColor="accent1"/>
        </w:rPr>
        <w:t>gender-based violence (GBV)</w:t>
      </w:r>
      <w:r w:rsidRPr="00473EE5">
        <w:rPr>
          <w:rFonts w:asciiTheme="majorHAnsi" w:hAnsiTheme="majorHAnsi"/>
        </w:rPr>
        <w:t xml:space="preserve"> especially </w:t>
      </w:r>
      <w:r w:rsidRPr="00473EE5">
        <w:rPr>
          <w:rFonts w:asciiTheme="majorHAnsi" w:hAnsiTheme="majorHAnsi"/>
          <w:b/>
          <w:color w:val="4F81BD" w:themeColor="accent1"/>
        </w:rPr>
        <w:t>rape and other forms of sexual abuse</w:t>
      </w:r>
      <w:r w:rsidRPr="00473EE5">
        <w:rPr>
          <w:rFonts w:asciiTheme="majorHAnsi" w:hAnsiTheme="majorHAnsi"/>
        </w:rPr>
        <w:t xml:space="preserve">, and all other forms of violence in armed conflict settings. </w:t>
      </w:r>
      <w:r w:rsidR="00DD65C7" w:rsidRPr="00473EE5">
        <w:rPr>
          <w:rFonts w:asciiTheme="majorHAnsi" w:hAnsiTheme="majorHAnsi"/>
        </w:rPr>
        <w:t>This reflects:</w:t>
      </w:r>
      <w:r w:rsidR="006E35CE" w:rsidRPr="00473EE5">
        <w:rPr>
          <w:rStyle w:val="FootnoteReference"/>
          <w:rFonts w:asciiTheme="majorHAnsi" w:hAnsiTheme="majorHAnsi"/>
        </w:rPr>
        <w:footnoteReference w:id="40"/>
      </w:r>
    </w:p>
    <w:p w14:paraId="208EDA72" w14:textId="77777777" w:rsidR="00E4120D" w:rsidRPr="00473EE5" w:rsidRDefault="00E4120D" w:rsidP="00E4120D">
      <w:pPr>
        <w:pStyle w:val="ListParagraph"/>
        <w:ind w:left="360"/>
        <w:jc w:val="both"/>
        <w:rPr>
          <w:rFonts w:asciiTheme="majorHAnsi" w:hAnsiTheme="majorHAnsi"/>
        </w:rPr>
      </w:pPr>
    </w:p>
    <w:p w14:paraId="04726640" w14:textId="500E2CE2" w:rsidR="000F5A4E" w:rsidRPr="00473EE5" w:rsidRDefault="00B42DB6" w:rsidP="00945E71">
      <w:pPr>
        <w:pStyle w:val="ListParagraph"/>
        <w:numPr>
          <w:ilvl w:val="0"/>
          <w:numId w:val="25"/>
        </w:numPr>
        <w:spacing w:line="360" w:lineRule="auto"/>
        <w:jc w:val="both"/>
        <w:rPr>
          <w:rFonts w:asciiTheme="majorHAnsi" w:hAnsiTheme="majorHAnsi"/>
        </w:rPr>
      </w:pPr>
      <w:r w:rsidRPr="00473EE5">
        <w:rPr>
          <w:rFonts w:asciiTheme="majorHAnsi" w:hAnsiTheme="majorHAnsi"/>
        </w:rPr>
        <w:lastRenderedPageBreak/>
        <w:t xml:space="preserve">Articles 1-3, 4(1), </w:t>
      </w:r>
      <w:r w:rsidR="00A46D3E" w:rsidRPr="00473EE5">
        <w:rPr>
          <w:rFonts w:asciiTheme="majorHAnsi" w:hAnsiTheme="majorHAnsi"/>
        </w:rPr>
        <w:t xml:space="preserve">5(a) </w:t>
      </w:r>
      <w:r w:rsidRPr="00473EE5">
        <w:rPr>
          <w:rFonts w:asciiTheme="majorHAnsi" w:hAnsiTheme="majorHAnsi"/>
        </w:rPr>
        <w:t xml:space="preserve">and 6 </w:t>
      </w:r>
      <w:r w:rsidR="00A46D3E" w:rsidRPr="00473EE5">
        <w:rPr>
          <w:rFonts w:asciiTheme="majorHAnsi" w:hAnsiTheme="majorHAnsi"/>
        </w:rPr>
        <w:t>of CEDAW.</w:t>
      </w:r>
      <w:r w:rsidRPr="00473EE5">
        <w:rPr>
          <w:rFonts w:asciiTheme="majorHAnsi" w:hAnsiTheme="majorHAnsi"/>
        </w:rPr>
        <w:t xml:space="preserve"> </w:t>
      </w:r>
      <w:r w:rsidR="000F5A4E" w:rsidRPr="00473EE5">
        <w:rPr>
          <w:rFonts w:asciiTheme="majorHAnsi" w:hAnsiTheme="majorHAnsi"/>
        </w:rPr>
        <w:t>The CEDAW GR No. 19 recognises gender-based violence (GBV) as a form of discrimination, and mandate</w:t>
      </w:r>
      <w:r w:rsidR="008A2310" w:rsidRPr="00473EE5">
        <w:rPr>
          <w:rFonts w:asciiTheme="majorHAnsi" w:hAnsiTheme="majorHAnsi"/>
        </w:rPr>
        <w:t>s</w:t>
      </w:r>
      <w:r w:rsidR="000F5A4E" w:rsidRPr="00473EE5">
        <w:rPr>
          <w:rFonts w:asciiTheme="majorHAnsi" w:hAnsiTheme="majorHAnsi"/>
        </w:rPr>
        <w:t xml:space="preserve"> that states take appropriate and effective measures to overcome all forms of GBV, public or private.</w:t>
      </w:r>
    </w:p>
    <w:p w14:paraId="5F7ECF2E" w14:textId="18C9E7DE" w:rsidR="00B42DB6" w:rsidRPr="00473EE5" w:rsidRDefault="00A46D3E" w:rsidP="00945E71">
      <w:pPr>
        <w:pStyle w:val="ListParagraph"/>
        <w:numPr>
          <w:ilvl w:val="0"/>
          <w:numId w:val="25"/>
        </w:numPr>
        <w:spacing w:line="360" w:lineRule="auto"/>
        <w:jc w:val="both"/>
        <w:rPr>
          <w:rFonts w:asciiTheme="majorHAnsi" w:hAnsiTheme="majorHAnsi"/>
        </w:rPr>
      </w:pPr>
      <w:r w:rsidRPr="00473EE5">
        <w:rPr>
          <w:rFonts w:asciiTheme="majorHAnsi" w:hAnsiTheme="majorHAnsi"/>
        </w:rPr>
        <w:t>The CEDAW GR No. 30</w:t>
      </w:r>
      <w:r w:rsidR="00DD65C7" w:rsidRPr="00473EE5">
        <w:rPr>
          <w:rFonts w:asciiTheme="majorHAnsi" w:hAnsiTheme="majorHAnsi"/>
        </w:rPr>
        <w:t>, which</w:t>
      </w:r>
      <w:r w:rsidRPr="00473EE5">
        <w:rPr>
          <w:rFonts w:asciiTheme="majorHAnsi" w:hAnsiTheme="majorHAnsi"/>
        </w:rPr>
        <w:t xml:space="preserve"> expands on states’ protection obligations and d</w:t>
      </w:r>
      <w:r w:rsidR="00DD65C7" w:rsidRPr="00473EE5">
        <w:rPr>
          <w:rFonts w:asciiTheme="majorHAnsi" w:hAnsiTheme="majorHAnsi"/>
        </w:rPr>
        <w:t>iverges</w:t>
      </w:r>
      <w:r w:rsidRPr="00473EE5">
        <w:rPr>
          <w:rFonts w:asciiTheme="majorHAnsi" w:hAnsiTheme="majorHAnsi"/>
        </w:rPr>
        <w:t xml:space="preserve"> from SCR 1325 by encouraging non-state actors to protect women. It specifies measures concerning violence against vulnerable women and girls, including: those living with HIV/AIDS; internally displaced, refugee and trafficked women; female combatants (in state and non-state groups); and women campaigning for public office or exercising their right to vote. It places obligations throughout the conflict cycle, including establishing early warning systems and gender-specific security measures to prevent the escalation of GBV and other rights violations. </w:t>
      </w:r>
      <w:r w:rsidR="00213B17" w:rsidRPr="00473EE5">
        <w:rPr>
          <w:rFonts w:asciiTheme="majorHAnsi" w:hAnsiTheme="majorHAnsi"/>
        </w:rPr>
        <w:t xml:space="preserve">The </w:t>
      </w:r>
      <w:r w:rsidRPr="00473EE5">
        <w:rPr>
          <w:rFonts w:asciiTheme="majorHAnsi" w:hAnsiTheme="majorHAnsi"/>
        </w:rPr>
        <w:t>measures to prevent, ad</w:t>
      </w:r>
      <w:r w:rsidR="00F844D8" w:rsidRPr="00473EE5">
        <w:rPr>
          <w:rFonts w:asciiTheme="majorHAnsi" w:hAnsiTheme="majorHAnsi"/>
        </w:rPr>
        <w:t xml:space="preserve">dress and end impunity for GBV </w:t>
      </w:r>
      <w:r w:rsidR="00213B17" w:rsidRPr="00473EE5">
        <w:rPr>
          <w:rFonts w:asciiTheme="majorHAnsi" w:hAnsiTheme="majorHAnsi"/>
        </w:rPr>
        <w:t xml:space="preserve">of the CEDAW GR No. 30 that </w:t>
      </w:r>
      <w:r w:rsidRPr="00473EE5">
        <w:rPr>
          <w:rFonts w:asciiTheme="majorHAnsi" w:hAnsiTheme="majorHAnsi"/>
        </w:rPr>
        <w:t>go b</w:t>
      </w:r>
      <w:r w:rsidR="00213B17" w:rsidRPr="00473EE5">
        <w:rPr>
          <w:rFonts w:asciiTheme="majorHAnsi" w:hAnsiTheme="majorHAnsi"/>
        </w:rPr>
        <w:t>eyond the language of SCR 1325,</w:t>
      </w:r>
      <w:r w:rsidR="00F844D8" w:rsidRPr="00473EE5">
        <w:rPr>
          <w:rFonts w:asciiTheme="majorHAnsi" w:hAnsiTheme="majorHAnsi"/>
        </w:rPr>
        <w:t xml:space="preserve"> are</w:t>
      </w:r>
      <w:r w:rsidRPr="00473EE5">
        <w:rPr>
          <w:rFonts w:asciiTheme="majorHAnsi" w:hAnsiTheme="majorHAnsi"/>
        </w:rPr>
        <w:t xml:space="preserve"> discussed below. </w:t>
      </w:r>
    </w:p>
    <w:p w14:paraId="20FD5B80" w14:textId="0EB9BA01" w:rsidR="00EF479B" w:rsidRPr="00473EE5" w:rsidRDefault="00213B17" w:rsidP="00945E71">
      <w:pPr>
        <w:pStyle w:val="ListParagraph"/>
        <w:numPr>
          <w:ilvl w:val="0"/>
          <w:numId w:val="25"/>
        </w:numPr>
        <w:spacing w:line="360" w:lineRule="auto"/>
        <w:jc w:val="both"/>
        <w:rPr>
          <w:rFonts w:asciiTheme="majorHAnsi" w:hAnsiTheme="majorHAnsi"/>
        </w:rPr>
      </w:pPr>
      <w:r w:rsidRPr="00473EE5">
        <w:rPr>
          <w:rFonts w:asciiTheme="majorHAnsi" w:hAnsiTheme="majorHAnsi"/>
        </w:rPr>
        <w:t xml:space="preserve">Article 34 of the Convention on the Rights of The Child (CRC) which requires states to protect children from all forms of sexual exploitation and sexual abuse, and the CRC General Comment No. 13 on children’s right to freedom from all forms of violence, recognises the gender dimensions of violence against girls and boys, acknowledges that children in armed conflict are especially vulnerable to violence, and calls for cross-border cooperation regarding children affected by conflict. </w:t>
      </w:r>
    </w:p>
    <w:p w14:paraId="32AC0761" w14:textId="77777777" w:rsidR="00EF479B" w:rsidRPr="00473EE5" w:rsidRDefault="00EF479B" w:rsidP="006E35CE">
      <w:pPr>
        <w:ind w:left="360"/>
        <w:jc w:val="both"/>
        <w:rPr>
          <w:rFonts w:asciiTheme="majorHAnsi" w:hAnsiTheme="majorHAnsi"/>
        </w:rPr>
      </w:pPr>
    </w:p>
    <w:p w14:paraId="73428F40" w14:textId="7EC262C1" w:rsidR="00F84D2C" w:rsidRPr="00473EE5" w:rsidRDefault="004E5EBC" w:rsidP="00671735">
      <w:pPr>
        <w:pStyle w:val="ListParagraph"/>
        <w:numPr>
          <w:ilvl w:val="0"/>
          <w:numId w:val="2"/>
        </w:numPr>
        <w:jc w:val="both"/>
        <w:rPr>
          <w:rFonts w:asciiTheme="majorHAnsi" w:hAnsiTheme="majorHAnsi" w:cs="Times New Roman"/>
          <w:b/>
          <w:color w:val="1F497D" w:themeColor="text2"/>
          <w:u w:val="single"/>
        </w:rPr>
      </w:pPr>
      <w:r w:rsidRPr="00473EE5">
        <w:rPr>
          <w:rFonts w:asciiTheme="majorHAnsi" w:hAnsiTheme="majorHAnsi" w:cs="Times New Roman"/>
          <w:b/>
          <w:color w:val="1F497D" w:themeColor="text2"/>
          <w:u w:val="single"/>
        </w:rPr>
        <w:t xml:space="preserve">Relief and Recovery </w:t>
      </w:r>
    </w:p>
    <w:p w14:paraId="52147DD2" w14:textId="77777777" w:rsidR="00B42DB6" w:rsidRPr="00473EE5" w:rsidRDefault="00B42DB6" w:rsidP="00B42DB6">
      <w:pPr>
        <w:jc w:val="both"/>
        <w:rPr>
          <w:rFonts w:asciiTheme="majorHAnsi" w:hAnsiTheme="majorHAnsi" w:cs="Times New Roman"/>
          <w:b/>
          <w:u w:val="single"/>
        </w:rPr>
      </w:pPr>
    </w:p>
    <w:p w14:paraId="7CC728C8" w14:textId="6A1A1BC4" w:rsidR="000F5A4E" w:rsidRPr="00473EE5" w:rsidRDefault="0080220E" w:rsidP="00945E71">
      <w:pPr>
        <w:pStyle w:val="ListParagraph"/>
        <w:numPr>
          <w:ilvl w:val="0"/>
          <w:numId w:val="17"/>
        </w:numPr>
        <w:spacing w:line="360" w:lineRule="auto"/>
        <w:jc w:val="both"/>
        <w:rPr>
          <w:rFonts w:asciiTheme="majorHAnsi" w:hAnsiTheme="majorHAnsi"/>
        </w:rPr>
      </w:pPr>
      <w:r w:rsidRPr="00473EE5">
        <w:rPr>
          <w:rFonts w:asciiTheme="majorHAnsi" w:hAnsiTheme="majorHAnsi"/>
        </w:rPr>
        <w:t xml:space="preserve">SCR 1325 emphasizes the responsibility of all States to </w:t>
      </w:r>
      <w:r w:rsidRPr="00473EE5">
        <w:rPr>
          <w:rFonts w:asciiTheme="majorHAnsi" w:hAnsiTheme="majorHAnsi"/>
          <w:b/>
          <w:color w:val="4F81BD" w:themeColor="accent1"/>
        </w:rPr>
        <w:t>end impunity</w:t>
      </w:r>
      <w:r w:rsidRPr="00473EE5">
        <w:rPr>
          <w:rFonts w:asciiTheme="majorHAnsi" w:hAnsiTheme="majorHAnsi"/>
        </w:rPr>
        <w:t xml:space="preserve"> </w:t>
      </w:r>
      <w:r w:rsidR="00F84D2C" w:rsidRPr="00473EE5">
        <w:rPr>
          <w:rFonts w:asciiTheme="majorHAnsi" w:hAnsiTheme="majorHAnsi"/>
        </w:rPr>
        <w:t xml:space="preserve">and prosecute those responsible for </w:t>
      </w:r>
      <w:r w:rsidR="00F84D2C" w:rsidRPr="00473EE5">
        <w:rPr>
          <w:rFonts w:asciiTheme="majorHAnsi" w:hAnsiTheme="majorHAnsi"/>
          <w:b/>
          <w:color w:val="4F81BD" w:themeColor="accent1"/>
        </w:rPr>
        <w:t>genocide, crimes against humanity and war crimes</w:t>
      </w:r>
      <w:r w:rsidR="00F84D2C" w:rsidRPr="00473EE5">
        <w:rPr>
          <w:rFonts w:asciiTheme="majorHAnsi" w:hAnsiTheme="majorHAnsi"/>
        </w:rPr>
        <w:t xml:space="preserve">, including those relating to </w:t>
      </w:r>
      <w:r w:rsidR="00F84D2C" w:rsidRPr="00473EE5">
        <w:rPr>
          <w:rFonts w:asciiTheme="majorHAnsi" w:hAnsiTheme="majorHAnsi"/>
          <w:b/>
          <w:color w:val="4F81BD" w:themeColor="accent1"/>
        </w:rPr>
        <w:t>sexual and other violence</w:t>
      </w:r>
      <w:r w:rsidR="00F84D2C" w:rsidRPr="00473EE5">
        <w:rPr>
          <w:rFonts w:asciiTheme="majorHAnsi" w:hAnsiTheme="majorHAnsi"/>
          <w:color w:val="4F81BD" w:themeColor="accent1"/>
        </w:rPr>
        <w:t xml:space="preserve"> </w:t>
      </w:r>
      <w:r w:rsidR="00F84D2C" w:rsidRPr="00473EE5">
        <w:rPr>
          <w:rFonts w:asciiTheme="majorHAnsi" w:hAnsiTheme="majorHAnsi"/>
        </w:rPr>
        <w:t>against women and girls. It stresses the need to exclude these crimes from amnesty provisions (where feasible).</w:t>
      </w:r>
      <w:r w:rsidR="00A46D3E" w:rsidRPr="00473EE5">
        <w:rPr>
          <w:rFonts w:asciiTheme="majorHAnsi" w:hAnsiTheme="majorHAnsi"/>
        </w:rPr>
        <w:t xml:space="preserve"> </w:t>
      </w:r>
      <w:r w:rsidR="00DD65C7" w:rsidRPr="00473EE5">
        <w:rPr>
          <w:rFonts w:asciiTheme="majorHAnsi" w:hAnsiTheme="majorHAnsi"/>
        </w:rPr>
        <w:t>This reflects</w:t>
      </w:r>
      <w:r w:rsidR="006E35CE" w:rsidRPr="00473EE5">
        <w:rPr>
          <w:rFonts w:asciiTheme="majorHAnsi" w:hAnsiTheme="majorHAnsi"/>
        </w:rPr>
        <w:t xml:space="preserve"> states’ obligations under c</w:t>
      </w:r>
      <w:r w:rsidR="0037328A" w:rsidRPr="00473EE5">
        <w:rPr>
          <w:rFonts w:asciiTheme="majorHAnsi" w:hAnsiTheme="majorHAnsi"/>
        </w:rPr>
        <w:t>ustomary IHL and treaties. The latter</w:t>
      </w:r>
      <w:r w:rsidR="006E35CE" w:rsidRPr="00473EE5">
        <w:rPr>
          <w:rFonts w:asciiTheme="majorHAnsi" w:hAnsiTheme="majorHAnsi"/>
        </w:rPr>
        <w:t xml:space="preserve"> include</w:t>
      </w:r>
      <w:r w:rsidR="0037328A" w:rsidRPr="00473EE5">
        <w:rPr>
          <w:rFonts w:asciiTheme="majorHAnsi" w:hAnsiTheme="majorHAnsi"/>
        </w:rPr>
        <w:t>s</w:t>
      </w:r>
      <w:r w:rsidR="00DD65C7" w:rsidRPr="00473EE5">
        <w:rPr>
          <w:rFonts w:asciiTheme="majorHAnsi" w:hAnsiTheme="majorHAnsi"/>
        </w:rPr>
        <w:t xml:space="preserve">: </w:t>
      </w:r>
      <w:r w:rsidR="00B42DB6" w:rsidRPr="00473EE5">
        <w:rPr>
          <w:rStyle w:val="FootnoteReference"/>
          <w:rFonts w:asciiTheme="majorHAnsi" w:hAnsiTheme="majorHAnsi"/>
        </w:rPr>
        <w:footnoteReference w:id="41"/>
      </w:r>
    </w:p>
    <w:p w14:paraId="235F1DA9" w14:textId="77777777" w:rsidR="00E4120D" w:rsidRPr="00473EE5" w:rsidRDefault="00E4120D" w:rsidP="00E4120D">
      <w:pPr>
        <w:pStyle w:val="ListParagraph"/>
        <w:ind w:left="360"/>
        <w:jc w:val="both"/>
        <w:rPr>
          <w:rFonts w:asciiTheme="majorHAnsi" w:hAnsiTheme="majorHAnsi"/>
        </w:rPr>
      </w:pPr>
    </w:p>
    <w:p w14:paraId="49398439" w14:textId="30212C35" w:rsidR="00A4217A" w:rsidRPr="00473EE5" w:rsidRDefault="00A4217A" w:rsidP="00945E71">
      <w:pPr>
        <w:pStyle w:val="ListParagraph"/>
        <w:numPr>
          <w:ilvl w:val="0"/>
          <w:numId w:val="29"/>
        </w:numPr>
        <w:spacing w:line="360" w:lineRule="auto"/>
        <w:jc w:val="both"/>
        <w:rPr>
          <w:rFonts w:asciiTheme="majorHAnsi" w:hAnsiTheme="majorHAnsi"/>
        </w:rPr>
      </w:pPr>
      <w:r w:rsidRPr="00473EE5">
        <w:rPr>
          <w:rFonts w:asciiTheme="majorHAnsi" w:hAnsiTheme="majorHAnsi"/>
        </w:rPr>
        <w:t xml:space="preserve">Articles 1-3, 5(a) and 15 of CEDAW, and recommendations on access to justice in the CEDAW GR No. 30. As discussed below, the CEDAW GR No. 30 expands on the language in SCR 1325 to guarantee substantive </w:t>
      </w:r>
      <w:r w:rsidR="00213B17" w:rsidRPr="00473EE5">
        <w:rPr>
          <w:rFonts w:asciiTheme="majorHAnsi" w:hAnsiTheme="majorHAnsi"/>
        </w:rPr>
        <w:t>and</w:t>
      </w:r>
      <w:r w:rsidRPr="00473EE5">
        <w:rPr>
          <w:rFonts w:asciiTheme="majorHAnsi" w:hAnsiTheme="majorHAnsi"/>
        </w:rPr>
        <w:t xml:space="preserve"> transformative equality. </w:t>
      </w:r>
    </w:p>
    <w:p w14:paraId="5F6858C2" w14:textId="217BCA16" w:rsidR="006E35CE" w:rsidRPr="00473EE5" w:rsidRDefault="006E35CE" w:rsidP="00945E71">
      <w:pPr>
        <w:pStyle w:val="ListParagraph"/>
        <w:numPr>
          <w:ilvl w:val="0"/>
          <w:numId w:val="29"/>
        </w:numPr>
        <w:spacing w:line="360" w:lineRule="auto"/>
        <w:jc w:val="both"/>
        <w:rPr>
          <w:rFonts w:asciiTheme="majorHAnsi" w:hAnsiTheme="majorHAnsi"/>
        </w:rPr>
      </w:pPr>
      <w:r w:rsidRPr="00473EE5">
        <w:rPr>
          <w:rFonts w:asciiTheme="majorHAnsi" w:hAnsiTheme="majorHAnsi"/>
        </w:rPr>
        <w:lastRenderedPageBreak/>
        <w:t>The</w:t>
      </w:r>
      <w:r w:rsidR="00933E3D" w:rsidRPr="00473EE5">
        <w:rPr>
          <w:rFonts w:asciiTheme="majorHAnsi" w:hAnsiTheme="majorHAnsi"/>
        </w:rPr>
        <w:t xml:space="preserve"> Rome Statute</w:t>
      </w:r>
      <w:r w:rsidR="00ED0031" w:rsidRPr="00473EE5">
        <w:rPr>
          <w:rFonts w:asciiTheme="majorHAnsi" w:hAnsiTheme="majorHAnsi"/>
        </w:rPr>
        <w:t>, which aims to e</w:t>
      </w:r>
      <w:r w:rsidR="00213B17" w:rsidRPr="00473EE5">
        <w:rPr>
          <w:rFonts w:asciiTheme="majorHAnsi" w:hAnsiTheme="majorHAnsi"/>
        </w:rPr>
        <w:t xml:space="preserve">nd impunity and recognizes </w:t>
      </w:r>
      <w:r w:rsidR="00ED0031" w:rsidRPr="00473EE5">
        <w:rPr>
          <w:rFonts w:asciiTheme="majorHAnsi" w:hAnsiTheme="majorHAnsi"/>
        </w:rPr>
        <w:t>rape</w:t>
      </w:r>
      <w:r w:rsidR="00EB6A44" w:rsidRPr="00473EE5">
        <w:rPr>
          <w:rFonts w:asciiTheme="majorHAnsi" w:hAnsiTheme="majorHAnsi"/>
        </w:rPr>
        <w:t xml:space="preserve"> </w:t>
      </w:r>
      <w:r w:rsidR="00ED0031" w:rsidRPr="00473EE5">
        <w:rPr>
          <w:rFonts w:asciiTheme="majorHAnsi" w:hAnsiTheme="majorHAnsi"/>
        </w:rPr>
        <w:t xml:space="preserve">and sexual violence </w:t>
      </w:r>
      <w:r w:rsidR="00F01120" w:rsidRPr="00473EE5">
        <w:rPr>
          <w:rFonts w:asciiTheme="majorHAnsi" w:hAnsiTheme="majorHAnsi"/>
        </w:rPr>
        <w:t>as crimes against humanity and war crimes in</w:t>
      </w:r>
      <w:r w:rsidR="00E859F8" w:rsidRPr="00473EE5">
        <w:rPr>
          <w:rFonts w:asciiTheme="majorHAnsi" w:hAnsiTheme="majorHAnsi"/>
        </w:rPr>
        <w:t xml:space="preserve"> Articles 7(g) and 8</w:t>
      </w:r>
      <w:r w:rsidR="00F01120" w:rsidRPr="00473EE5">
        <w:rPr>
          <w:rFonts w:asciiTheme="majorHAnsi" w:hAnsiTheme="majorHAnsi"/>
        </w:rPr>
        <w:t>(2)</w:t>
      </w:r>
      <w:r w:rsidR="00E859F8" w:rsidRPr="00473EE5">
        <w:rPr>
          <w:rFonts w:asciiTheme="majorHAnsi" w:hAnsiTheme="majorHAnsi"/>
        </w:rPr>
        <w:t>(b)(xxiii)</w:t>
      </w:r>
      <w:r w:rsidR="00F01120" w:rsidRPr="00473EE5">
        <w:rPr>
          <w:rFonts w:asciiTheme="majorHAnsi" w:hAnsiTheme="majorHAnsi"/>
        </w:rPr>
        <w:t xml:space="preserve"> respectively</w:t>
      </w:r>
      <w:r w:rsidR="00ED0031" w:rsidRPr="00473EE5">
        <w:rPr>
          <w:rFonts w:asciiTheme="majorHAnsi" w:hAnsiTheme="majorHAnsi"/>
        </w:rPr>
        <w:t>.</w:t>
      </w:r>
      <w:r w:rsidR="006A4747" w:rsidRPr="00473EE5">
        <w:rPr>
          <w:rFonts w:asciiTheme="majorHAnsi" w:hAnsiTheme="majorHAnsi"/>
        </w:rPr>
        <w:t xml:space="preserve"> </w:t>
      </w:r>
    </w:p>
    <w:p w14:paraId="456B6E87" w14:textId="095B94E0" w:rsidR="000F5A4E" w:rsidRPr="00473EE5" w:rsidRDefault="006E35CE" w:rsidP="00945E71">
      <w:pPr>
        <w:pStyle w:val="ListParagraph"/>
        <w:numPr>
          <w:ilvl w:val="0"/>
          <w:numId w:val="29"/>
        </w:numPr>
        <w:spacing w:line="360" w:lineRule="auto"/>
        <w:jc w:val="both"/>
        <w:rPr>
          <w:rFonts w:asciiTheme="majorHAnsi" w:hAnsiTheme="majorHAnsi"/>
        </w:rPr>
      </w:pPr>
      <w:r w:rsidRPr="00473EE5">
        <w:rPr>
          <w:rFonts w:asciiTheme="majorHAnsi" w:hAnsiTheme="majorHAnsi"/>
        </w:rPr>
        <w:t>Common</w:t>
      </w:r>
      <w:r w:rsidR="00E859F8" w:rsidRPr="00473EE5">
        <w:rPr>
          <w:rFonts w:asciiTheme="majorHAnsi" w:hAnsiTheme="majorHAnsi"/>
        </w:rPr>
        <w:t xml:space="preserve"> Article 3 of </w:t>
      </w:r>
      <w:r w:rsidR="00ED0031" w:rsidRPr="00473EE5">
        <w:rPr>
          <w:rFonts w:asciiTheme="majorHAnsi" w:hAnsiTheme="majorHAnsi"/>
        </w:rPr>
        <w:t>the Geneva Conventions, which recognize rape and sexual violence as grave breaches of</w:t>
      </w:r>
      <w:r w:rsidR="00E859F8" w:rsidRPr="00473EE5">
        <w:rPr>
          <w:rFonts w:asciiTheme="majorHAnsi" w:hAnsiTheme="majorHAnsi"/>
        </w:rPr>
        <w:t xml:space="preserve"> international humanitarian law, as well as Articles 75(2) and 4(</w:t>
      </w:r>
      <w:r w:rsidR="00821A24" w:rsidRPr="00473EE5">
        <w:rPr>
          <w:rFonts w:asciiTheme="majorHAnsi" w:hAnsiTheme="majorHAnsi"/>
        </w:rPr>
        <w:t>2) of the Additional Protocols I and II</w:t>
      </w:r>
      <w:r w:rsidR="00E859F8" w:rsidRPr="00473EE5">
        <w:rPr>
          <w:rFonts w:asciiTheme="majorHAnsi" w:hAnsiTheme="majorHAnsi"/>
        </w:rPr>
        <w:t xml:space="preserve"> respectively, which include rape, enforced prostitution or any other form of indecent assault under the prohibition of outrages upon personal dignity. Articles 27(2) of the Fourth Geneva Convention an</w:t>
      </w:r>
      <w:r w:rsidR="00821A24" w:rsidRPr="00473EE5">
        <w:rPr>
          <w:rFonts w:asciiTheme="majorHAnsi" w:hAnsiTheme="majorHAnsi"/>
        </w:rPr>
        <w:t>d 76-77 of Additional Protocol I</w:t>
      </w:r>
      <w:r w:rsidR="00E859F8" w:rsidRPr="00473EE5">
        <w:rPr>
          <w:rFonts w:asciiTheme="majorHAnsi" w:hAnsiTheme="majorHAnsi"/>
        </w:rPr>
        <w:t xml:space="preserve"> require protection for women and</w:t>
      </w:r>
      <w:r w:rsidR="000F5A4E" w:rsidRPr="00473EE5">
        <w:rPr>
          <w:rFonts w:asciiTheme="majorHAnsi" w:hAnsiTheme="majorHAnsi"/>
        </w:rPr>
        <w:t xml:space="preserve"> children against these crimes.</w:t>
      </w:r>
    </w:p>
    <w:p w14:paraId="4515F69D" w14:textId="62E5752B" w:rsidR="000F5A4E" w:rsidRPr="00473EE5" w:rsidRDefault="00E859F8" w:rsidP="00945E71">
      <w:pPr>
        <w:pStyle w:val="ListParagraph"/>
        <w:numPr>
          <w:ilvl w:val="0"/>
          <w:numId w:val="29"/>
        </w:numPr>
        <w:spacing w:line="360" w:lineRule="auto"/>
        <w:jc w:val="both"/>
        <w:rPr>
          <w:rFonts w:asciiTheme="majorHAnsi" w:hAnsiTheme="majorHAnsi"/>
        </w:rPr>
      </w:pPr>
      <w:r w:rsidRPr="00473EE5">
        <w:rPr>
          <w:rFonts w:asciiTheme="majorHAnsi" w:hAnsiTheme="majorHAnsi"/>
        </w:rPr>
        <w:t xml:space="preserve">The Statutes of the International Criminal </w:t>
      </w:r>
      <w:r w:rsidR="00F01120" w:rsidRPr="00473EE5">
        <w:rPr>
          <w:rFonts w:asciiTheme="majorHAnsi" w:hAnsiTheme="majorHAnsi"/>
        </w:rPr>
        <w:t>Tribunals for the former Rwanda and Sierra Leone and Yugoslavia</w:t>
      </w:r>
      <w:r w:rsidR="006E35CE" w:rsidRPr="00473EE5">
        <w:rPr>
          <w:rFonts w:asciiTheme="majorHAnsi" w:hAnsiTheme="majorHAnsi"/>
        </w:rPr>
        <w:t>, which</w:t>
      </w:r>
      <w:r w:rsidR="00F01120" w:rsidRPr="00473EE5">
        <w:rPr>
          <w:rFonts w:asciiTheme="majorHAnsi" w:hAnsiTheme="majorHAnsi"/>
        </w:rPr>
        <w:t xml:space="preserve"> also recognise </w:t>
      </w:r>
      <w:r w:rsidR="00EF49A3" w:rsidRPr="00473EE5">
        <w:rPr>
          <w:rFonts w:asciiTheme="majorHAnsi" w:hAnsiTheme="majorHAnsi"/>
        </w:rPr>
        <w:t>rape and/or sexual violence as war crimes and/or crimes against humanity</w:t>
      </w:r>
      <w:r w:rsidR="00F01120" w:rsidRPr="00473EE5">
        <w:rPr>
          <w:rFonts w:asciiTheme="majorHAnsi" w:hAnsiTheme="majorHAnsi"/>
        </w:rPr>
        <w:t xml:space="preserve">. </w:t>
      </w:r>
    </w:p>
    <w:p w14:paraId="5788BF73" w14:textId="77777777" w:rsidR="00B42DB6" w:rsidRPr="00473EE5" w:rsidRDefault="00B42DB6" w:rsidP="00B42DB6">
      <w:pPr>
        <w:ind w:left="360"/>
        <w:jc w:val="both"/>
        <w:rPr>
          <w:rFonts w:asciiTheme="majorHAnsi" w:hAnsiTheme="majorHAnsi"/>
        </w:rPr>
      </w:pPr>
    </w:p>
    <w:p w14:paraId="5EF9CC98" w14:textId="2B471DAB" w:rsidR="000F5A4E" w:rsidRPr="00473EE5" w:rsidRDefault="00C4646F" w:rsidP="00945E71">
      <w:pPr>
        <w:pStyle w:val="ListParagraph"/>
        <w:numPr>
          <w:ilvl w:val="0"/>
          <w:numId w:val="17"/>
        </w:numPr>
        <w:spacing w:line="360" w:lineRule="auto"/>
        <w:jc w:val="both"/>
        <w:rPr>
          <w:rFonts w:asciiTheme="majorHAnsi" w:hAnsiTheme="majorHAnsi"/>
        </w:rPr>
      </w:pPr>
      <w:r w:rsidRPr="00473EE5">
        <w:rPr>
          <w:rFonts w:asciiTheme="majorHAnsi" w:hAnsiTheme="majorHAnsi"/>
        </w:rPr>
        <w:t>The Resolution calls all parties to armed conflict to respect the</w:t>
      </w:r>
      <w:r w:rsidRPr="00473EE5">
        <w:rPr>
          <w:rFonts w:asciiTheme="majorHAnsi" w:hAnsiTheme="majorHAnsi"/>
          <w:color w:val="4F81BD" w:themeColor="accent1"/>
        </w:rPr>
        <w:t xml:space="preserve"> </w:t>
      </w:r>
      <w:r w:rsidRPr="00473EE5">
        <w:rPr>
          <w:rFonts w:asciiTheme="majorHAnsi" w:hAnsiTheme="majorHAnsi"/>
          <w:b/>
          <w:color w:val="4F81BD" w:themeColor="accent1"/>
        </w:rPr>
        <w:t>civilian and humanitarian character of refugee camps and settlements</w:t>
      </w:r>
      <w:r w:rsidR="00F84D2C" w:rsidRPr="00473EE5">
        <w:rPr>
          <w:rFonts w:asciiTheme="majorHAnsi" w:hAnsiTheme="majorHAnsi"/>
        </w:rPr>
        <w:t>, and to take into account</w:t>
      </w:r>
      <w:r w:rsidR="00F84D2C" w:rsidRPr="00473EE5">
        <w:rPr>
          <w:rFonts w:asciiTheme="majorHAnsi" w:hAnsiTheme="majorHAnsi"/>
          <w:color w:val="4F81BD" w:themeColor="accent1"/>
        </w:rPr>
        <w:t xml:space="preserve"> </w:t>
      </w:r>
      <w:r w:rsidR="00F84D2C" w:rsidRPr="00473EE5">
        <w:rPr>
          <w:rFonts w:asciiTheme="majorHAnsi" w:hAnsiTheme="majorHAnsi"/>
          <w:b/>
          <w:color w:val="4F81BD" w:themeColor="accent1"/>
        </w:rPr>
        <w:t>women and girls’</w:t>
      </w:r>
      <w:r w:rsidR="00F84D2C" w:rsidRPr="00473EE5">
        <w:rPr>
          <w:rFonts w:asciiTheme="majorHAnsi" w:hAnsiTheme="majorHAnsi"/>
          <w:color w:val="4F81BD" w:themeColor="accent1"/>
        </w:rPr>
        <w:t xml:space="preserve"> </w:t>
      </w:r>
      <w:r w:rsidR="00F84D2C" w:rsidRPr="00473EE5">
        <w:rPr>
          <w:rFonts w:asciiTheme="majorHAnsi" w:hAnsiTheme="majorHAnsi"/>
        </w:rPr>
        <w:t xml:space="preserve">particular needs, including in designing these camps and settlements. </w:t>
      </w:r>
      <w:r w:rsidR="00DD65C7" w:rsidRPr="00473EE5">
        <w:rPr>
          <w:rFonts w:asciiTheme="majorHAnsi" w:hAnsiTheme="majorHAnsi"/>
        </w:rPr>
        <w:t xml:space="preserve">This reflects: </w:t>
      </w:r>
      <w:r w:rsidR="006E35CE" w:rsidRPr="00473EE5">
        <w:rPr>
          <w:rStyle w:val="FootnoteReference"/>
          <w:rFonts w:asciiTheme="majorHAnsi" w:hAnsiTheme="majorHAnsi"/>
        </w:rPr>
        <w:footnoteReference w:id="42"/>
      </w:r>
    </w:p>
    <w:p w14:paraId="062168FF" w14:textId="77777777" w:rsidR="00945E71" w:rsidRPr="00473EE5" w:rsidRDefault="00945E71" w:rsidP="00945E71">
      <w:pPr>
        <w:pStyle w:val="ListParagraph"/>
        <w:ind w:left="360"/>
        <w:jc w:val="both"/>
        <w:rPr>
          <w:rFonts w:asciiTheme="majorHAnsi" w:hAnsiTheme="majorHAnsi"/>
        </w:rPr>
      </w:pPr>
    </w:p>
    <w:p w14:paraId="71DDFAF7" w14:textId="2F70CA88" w:rsidR="00A1614F" w:rsidRPr="00473EE5" w:rsidRDefault="00A1614F" w:rsidP="00945E71">
      <w:pPr>
        <w:pStyle w:val="ListParagraph"/>
        <w:numPr>
          <w:ilvl w:val="0"/>
          <w:numId w:val="30"/>
        </w:numPr>
        <w:spacing w:line="360" w:lineRule="auto"/>
        <w:jc w:val="both"/>
        <w:rPr>
          <w:rFonts w:asciiTheme="majorHAnsi" w:hAnsiTheme="majorHAnsi"/>
        </w:rPr>
      </w:pPr>
      <w:r w:rsidRPr="00473EE5">
        <w:rPr>
          <w:rFonts w:asciiTheme="majorHAnsi" w:hAnsiTheme="majorHAnsi"/>
        </w:rPr>
        <w:t>Article</w:t>
      </w:r>
      <w:r w:rsidR="00821A24" w:rsidRPr="00473EE5">
        <w:rPr>
          <w:rFonts w:asciiTheme="majorHAnsi" w:hAnsiTheme="majorHAnsi"/>
        </w:rPr>
        <w:t>s</w:t>
      </w:r>
      <w:r w:rsidRPr="00473EE5">
        <w:rPr>
          <w:rFonts w:asciiTheme="majorHAnsi" w:hAnsiTheme="majorHAnsi"/>
        </w:rPr>
        <w:t xml:space="preserve"> 1-3 and 15 of CEDAW, and the </w:t>
      </w:r>
      <w:r w:rsidR="00821A24" w:rsidRPr="00473EE5">
        <w:rPr>
          <w:rFonts w:asciiTheme="majorHAnsi" w:hAnsiTheme="majorHAnsi"/>
        </w:rPr>
        <w:t xml:space="preserve">CEDAW </w:t>
      </w:r>
      <w:r w:rsidRPr="00473EE5">
        <w:rPr>
          <w:rFonts w:asciiTheme="majorHAnsi" w:hAnsiTheme="majorHAnsi"/>
        </w:rPr>
        <w:t>GR No. 30, which provides specific guidance on refugee camps and settlements that expands the protections in SCR 1325 in relation to trafficked, refugee, migrant, IDP and stateless women and girls (see below).</w:t>
      </w:r>
    </w:p>
    <w:p w14:paraId="016CE952" w14:textId="516E4656" w:rsidR="000F5A4E" w:rsidRPr="00473EE5" w:rsidRDefault="00DD65C7" w:rsidP="00945E71">
      <w:pPr>
        <w:pStyle w:val="ListParagraph"/>
        <w:numPr>
          <w:ilvl w:val="0"/>
          <w:numId w:val="30"/>
        </w:numPr>
        <w:spacing w:line="360" w:lineRule="auto"/>
        <w:jc w:val="both"/>
        <w:rPr>
          <w:rFonts w:asciiTheme="majorHAnsi" w:hAnsiTheme="majorHAnsi"/>
        </w:rPr>
      </w:pPr>
      <w:r w:rsidRPr="00473EE5">
        <w:rPr>
          <w:rFonts w:asciiTheme="majorHAnsi" w:hAnsiTheme="majorHAnsi"/>
        </w:rPr>
        <w:t>The</w:t>
      </w:r>
      <w:r w:rsidR="002F55AB" w:rsidRPr="00473EE5">
        <w:rPr>
          <w:rFonts w:asciiTheme="majorHAnsi" w:hAnsiTheme="majorHAnsi"/>
        </w:rPr>
        <w:t xml:space="preserve"> general </w:t>
      </w:r>
      <w:r w:rsidR="00880D6D" w:rsidRPr="00473EE5">
        <w:rPr>
          <w:rFonts w:asciiTheme="majorHAnsi" w:hAnsiTheme="majorHAnsi"/>
        </w:rPr>
        <w:t xml:space="preserve">customary </w:t>
      </w:r>
      <w:r w:rsidR="002F55AB" w:rsidRPr="00473EE5">
        <w:rPr>
          <w:rFonts w:asciiTheme="majorHAnsi" w:hAnsiTheme="majorHAnsi"/>
        </w:rPr>
        <w:t>IHL rule regarding th</w:t>
      </w:r>
      <w:r w:rsidR="00873A04" w:rsidRPr="00473EE5">
        <w:rPr>
          <w:rFonts w:asciiTheme="majorHAnsi" w:hAnsiTheme="majorHAnsi"/>
        </w:rPr>
        <w:t>e</w:t>
      </w:r>
      <w:r w:rsidR="00083D64" w:rsidRPr="00473EE5">
        <w:rPr>
          <w:rFonts w:asciiTheme="majorHAnsi" w:hAnsiTheme="majorHAnsi"/>
        </w:rPr>
        <w:t xml:space="preserve"> treatment of displaced persons -</w:t>
      </w:r>
      <w:r w:rsidR="002F55AB" w:rsidRPr="00473EE5">
        <w:rPr>
          <w:rFonts w:asciiTheme="majorHAnsi" w:hAnsiTheme="majorHAnsi"/>
        </w:rPr>
        <w:t xml:space="preserve"> that all possible measures must be taken to receive civilians in satisfactory conditions of shelter, hygiene, health, safety and nutrition and to prevent family members from being separated. This general rule is supplemented</w:t>
      </w:r>
      <w:r w:rsidR="00873A04" w:rsidRPr="00473EE5">
        <w:rPr>
          <w:rFonts w:asciiTheme="majorHAnsi" w:hAnsiTheme="majorHAnsi"/>
        </w:rPr>
        <w:t xml:space="preserve"> by the rule that parties must consider the condition of each displaced person when providing assistance, which especially includes: </w:t>
      </w:r>
      <w:r w:rsidR="00370064" w:rsidRPr="00473EE5">
        <w:rPr>
          <w:rFonts w:asciiTheme="majorHAnsi" w:hAnsiTheme="majorHAnsi"/>
        </w:rPr>
        <w:t>unaccompanied children, expecta</w:t>
      </w:r>
      <w:r w:rsidR="00873A04" w:rsidRPr="00473EE5">
        <w:rPr>
          <w:rFonts w:asciiTheme="majorHAnsi" w:hAnsiTheme="majorHAnsi"/>
        </w:rPr>
        <w:t xml:space="preserve">nt and nursing mothers, persons with disabilities and the elderly. </w:t>
      </w:r>
    </w:p>
    <w:p w14:paraId="060D1EB5" w14:textId="3D91E2F0" w:rsidR="000F5A4E" w:rsidRPr="00473EE5" w:rsidRDefault="00821A24" w:rsidP="00945E71">
      <w:pPr>
        <w:pStyle w:val="ListParagraph"/>
        <w:numPr>
          <w:ilvl w:val="0"/>
          <w:numId w:val="30"/>
        </w:numPr>
        <w:spacing w:line="360" w:lineRule="auto"/>
        <w:jc w:val="both"/>
        <w:rPr>
          <w:rFonts w:asciiTheme="majorHAnsi" w:hAnsiTheme="majorHAnsi"/>
        </w:rPr>
      </w:pPr>
      <w:r w:rsidRPr="00473EE5">
        <w:rPr>
          <w:rFonts w:asciiTheme="majorHAnsi" w:hAnsiTheme="majorHAnsi"/>
        </w:rPr>
        <w:t>I</w:t>
      </w:r>
      <w:r w:rsidR="00FA3BD0" w:rsidRPr="00473EE5">
        <w:rPr>
          <w:rFonts w:asciiTheme="majorHAnsi" w:hAnsiTheme="majorHAnsi"/>
        </w:rPr>
        <w:t xml:space="preserve">nternational law from treaties, other instruments, state practice (via military manuals, legislation and official statements) and the practice of international organizations and conferences. </w:t>
      </w:r>
      <w:r w:rsidR="00873A04" w:rsidRPr="00473EE5">
        <w:rPr>
          <w:rFonts w:asciiTheme="majorHAnsi" w:hAnsiTheme="majorHAnsi"/>
        </w:rPr>
        <w:t>The relevant treaties include: Art</w:t>
      </w:r>
      <w:r w:rsidRPr="00473EE5">
        <w:rPr>
          <w:rFonts w:asciiTheme="majorHAnsi" w:hAnsiTheme="majorHAnsi"/>
        </w:rPr>
        <w:t>icle 78 of Additional Protocol I</w:t>
      </w:r>
      <w:r w:rsidR="00873A04" w:rsidRPr="00473EE5">
        <w:rPr>
          <w:rFonts w:asciiTheme="majorHAnsi" w:hAnsiTheme="majorHAnsi"/>
        </w:rPr>
        <w:t xml:space="preserve"> to the Geneva Conventions, which </w:t>
      </w:r>
      <w:r w:rsidR="00370064" w:rsidRPr="00473EE5">
        <w:rPr>
          <w:rFonts w:asciiTheme="majorHAnsi" w:hAnsiTheme="majorHAnsi"/>
        </w:rPr>
        <w:t>deals with the evacuation of children; Article</w:t>
      </w:r>
      <w:r w:rsidR="00E15AED" w:rsidRPr="00473EE5">
        <w:rPr>
          <w:rFonts w:asciiTheme="majorHAnsi" w:hAnsiTheme="majorHAnsi"/>
        </w:rPr>
        <w:t>s</w:t>
      </w:r>
      <w:r w:rsidR="00370064" w:rsidRPr="00473EE5">
        <w:rPr>
          <w:rFonts w:asciiTheme="majorHAnsi" w:hAnsiTheme="majorHAnsi"/>
        </w:rPr>
        <w:t xml:space="preserve"> 22 of the CRC </w:t>
      </w:r>
      <w:r w:rsidR="00E15AED" w:rsidRPr="00473EE5">
        <w:rPr>
          <w:rFonts w:asciiTheme="majorHAnsi" w:hAnsiTheme="majorHAnsi"/>
        </w:rPr>
        <w:t>and</w:t>
      </w:r>
      <w:r w:rsidR="00370064" w:rsidRPr="00473EE5">
        <w:rPr>
          <w:rFonts w:asciiTheme="majorHAnsi" w:hAnsiTheme="majorHAnsi"/>
        </w:rPr>
        <w:t xml:space="preserve"> 23 of the African </w:t>
      </w:r>
      <w:r w:rsidR="00E15AED" w:rsidRPr="00473EE5">
        <w:rPr>
          <w:rFonts w:asciiTheme="majorHAnsi" w:hAnsiTheme="majorHAnsi"/>
        </w:rPr>
        <w:t xml:space="preserve">Charter on the Rights and Welfare of the Child, which guarantee appropriate protection and humanitarian assistance to refugee children; and Article 9 of the </w:t>
      </w:r>
      <w:r w:rsidR="00E15AED" w:rsidRPr="00473EE5">
        <w:rPr>
          <w:rFonts w:asciiTheme="majorHAnsi" w:hAnsiTheme="majorHAnsi" w:cs="Times New Roman"/>
        </w:rPr>
        <w:t>Convention of Belém do Pará</w:t>
      </w:r>
      <w:r w:rsidR="00E15AED" w:rsidRPr="00473EE5">
        <w:rPr>
          <w:rFonts w:asciiTheme="majorHAnsi" w:hAnsiTheme="majorHAnsi"/>
        </w:rPr>
        <w:t xml:space="preserve">, which </w:t>
      </w:r>
      <w:r w:rsidR="00101133" w:rsidRPr="00473EE5">
        <w:rPr>
          <w:rFonts w:asciiTheme="majorHAnsi" w:hAnsiTheme="majorHAnsi"/>
        </w:rPr>
        <w:t xml:space="preserve">requires states to take </w:t>
      </w:r>
      <w:r w:rsidR="00101133" w:rsidRPr="00473EE5">
        <w:rPr>
          <w:rFonts w:asciiTheme="majorHAnsi" w:hAnsiTheme="majorHAnsi"/>
        </w:rPr>
        <w:lastRenderedPageBreak/>
        <w:t xml:space="preserve">special account of women’s vulnerability to violence because of their race, ethnic background or status as migrants, refugees or displaced persons, as well as those who are pregnant, disabled, minors, elderly, socioeconomically disadvantaged, affected by armed conflict or deprived of their freedom. </w:t>
      </w:r>
    </w:p>
    <w:p w14:paraId="2C680EDD" w14:textId="77777777" w:rsidR="002F55AB" w:rsidRPr="00473EE5" w:rsidRDefault="002F55AB" w:rsidP="00F84D2C">
      <w:pPr>
        <w:jc w:val="both"/>
        <w:rPr>
          <w:rFonts w:asciiTheme="majorHAnsi" w:hAnsiTheme="majorHAnsi"/>
        </w:rPr>
      </w:pPr>
    </w:p>
    <w:p w14:paraId="6B573572" w14:textId="2F47A023" w:rsidR="00DB5185" w:rsidRPr="00473EE5" w:rsidRDefault="00F84D2C" w:rsidP="00945E71">
      <w:pPr>
        <w:pStyle w:val="ListParagraph"/>
        <w:numPr>
          <w:ilvl w:val="0"/>
          <w:numId w:val="17"/>
        </w:numPr>
        <w:spacing w:line="360" w:lineRule="auto"/>
        <w:jc w:val="both"/>
        <w:rPr>
          <w:rFonts w:asciiTheme="majorHAnsi" w:hAnsiTheme="majorHAnsi"/>
        </w:rPr>
      </w:pPr>
      <w:r w:rsidRPr="00473EE5">
        <w:rPr>
          <w:rFonts w:asciiTheme="majorHAnsi" w:hAnsiTheme="majorHAnsi"/>
        </w:rPr>
        <w:t xml:space="preserve">SCR 1325 encourages all actors involved in planning for </w:t>
      </w:r>
      <w:r w:rsidRPr="00473EE5">
        <w:rPr>
          <w:rFonts w:asciiTheme="majorHAnsi" w:hAnsiTheme="majorHAnsi"/>
          <w:b/>
          <w:color w:val="4F81BD" w:themeColor="accent1"/>
        </w:rPr>
        <w:t>disarmament, demobilization</w:t>
      </w:r>
      <w:r w:rsidRPr="00473EE5">
        <w:rPr>
          <w:rFonts w:asciiTheme="majorHAnsi" w:hAnsiTheme="majorHAnsi"/>
          <w:color w:val="4F81BD" w:themeColor="accent1"/>
        </w:rPr>
        <w:t xml:space="preserve"> and </w:t>
      </w:r>
      <w:r w:rsidRPr="00473EE5">
        <w:rPr>
          <w:rFonts w:asciiTheme="majorHAnsi" w:hAnsiTheme="majorHAnsi"/>
          <w:b/>
          <w:color w:val="4F81BD" w:themeColor="accent1"/>
        </w:rPr>
        <w:t>r</w:t>
      </w:r>
      <w:r w:rsidR="00CA44DA" w:rsidRPr="00473EE5">
        <w:rPr>
          <w:rFonts w:asciiTheme="majorHAnsi" w:hAnsiTheme="majorHAnsi"/>
          <w:b/>
          <w:color w:val="4F81BD" w:themeColor="accent1"/>
        </w:rPr>
        <w:t>eintegration</w:t>
      </w:r>
      <w:r w:rsidR="00CA44DA" w:rsidRPr="00473EE5">
        <w:rPr>
          <w:rFonts w:asciiTheme="majorHAnsi" w:hAnsiTheme="majorHAnsi"/>
        </w:rPr>
        <w:t xml:space="preserve"> (DDR) to consider </w:t>
      </w:r>
      <w:r w:rsidR="00CA44DA" w:rsidRPr="00473EE5">
        <w:rPr>
          <w:rFonts w:asciiTheme="majorHAnsi" w:hAnsiTheme="majorHAnsi"/>
          <w:b/>
          <w:color w:val="4F81BD" w:themeColor="accent1"/>
        </w:rPr>
        <w:t>female and male combatants’ different needs</w:t>
      </w:r>
      <w:r w:rsidR="00CA44DA" w:rsidRPr="00473EE5">
        <w:rPr>
          <w:rFonts w:asciiTheme="majorHAnsi" w:hAnsiTheme="majorHAnsi"/>
        </w:rPr>
        <w:t xml:space="preserve"> and to consider the needs of their dependents.</w:t>
      </w:r>
      <w:r w:rsidR="00B36A3E" w:rsidRPr="00473EE5">
        <w:rPr>
          <w:rFonts w:asciiTheme="majorHAnsi" w:hAnsiTheme="majorHAnsi"/>
        </w:rPr>
        <w:t xml:space="preserve"> </w:t>
      </w:r>
      <w:r w:rsidR="00817818" w:rsidRPr="00473EE5">
        <w:rPr>
          <w:rFonts w:asciiTheme="majorHAnsi" w:hAnsiTheme="majorHAnsi"/>
        </w:rPr>
        <w:t>International human rights law and IHL provide the guiding principles for</w:t>
      </w:r>
      <w:r w:rsidR="00175D4C" w:rsidRPr="00473EE5">
        <w:rPr>
          <w:rFonts w:asciiTheme="majorHAnsi" w:hAnsiTheme="majorHAnsi"/>
        </w:rPr>
        <w:t xml:space="preserve"> DDR policies and programmes</w:t>
      </w:r>
      <w:r w:rsidR="007C74FB" w:rsidRPr="00473EE5">
        <w:rPr>
          <w:rFonts w:asciiTheme="majorHAnsi" w:hAnsiTheme="majorHAnsi"/>
        </w:rPr>
        <w:t xml:space="preserve">, </w:t>
      </w:r>
      <w:r w:rsidR="00F56490" w:rsidRPr="00473EE5">
        <w:rPr>
          <w:rFonts w:asciiTheme="majorHAnsi" w:hAnsiTheme="majorHAnsi"/>
        </w:rPr>
        <w:t>v</w:t>
      </w:r>
      <w:r w:rsidR="007C74FB" w:rsidRPr="00473EE5">
        <w:rPr>
          <w:rFonts w:asciiTheme="majorHAnsi" w:hAnsiTheme="majorHAnsi"/>
        </w:rPr>
        <w:t>i</w:t>
      </w:r>
      <w:r w:rsidR="00F56490" w:rsidRPr="00473EE5">
        <w:rPr>
          <w:rFonts w:asciiTheme="majorHAnsi" w:hAnsiTheme="majorHAnsi"/>
        </w:rPr>
        <w:t>a treaties and custom</w:t>
      </w:r>
      <w:r w:rsidR="00E4120D" w:rsidRPr="00473EE5">
        <w:rPr>
          <w:rFonts w:asciiTheme="majorHAnsi" w:hAnsiTheme="majorHAnsi"/>
        </w:rPr>
        <w:t>:</w:t>
      </w:r>
      <w:r w:rsidR="00817818" w:rsidRPr="00473EE5">
        <w:rPr>
          <w:rFonts w:asciiTheme="majorHAnsi" w:hAnsiTheme="majorHAnsi"/>
        </w:rPr>
        <w:t xml:space="preserve"> </w:t>
      </w:r>
      <w:r w:rsidR="006E35CE" w:rsidRPr="00473EE5">
        <w:rPr>
          <w:rStyle w:val="FootnoteReference"/>
          <w:rFonts w:asciiTheme="majorHAnsi" w:hAnsiTheme="majorHAnsi"/>
        </w:rPr>
        <w:footnoteReference w:id="43"/>
      </w:r>
    </w:p>
    <w:p w14:paraId="1301927F" w14:textId="77777777" w:rsidR="00E4120D" w:rsidRPr="00473EE5" w:rsidRDefault="00E4120D" w:rsidP="00E4120D">
      <w:pPr>
        <w:pStyle w:val="ListParagraph"/>
        <w:ind w:left="360"/>
        <w:jc w:val="both"/>
        <w:rPr>
          <w:rFonts w:asciiTheme="majorHAnsi" w:hAnsiTheme="majorHAnsi"/>
        </w:rPr>
      </w:pPr>
    </w:p>
    <w:p w14:paraId="5B9FB78D" w14:textId="25EDA282" w:rsidR="006E35CE" w:rsidRPr="00473EE5" w:rsidRDefault="00612C55" w:rsidP="00C51E5E">
      <w:pPr>
        <w:pStyle w:val="ListParagraph"/>
        <w:numPr>
          <w:ilvl w:val="0"/>
          <w:numId w:val="18"/>
        </w:numPr>
        <w:spacing w:line="360" w:lineRule="auto"/>
        <w:ind w:left="851" w:hanging="425"/>
        <w:jc w:val="both"/>
        <w:rPr>
          <w:rFonts w:asciiTheme="majorHAnsi" w:hAnsiTheme="majorHAnsi"/>
        </w:rPr>
      </w:pPr>
      <w:r w:rsidRPr="00473EE5">
        <w:rPr>
          <w:rFonts w:asciiTheme="majorHAnsi" w:hAnsiTheme="majorHAnsi"/>
        </w:rPr>
        <w:t xml:space="preserve">Articles 1-4(1), </w:t>
      </w:r>
      <w:r w:rsidR="005B2CAB" w:rsidRPr="00473EE5">
        <w:rPr>
          <w:rFonts w:asciiTheme="majorHAnsi" w:hAnsiTheme="majorHAnsi"/>
        </w:rPr>
        <w:t>5(a)</w:t>
      </w:r>
      <w:r w:rsidR="00B42DB6" w:rsidRPr="00473EE5">
        <w:rPr>
          <w:rFonts w:asciiTheme="majorHAnsi" w:hAnsiTheme="majorHAnsi"/>
        </w:rPr>
        <w:t xml:space="preserve"> and 6</w:t>
      </w:r>
      <w:r w:rsidR="005B2CAB" w:rsidRPr="00473EE5">
        <w:rPr>
          <w:rFonts w:asciiTheme="majorHAnsi" w:hAnsiTheme="majorHAnsi"/>
        </w:rPr>
        <w:t xml:space="preserve"> of CEDAW are relevant</w:t>
      </w:r>
      <w:r w:rsidRPr="00473EE5">
        <w:rPr>
          <w:rFonts w:asciiTheme="majorHAnsi" w:hAnsiTheme="majorHAnsi"/>
        </w:rPr>
        <w:t xml:space="preserve">. </w:t>
      </w:r>
      <w:r w:rsidR="005D697C" w:rsidRPr="00473EE5">
        <w:rPr>
          <w:rFonts w:asciiTheme="majorHAnsi" w:hAnsiTheme="majorHAnsi"/>
        </w:rPr>
        <w:t>The CEDAW</w:t>
      </w:r>
      <w:r w:rsidR="001A1021" w:rsidRPr="00473EE5">
        <w:rPr>
          <w:rFonts w:asciiTheme="majorHAnsi" w:hAnsiTheme="majorHAnsi"/>
        </w:rPr>
        <w:t xml:space="preserve"> </w:t>
      </w:r>
      <w:r w:rsidR="00967A87" w:rsidRPr="00473EE5">
        <w:rPr>
          <w:rFonts w:asciiTheme="majorHAnsi" w:hAnsiTheme="majorHAnsi"/>
        </w:rPr>
        <w:t>GR No. 30</w:t>
      </w:r>
      <w:r w:rsidR="006671E8" w:rsidRPr="00473EE5">
        <w:rPr>
          <w:rFonts w:asciiTheme="majorHAnsi" w:hAnsiTheme="majorHAnsi"/>
        </w:rPr>
        <w:t xml:space="preserve"> recommends that states: develop and implement DDR programmes in coordination and within the framework of security sector reform; undertake gender-sensitive and gender-responsive security sector reform resulting in representative security sector institutions that both address women’s different security experiences and priorities, and liaise with women and women’s organizations; </w:t>
      </w:r>
      <w:r w:rsidR="007C74FB" w:rsidRPr="00473EE5">
        <w:rPr>
          <w:rFonts w:asciiTheme="majorHAnsi" w:hAnsiTheme="majorHAnsi"/>
        </w:rPr>
        <w:t>ensure that security sector reform has inclusive oversight and accountability mechanisms with sanctions, which includes vetting ex-combatants, creating special protocols and units to investigate gender-based violations, and strengthening gender expertise and women’s roles; and ensuring women’s equal participation at all stages of DDR, from negotiating peace agreements to creating national institutions to design and implement programmes. These provisions are supported by customary IHL and the practices of states</w:t>
      </w:r>
      <w:r w:rsidR="005D697C" w:rsidRPr="00473EE5">
        <w:rPr>
          <w:rFonts w:asciiTheme="majorHAnsi" w:hAnsiTheme="majorHAnsi"/>
        </w:rPr>
        <w:t xml:space="preserve">, </w:t>
      </w:r>
      <w:r w:rsidR="007C74FB" w:rsidRPr="00473EE5">
        <w:rPr>
          <w:rFonts w:asciiTheme="majorHAnsi" w:hAnsiTheme="majorHAnsi"/>
        </w:rPr>
        <w:t>international organizations and conferences.</w:t>
      </w:r>
      <w:r w:rsidR="00382383" w:rsidRPr="00473EE5">
        <w:rPr>
          <w:rFonts w:asciiTheme="majorHAnsi" w:hAnsiTheme="majorHAnsi"/>
        </w:rPr>
        <w:t xml:space="preserve"> </w:t>
      </w:r>
    </w:p>
    <w:p w14:paraId="1A0A00E7" w14:textId="6E441112" w:rsidR="006E35CE" w:rsidRPr="00473EE5" w:rsidRDefault="00116BDF" w:rsidP="00C51E5E">
      <w:pPr>
        <w:pStyle w:val="ListParagraph"/>
        <w:numPr>
          <w:ilvl w:val="0"/>
          <w:numId w:val="18"/>
        </w:numPr>
        <w:spacing w:line="360" w:lineRule="auto"/>
        <w:ind w:left="851" w:hanging="425"/>
        <w:jc w:val="both"/>
        <w:rPr>
          <w:rFonts w:asciiTheme="majorHAnsi" w:hAnsiTheme="majorHAnsi"/>
        </w:rPr>
      </w:pPr>
      <w:r w:rsidRPr="00473EE5">
        <w:rPr>
          <w:rFonts w:asciiTheme="majorHAnsi" w:hAnsiTheme="majorHAnsi"/>
        </w:rPr>
        <w:t>Protections relating to</w:t>
      </w:r>
      <w:r w:rsidR="00DD65C7" w:rsidRPr="00473EE5">
        <w:rPr>
          <w:rFonts w:asciiTheme="majorHAnsi" w:hAnsiTheme="majorHAnsi"/>
        </w:rPr>
        <w:t xml:space="preserve"> DDR and</w:t>
      </w:r>
      <w:r w:rsidRPr="00473EE5">
        <w:rPr>
          <w:rFonts w:asciiTheme="majorHAnsi" w:hAnsiTheme="majorHAnsi"/>
        </w:rPr>
        <w:t xml:space="preserve"> children</w:t>
      </w:r>
      <w:r w:rsidR="00C02E35" w:rsidRPr="00473EE5">
        <w:rPr>
          <w:rFonts w:asciiTheme="majorHAnsi" w:hAnsiTheme="majorHAnsi"/>
        </w:rPr>
        <w:t xml:space="preserve">, including </w:t>
      </w:r>
      <w:r w:rsidR="00DD65C7" w:rsidRPr="00473EE5">
        <w:rPr>
          <w:rFonts w:asciiTheme="majorHAnsi" w:hAnsiTheme="majorHAnsi"/>
        </w:rPr>
        <w:t>child soldiers</w:t>
      </w:r>
      <w:r w:rsidR="00C02E35" w:rsidRPr="00473EE5">
        <w:rPr>
          <w:rFonts w:asciiTheme="majorHAnsi" w:hAnsiTheme="majorHAnsi"/>
        </w:rPr>
        <w:t>,</w:t>
      </w:r>
      <w:r w:rsidRPr="00473EE5">
        <w:rPr>
          <w:rFonts w:asciiTheme="majorHAnsi" w:hAnsiTheme="majorHAnsi"/>
        </w:rPr>
        <w:t xml:space="preserve"> are outlined in </w:t>
      </w:r>
      <w:r w:rsidR="005B2CAB" w:rsidRPr="00473EE5">
        <w:rPr>
          <w:rFonts w:asciiTheme="majorHAnsi" w:hAnsiTheme="majorHAnsi"/>
        </w:rPr>
        <w:t>Article 39 of the CRC</w:t>
      </w:r>
      <w:r w:rsidR="005D697C" w:rsidRPr="00473EE5">
        <w:rPr>
          <w:rFonts w:asciiTheme="majorHAnsi" w:hAnsiTheme="majorHAnsi"/>
        </w:rPr>
        <w:t>,</w:t>
      </w:r>
      <w:r w:rsidR="005B2CAB" w:rsidRPr="00473EE5">
        <w:rPr>
          <w:rFonts w:asciiTheme="majorHAnsi" w:hAnsiTheme="majorHAnsi"/>
        </w:rPr>
        <w:t xml:space="preserve"> which requires states to promote the physical and psychological recovery and social reintegration of a child victim of armed conflict or any other form of neglect, exploitation, abuse, torture or cruel, inhuman or degrading treatment</w:t>
      </w:r>
      <w:r w:rsidR="00B42DB6" w:rsidRPr="00473EE5">
        <w:rPr>
          <w:rFonts w:asciiTheme="majorHAnsi" w:hAnsiTheme="majorHAnsi"/>
        </w:rPr>
        <w:t>, in an environment that foster</w:t>
      </w:r>
      <w:r w:rsidR="00F3615E" w:rsidRPr="00473EE5">
        <w:rPr>
          <w:rFonts w:asciiTheme="majorHAnsi" w:hAnsiTheme="majorHAnsi"/>
        </w:rPr>
        <w:t>s</w:t>
      </w:r>
      <w:r w:rsidR="00B42DB6" w:rsidRPr="00473EE5">
        <w:rPr>
          <w:rFonts w:asciiTheme="majorHAnsi" w:hAnsiTheme="majorHAnsi"/>
        </w:rPr>
        <w:t xml:space="preserve"> the child’s health, self-respect and dignity</w:t>
      </w:r>
      <w:r w:rsidR="005B2CAB" w:rsidRPr="00473EE5">
        <w:rPr>
          <w:rFonts w:asciiTheme="majorHAnsi" w:hAnsiTheme="majorHAnsi"/>
        </w:rPr>
        <w:t xml:space="preserve">. </w:t>
      </w:r>
      <w:r w:rsidR="00DD65C7" w:rsidRPr="00473EE5">
        <w:rPr>
          <w:rFonts w:asciiTheme="majorHAnsi" w:hAnsiTheme="majorHAnsi"/>
        </w:rPr>
        <w:t xml:space="preserve">Articles 6 and 7 of </w:t>
      </w:r>
      <w:r w:rsidR="00594E05" w:rsidRPr="00473EE5">
        <w:rPr>
          <w:rFonts w:asciiTheme="majorHAnsi" w:hAnsiTheme="majorHAnsi"/>
        </w:rPr>
        <w:t>the CRC Optional Protocol on the Involvement</w:t>
      </w:r>
      <w:r w:rsidR="005D697C" w:rsidRPr="00473EE5">
        <w:rPr>
          <w:rFonts w:asciiTheme="majorHAnsi" w:hAnsiTheme="majorHAnsi"/>
        </w:rPr>
        <w:t xml:space="preserve"> of Children in Armed Conflicts</w:t>
      </w:r>
      <w:r w:rsidR="00594E05" w:rsidRPr="00473EE5">
        <w:rPr>
          <w:rFonts w:asciiTheme="majorHAnsi" w:hAnsiTheme="majorHAnsi"/>
        </w:rPr>
        <w:t xml:space="preserve"> require states to ensure that persons within their jurisdiction </w:t>
      </w:r>
      <w:r w:rsidR="00DD65C7" w:rsidRPr="00473EE5">
        <w:rPr>
          <w:rFonts w:asciiTheme="majorHAnsi" w:hAnsiTheme="majorHAnsi"/>
        </w:rPr>
        <w:t xml:space="preserve">who are recruited or used in hostilities are demobilized or otherwise released from service, and to cooperate </w:t>
      </w:r>
      <w:r w:rsidR="00F3615E" w:rsidRPr="00473EE5">
        <w:rPr>
          <w:rFonts w:asciiTheme="majorHAnsi" w:hAnsiTheme="majorHAnsi"/>
        </w:rPr>
        <w:t xml:space="preserve">to achieve this </w:t>
      </w:r>
      <w:r w:rsidR="00DD65C7" w:rsidRPr="00473EE5">
        <w:rPr>
          <w:rFonts w:asciiTheme="majorHAnsi" w:hAnsiTheme="majorHAnsi"/>
        </w:rPr>
        <w:t xml:space="preserve">via technical and financial assistance, respectively. </w:t>
      </w:r>
      <w:r w:rsidR="00AE4CA0" w:rsidRPr="00473EE5">
        <w:rPr>
          <w:rFonts w:asciiTheme="majorHAnsi" w:hAnsiTheme="majorHAnsi"/>
        </w:rPr>
        <w:t xml:space="preserve"> </w:t>
      </w:r>
      <w:r w:rsidR="005D697C" w:rsidRPr="00473EE5">
        <w:rPr>
          <w:rFonts w:asciiTheme="majorHAnsi" w:hAnsiTheme="majorHAnsi"/>
        </w:rPr>
        <w:t>These protections are</w:t>
      </w:r>
      <w:r w:rsidR="005B2CAB" w:rsidRPr="00473EE5">
        <w:rPr>
          <w:rFonts w:asciiTheme="majorHAnsi" w:hAnsiTheme="majorHAnsi"/>
        </w:rPr>
        <w:t xml:space="preserve"> supplemented by regional agreements, </w:t>
      </w:r>
      <w:r w:rsidR="005D697C" w:rsidRPr="00473EE5">
        <w:rPr>
          <w:rFonts w:asciiTheme="majorHAnsi" w:hAnsiTheme="majorHAnsi"/>
        </w:rPr>
        <w:t xml:space="preserve">and the practices of states, </w:t>
      </w:r>
      <w:r w:rsidR="005B2CAB" w:rsidRPr="00473EE5">
        <w:rPr>
          <w:rFonts w:asciiTheme="majorHAnsi" w:hAnsiTheme="majorHAnsi"/>
        </w:rPr>
        <w:t>international organizations and conferences.</w:t>
      </w:r>
      <w:r w:rsidR="00CA44DA" w:rsidRPr="00473EE5">
        <w:rPr>
          <w:rFonts w:asciiTheme="majorHAnsi" w:hAnsiTheme="majorHAnsi"/>
        </w:rPr>
        <w:t xml:space="preserve"> </w:t>
      </w:r>
    </w:p>
    <w:p w14:paraId="7CEF9326" w14:textId="0CF2A97E" w:rsidR="00083D64" w:rsidRPr="00473EE5" w:rsidRDefault="00612C55" w:rsidP="00C51E5E">
      <w:pPr>
        <w:pStyle w:val="ListParagraph"/>
        <w:numPr>
          <w:ilvl w:val="0"/>
          <w:numId w:val="18"/>
        </w:numPr>
        <w:spacing w:line="360" w:lineRule="auto"/>
        <w:ind w:left="851" w:hanging="425"/>
        <w:jc w:val="both"/>
        <w:rPr>
          <w:rFonts w:asciiTheme="majorHAnsi" w:hAnsiTheme="majorHAnsi"/>
        </w:rPr>
      </w:pPr>
      <w:r w:rsidRPr="00473EE5">
        <w:rPr>
          <w:rFonts w:asciiTheme="majorHAnsi" w:hAnsiTheme="majorHAnsi"/>
        </w:rPr>
        <w:lastRenderedPageBreak/>
        <w:t>Dependents’ needs</w:t>
      </w:r>
      <w:r w:rsidR="005B2CAB" w:rsidRPr="00473EE5">
        <w:rPr>
          <w:rFonts w:asciiTheme="majorHAnsi" w:hAnsiTheme="majorHAnsi"/>
        </w:rPr>
        <w:t xml:space="preserve"> are protected by the</w:t>
      </w:r>
      <w:r w:rsidRPr="00473EE5">
        <w:rPr>
          <w:rFonts w:asciiTheme="majorHAnsi" w:hAnsiTheme="majorHAnsi"/>
        </w:rPr>
        <w:t xml:space="preserve"> Refugee Convention’s </w:t>
      </w:r>
      <w:r w:rsidR="005B2CAB" w:rsidRPr="00473EE5">
        <w:rPr>
          <w:rFonts w:asciiTheme="majorHAnsi" w:hAnsiTheme="majorHAnsi"/>
        </w:rPr>
        <w:t>principle</w:t>
      </w:r>
      <w:r w:rsidR="00B42DB6" w:rsidRPr="00473EE5">
        <w:rPr>
          <w:rFonts w:asciiTheme="majorHAnsi" w:hAnsiTheme="majorHAnsi"/>
        </w:rPr>
        <w:t xml:space="preserve"> </w:t>
      </w:r>
      <w:r w:rsidRPr="00473EE5">
        <w:rPr>
          <w:rFonts w:asciiTheme="majorHAnsi" w:hAnsiTheme="majorHAnsi"/>
        </w:rPr>
        <w:t>of family unity</w:t>
      </w:r>
      <w:r w:rsidR="005B2CAB" w:rsidRPr="00473EE5">
        <w:rPr>
          <w:rFonts w:asciiTheme="majorHAnsi" w:hAnsiTheme="majorHAnsi"/>
        </w:rPr>
        <w:t>, which recommends that states:</w:t>
      </w:r>
      <w:r w:rsidRPr="00473EE5">
        <w:rPr>
          <w:rFonts w:asciiTheme="majorHAnsi" w:hAnsiTheme="majorHAnsi"/>
        </w:rPr>
        <w:t xml:space="preserve"> encourage refugee family unit especially the protection of refugees who are minors, in particular unaccompanied children and girls. </w:t>
      </w:r>
    </w:p>
    <w:p w14:paraId="59898CFD" w14:textId="755FC20C" w:rsidR="005B2CAB" w:rsidRPr="00083D64" w:rsidRDefault="00083D64" w:rsidP="00083D64">
      <w:pPr>
        <w:rPr>
          <w:rFonts w:ascii="Calibri" w:hAnsi="Calibri"/>
        </w:rPr>
      </w:pPr>
      <w:r>
        <w:rPr>
          <w:rFonts w:ascii="Calibri" w:hAnsi="Calibri"/>
        </w:rPr>
        <w:br w:type="page"/>
      </w:r>
    </w:p>
    <w:p w14:paraId="5F09E37E" w14:textId="2B2D9843" w:rsidR="00541F2C" w:rsidRPr="003742A9" w:rsidRDefault="003742A9" w:rsidP="007A7F07">
      <w:pPr>
        <w:pStyle w:val="Title"/>
        <w:jc w:val="center"/>
        <w:rPr>
          <w:sz w:val="32"/>
          <w:szCs w:val="32"/>
        </w:rPr>
      </w:pPr>
      <w:r w:rsidRPr="003742A9">
        <w:rPr>
          <w:spacing w:val="14"/>
          <w:sz w:val="32"/>
          <w:szCs w:val="32"/>
        </w:rPr>
        <w:lastRenderedPageBreak/>
        <w:t>SCR 1325</w:t>
      </w:r>
      <w:r>
        <w:rPr>
          <w:spacing w:val="14"/>
          <w:sz w:val="32"/>
          <w:szCs w:val="32"/>
        </w:rPr>
        <w:t xml:space="preserve">, THE OTHER RESOLUTIONS ON WOMEN, PEACE AND SECURITY AND INTERNATIONAL LAW </w:t>
      </w:r>
      <w:r w:rsidRPr="003742A9">
        <w:rPr>
          <w:spacing w:val="14"/>
          <w:sz w:val="32"/>
          <w:szCs w:val="32"/>
        </w:rPr>
        <w:t xml:space="preserve"> </w:t>
      </w:r>
    </w:p>
    <w:p w14:paraId="3FCD0D51" w14:textId="6512B441" w:rsidR="00175D4C" w:rsidRPr="00473EE5" w:rsidRDefault="00C44DB8" w:rsidP="00C51E5E">
      <w:pPr>
        <w:spacing w:line="360" w:lineRule="auto"/>
        <w:jc w:val="both"/>
        <w:rPr>
          <w:rFonts w:ascii="Calibri" w:hAnsi="Calibri"/>
        </w:rPr>
      </w:pPr>
      <w:r w:rsidRPr="00473EE5">
        <w:rPr>
          <w:rFonts w:ascii="Calibri" w:hAnsi="Calibri"/>
        </w:rPr>
        <w:t>The</w:t>
      </w:r>
      <w:r w:rsidR="00083D64" w:rsidRPr="00473EE5">
        <w:rPr>
          <w:rFonts w:ascii="Calibri" w:hAnsi="Calibri"/>
        </w:rPr>
        <w:t xml:space="preserve"> Security Council Resolutions on </w:t>
      </w:r>
      <w:r w:rsidRPr="00473EE5">
        <w:rPr>
          <w:rFonts w:ascii="Calibri" w:hAnsi="Calibri"/>
        </w:rPr>
        <w:t>women, peace and security</w:t>
      </w:r>
      <w:r w:rsidR="007A7F07" w:rsidRPr="00473EE5">
        <w:rPr>
          <w:rFonts w:ascii="Calibri" w:hAnsi="Calibri"/>
        </w:rPr>
        <w:t xml:space="preserve"> (WPS)</w:t>
      </w:r>
      <w:r w:rsidRPr="00473EE5">
        <w:rPr>
          <w:rFonts w:ascii="Calibri" w:hAnsi="Calibri"/>
        </w:rPr>
        <w:t xml:space="preserve"> that follow SCR </w:t>
      </w:r>
      <w:r w:rsidR="00472DA2" w:rsidRPr="00473EE5">
        <w:rPr>
          <w:rFonts w:ascii="Calibri" w:hAnsi="Calibri"/>
        </w:rPr>
        <w:t>1325</w:t>
      </w:r>
      <w:r w:rsidR="00083D64" w:rsidRPr="00473EE5">
        <w:rPr>
          <w:rFonts w:ascii="Calibri" w:hAnsi="Calibri"/>
        </w:rPr>
        <w:t xml:space="preserve"> </w:t>
      </w:r>
      <w:r w:rsidR="00F3615E" w:rsidRPr="00473EE5">
        <w:rPr>
          <w:rFonts w:ascii="Calibri" w:hAnsi="Calibri"/>
        </w:rPr>
        <w:t>also reflect and reinforce existing pr</w:t>
      </w:r>
      <w:r w:rsidR="00083D64" w:rsidRPr="00473EE5">
        <w:rPr>
          <w:rFonts w:ascii="Calibri" w:hAnsi="Calibri"/>
        </w:rPr>
        <w:t>inciples of international law:</w:t>
      </w:r>
    </w:p>
    <w:p w14:paraId="6A0718B0" w14:textId="77777777" w:rsidR="00C51E5E" w:rsidRPr="00473EE5" w:rsidRDefault="00C51E5E" w:rsidP="00C51E5E">
      <w:pPr>
        <w:jc w:val="both"/>
        <w:rPr>
          <w:rFonts w:ascii="Calibri" w:hAnsi="Calibri"/>
        </w:rPr>
      </w:pPr>
    </w:p>
    <w:p w14:paraId="047EF4D0" w14:textId="1712CE7A" w:rsidR="00115F49" w:rsidRPr="00473EE5" w:rsidRDefault="00115F49" w:rsidP="00C51E5E">
      <w:pPr>
        <w:pStyle w:val="ListParagraph"/>
        <w:numPr>
          <w:ilvl w:val="0"/>
          <w:numId w:val="31"/>
        </w:numPr>
        <w:spacing w:line="360" w:lineRule="auto"/>
        <w:jc w:val="both"/>
        <w:rPr>
          <w:rFonts w:ascii="Calibri" w:hAnsi="Calibri"/>
        </w:rPr>
      </w:pPr>
      <w:r w:rsidRPr="00473EE5">
        <w:rPr>
          <w:rFonts w:ascii="Calibri" w:hAnsi="Calibri"/>
        </w:rPr>
        <w:t xml:space="preserve">SCR 1820 (2008) which </w:t>
      </w:r>
      <w:r w:rsidR="00D046F8" w:rsidRPr="00473EE5">
        <w:rPr>
          <w:rFonts w:ascii="Calibri" w:hAnsi="Calibri"/>
        </w:rPr>
        <w:t>re</w:t>
      </w:r>
      <w:r w:rsidRPr="00473EE5">
        <w:rPr>
          <w:rFonts w:ascii="Calibri" w:hAnsi="Calibri"/>
        </w:rPr>
        <w:t>affirms</w:t>
      </w:r>
      <w:r w:rsidR="00F3615E" w:rsidRPr="00473EE5">
        <w:rPr>
          <w:rFonts w:ascii="Calibri" w:hAnsi="Calibri"/>
        </w:rPr>
        <w:t xml:space="preserve"> that</w:t>
      </w:r>
      <w:r w:rsidRPr="00473EE5">
        <w:rPr>
          <w:rFonts w:ascii="Calibri" w:hAnsi="Calibri"/>
        </w:rPr>
        <w:t xml:space="preserve"> rape and sexu</w:t>
      </w:r>
      <w:r w:rsidR="00F3615E" w:rsidRPr="00473EE5">
        <w:rPr>
          <w:rFonts w:ascii="Calibri" w:hAnsi="Calibri"/>
        </w:rPr>
        <w:t>al violence are</w:t>
      </w:r>
      <w:r w:rsidRPr="00473EE5">
        <w:rPr>
          <w:rFonts w:ascii="Calibri" w:hAnsi="Calibri"/>
        </w:rPr>
        <w:t xml:space="preserve"> war crimes.</w:t>
      </w:r>
    </w:p>
    <w:p w14:paraId="1563BCD9" w14:textId="3163575C" w:rsidR="00231F15" w:rsidRPr="00473EE5" w:rsidRDefault="00C51E5E" w:rsidP="00C51E5E">
      <w:pPr>
        <w:pStyle w:val="ListParagraph"/>
        <w:numPr>
          <w:ilvl w:val="0"/>
          <w:numId w:val="31"/>
        </w:numPr>
        <w:spacing w:line="360" w:lineRule="auto"/>
        <w:jc w:val="both"/>
        <w:rPr>
          <w:rFonts w:ascii="Calibri" w:hAnsi="Calibri"/>
        </w:rPr>
      </w:pPr>
      <w:r w:rsidRPr="00473EE5">
        <w:rPr>
          <w:rFonts w:ascii="Calibri" w:hAnsi="Calibri"/>
        </w:rPr>
        <w:t xml:space="preserve">SCR 1888 (2009) </w:t>
      </w:r>
      <w:r w:rsidR="00231F15" w:rsidRPr="00473EE5">
        <w:rPr>
          <w:rFonts w:ascii="Calibri" w:hAnsi="Calibri"/>
        </w:rPr>
        <w:t>which creates the office of the Secretary-General’s Special Representative on Sexual Violence in Conflict</w:t>
      </w:r>
      <w:r w:rsidR="00C7202E" w:rsidRPr="00473EE5">
        <w:rPr>
          <w:rFonts w:ascii="Calibri" w:hAnsi="Calibri"/>
        </w:rPr>
        <w:t>.</w:t>
      </w:r>
      <w:r w:rsidR="00231F15" w:rsidRPr="00473EE5">
        <w:rPr>
          <w:rFonts w:ascii="Calibri" w:hAnsi="Calibri"/>
        </w:rPr>
        <w:t xml:space="preserve">  </w:t>
      </w:r>
    </w:p>
    <w:p w14:paraId="722A23FB" w14:textId="4ED3B055" w:rsidR="00115F49" w:rsidRPr="00473EE5" w:rsidRDefault="00115F49" w:rsidP="00C51E5E">
      <w:pPr>
        <w:pStyle w:val="ListParagraph"/>
        <w:numPr>
          <w:ilvl w:val="0"/>
          <w:numId w:val="31"/>
        </w:numPr>
        <w:spacing w:line="360" w:lineRule="auto"/>
        <w:jc w:val="both"/>
        <w:rPr>
          <w:rFonts w:ascii="Calibri" w:hAnsi="Calibri"/>
        </w:rPr>
      </w:pPr>
      <w:r w:rsidRPr="00473EE5">
        <w:rPr>
          <w:rFonts w:ascii="Calibri" w:hAnsi="Calibri"/>
        </w:rPr>
        <w:t xml:space="preserve">SCR 1889 (2009) which </w:t>
      </w:r>
      <w:r w:rsidR="00D046F8" w:rsidRPr="00473EE5">
        <w:rPr>
          <w:rFonts w:ascii="Calibri" w:hAnsi="Calibri"/>
        </w:rPr>
        <w:t>outlines</w:t>
      </w:r>
      <w:r w:rsidRPr="00473EE5">
        <w:rPr>
          <w:rFonts w:ascii="Calibri" w:hAnsi="Calibri"/>
        </w:rPr>
        <w:t xml:space="preserve"> women’s agency and participation in peace-building</w:t>
      </w:r>
      <w:r w:rsidR="00083D64" w:rsidRPr="00473EE5">
        <w:rPr>
          <w:rFonts w:ascii="Calibri" w:hAnsi="Calibri"/>
        </w:rPr>
        <w:t>.</w:t>
      </w:r>
    </w:p>
    <w:p w14:paraId="582CD494" w14:textId="2E9364F2" w:rsidR="00115F49" w:rsidRPr="00473EE5" w:rsidRDefault="00115F49" w:rsidP="00C51E5E">
      <w:pPr>
        <w:pStyle w:val="ListParagraph"/>
        <w:numPr>
          <w:ilvl w:val="0"/>
          <w:numId w:val="31"/>
        </w:numPr>
        <w:spacing w:line="360" w:lineRule="auto"/>
        <w:jc w:val="both"/>
        <w:rPr>
          <w:rFonts w:ascii="Calibri" w:hAnsi="Calibri"/>
        </w:rPr>
      </w:pPr>
      <w:r w:rsidRPr="00473EE5">
        <w:rPr>
          <w:rFonts w:ascii="Calibri" w:hAnsi="Calibri"/>
        </w:rPr>
        <w:t>SCR 1960 (2010) which addresses the accountability gaps in SCR 1325</w:t>
      </w:r>
      <w:r w:rsidR="00083D64" w:rsidRPr="00473EE5">
        <w:rPr>
          <w:rFonts w:ascii="Calibri" w:hAnsi="Calibri"/>
        </w:rPr>
        <w:t>.</w:t>
      </w:r>
    </w:p>
    <w:p w14:paraId="056EA17F" w14:textId="4C250F7C" w:rsidR="00115F49" w:rsidRPr="00473EE5" w:rsidRDefault="000F6CD9" w:rsidP="00C51E5E">
      <w:pPr>
        <w:pStyle w:val="ListParagraph"/>
        <w:numPr>
          <w:ilvl w:val="0"/>
          <w:numId w:val="31"/>
        </w:numPr>
        <w:spacing w:line="360" w:lineRule="auto"/>
        <w:jc w:val="both"/>
        <w:rPr>
          <w:rFonts w:ascii="Calibri" w:hAnsi="Calibri"/>
        </w:rPr>
      </w:pPr>
      <w:r w:rsidRPr="00473EE5">
        <w:rPr>
          <w:rFonts w:ascii="Calibri" w:hAnsi="Calibri"/>
        </w:rPr>
        <w:t>SCR 210</w:t>
      </w:r>
      <w:r w:rsidR="00115F49" w:rsidRPr="00473EE5">
        <w:rPr>
          <w:rFonts w:ascii="Calibri" w:hAnsi="Calibri"/>
        </w:rPr>
        <w:t xml:space="preserve">6 (2013) which </w:t>
      </w:r>
      <w:r w:rsidR="00D046F8" w:rsidRPr="00473EE5">
        <w:rPr>
          <w:rFonts w:ascii="Calibri" w:hAnsi="Calibri"/>
        </w:rPr>
        <w:t>deals with</w:t>
      </w:r>
      <w:r w:rsidR="00115F49" w:rsidRPr="00473EE5">
        <w:rPr>
          <w:rFonts w:ascii="Calibri" w:hAnsi="Calibri"/>
        </w:rPr>
        <w:t xml:space="preserve"> HIV/AIDS in conflict and post-conflict settings</w:t>
      </w:r>
      <w:r w:rsidR="00083D64" w:rsidRPr="00473EE5">
        <w:rPr>
          <w:rFonts w:ascii="Calibri" w:hAnsi="Calibri"/>
        </w:rPr>
        <w:t>.</w:t>
      </w:r>
      <w:r w:rsidR="00115F49" w:rsidRPr="00473EE5">
        <w:rPr>
          <w:rFonts w:ascii="Calibri" w:hAnsi="Calibri"/>
        </w:rPr>
        <w:t xml:space="preserve">  </w:t>
      </w:r>
    </w:p>
    <w:p w14:paraId="589D681C" w14:textId="2721959A" w:rsidR="00115F49" w:rsidRPr="00473EE5" w:rsidRDefault="00F3615E" w:rsidP="00C51E5E">
      <w:pPr>
        <w:pStyle w:val="ListParagraph"/>
        <w:numPr>
          <w:ilvl w:val="0"/>
          <w:numId w:val="31"/>
        </w:numPr>
        <w:spacing w:line="360" w:lineRule="auto"/>
        <w:jc w:val="both"/>
        <w:rPr>
          <w:rFonts w:ascii="Calibri" w:hAnsi="Calibri"/>
        </w:rPr>
      </w:pPr>
      <w:r w:rsidRPr="00473EE5">
        <w:rPr>
          <w:rFonts w:ascii="Calibri" w:hAnsi="Calibri"/>
        </w:rPr>
        <w:t xml:space="preserve">SCR 2122 (2013) </w:t>
      </w:r>
      <w:r w:rsidR="00115F49" w:rsidRPr="00473EE5">
        <w:rPr>
          <w:rFonts w:ascii="Calibri" w:hAnsi="Calibri"/>
        </w:rPr>
        <w:t xml:space="preserve">which is known as the SCR on women’s leadership. </w:t>
      </w:r>
    </w:p>
    <w:p w14:paraId="026E90BE" w14:textId="77777777" w:rsidR="006822E2" w:rsidRPr="00473EE5" w:rsidRDefault="006822E2" w:rsidP="003F32C3">
      <w:pPr>
        <w:jc w:val="both"/>
        <w:rPr>
          <w:rFonts w:ascii="Calibri" w:hAnsi="Calibri"/>
        </w:rPr>
      </w:pPr>
    </w:p>
    <w:p w14:paraId="7D7E4B2C" w14:textId="32AA9FED" w:rsidR="003F32C3" w:rsidRPr="00473EE5" w:rsidRDefault="00C44DB8" w:rsidP="00C51E5E">
      <w:pPr>
        <w:spacing w:line="360" w:lineRule="auto"/>
        <w:jc w:val="both"/>
        <w:rPr>
          <w:rFonts w:ascii="Calibri" w:hAnsi="Calibri"/>
          <w:b/>
        </w:rPr>
      </w:pPr>
      <w:r w:rsidRPr="00473EE5">
        <w:rPr>
          <w:rFonts w:ascii="Calibri" w:hAnsi="Calibri"/>
        </w:rPr>
        <w:t>As with SCR 1325, unders</w:t>
      </w:r>
      <w:r w:rsidR="005E6446" w:rsidRPr="00473EE5">
        <w:rPr>
          <w:rFonts w:ascii="Calibri" w:hAnsi="Calibri"/>
        </w:rPr>
        <w:t xml:space="preserve">tanding </w:t>
      </w:r>
      <w:r w:rsidRPr="00473EE5">
        <w:rPr>
          <w:rFonts w:ascii="Calibri" w:hAnsi="Calibri"/>
        </w:rPr>
        <w:t xml:space="preserve">these resolutions </w:t>
      </w:r>
      <w:r w:rsidR="005E6446" w:rsidRPr="00473EE5">
        <w:rPr>
          <w:rFonts w:ascii="Calibri" w:hAnsi="Calibri"/>
        </w:rPr>
        <w:t>as</w:t>
      </w:r>
      <w:r w:rsidRPr="00473EE5">
        <w:rPr>
          <w:rFonts w:ascii="Calibri" w:hAnsi="Calibri"/>
        </w:rPr>
        <w:t xml:space="preserve"> </w:t>
      </w:r>
      <w:r w:rsidR="006822E2" w:rsidRPr="00473EE5">
        <w:rPr>
          <w:rFonts w:ascii="Calibri" w:hAnsi="Calibri"/>
        </w:rPr>
        <w:t>part of</w:t>
      </w:r>
      <w:r w:rsidRPr="00473EE5">
        <w:rPr>
          <w:rFonts w:ascii="Calibri" w:hAnsi="Calibri"/>
        </w:rPr>
        <w:t xml:space="preserve"> a </w:t>
      </w:r>
      <w:r w:rsidR="006822E2" w:rsidRPr="00473EE5">
        <w:rPr>
          <w:rFonts w:ascii="Calibri" w:hAnsi="Calibri"/>
        </w:rPr>
        <w:t xml:space="preserve">broader </w:t>
      </w:r>
      <w:r w:rsidR="00D92533" w:rsidRPr="00473EE5">
        <w:rPr>
          <w:rFonts w:ascii="Calibri" w:hAnsi="Calibri"/>
        </w:rPr>
        <w:t>legal framework enhances the</w:t>
      </w:r>
      <w:r w:rsidRPr="00473EE5">
        <w:rPr>
          <w:rFonts w:ascii="Calibri" w:hAnsi="Calibri"/>
        </w:rPr>
        <w:t xml:space="preserve"> protections for women and girls</w:t>
      </w:r>
      <w:r w:rsidR="006822E2" w:rsidRPr="00473EE5">
        <w:rPr>
          <w:rFonts w:ascii="Calibri" w:hAnsi="Calibri"/>
        </w:rPr>
        <w:t xml:space="preserve"> affected by conflict. These resolutions should be read together with SCR 1325 for two key reasons. First, they </w:t>
      </w:r>
      <w:r w:rsidR="006822E2" w:rsidRPr="00473EE5">
        <w:rPr>
          <w:rFonts w:ascii="Calibri" w:hAnsi="Calibri"/>
          <w:b/>
          <w:color w:val="4F81BD" w:themeColor="accent1"/>
        </w:rPr>
        <w:t xml:space="preserve">provide a fuller </w:t>
      </w:r>
      <w:r w:rsidR="00D92533" w:rsidRPr="00473EE5">
        <w:rPr>
          <w:rFonts w:ascii="Calibri" w:hAnsi="Calibri"/>
          <w:b/>
          <w:color w:val="4F81BD" w:themeColor="accent1"/>
        </w:rPr>
        <w:t>picture of the Security Council</w:t>
      </w:r>
      <w:r w:rsidR="006822E2" w:rsidRPr="00473EE5">
        <w:rPr>
          <w:rFonts w:ascii="Calibri" w:hAnsi="Calibri"/>
          <w:b/>
          <w:color w:val="4F81BD" w:themeColor="accent1"/>
        </w:rPr>
        <w:t>’</w:t>
      </w:r>
      <w:r w:rsidR="00D92533" w:rsidRPr="00473EE5">
        <w:rPr>
          <w:rFonts w:ascii="Calibri" w:hAnsi="Calibri"/>
          <w:b/>
          <w:color w:val="4F81BD" w:themeColor="accent1"/>
        </w:rPr>
        <w:t>s</w:t>
      </w:r>
      <w:r w:rsidR="006822E2" w:rsidRPr="00473EE5">
        <w:rPr>
          <w:rFonts w:ascii="Calibri" w:hAnsi="Calibri"/>
          <w:b/>
          <w:color w:val="4F81BD" w:themeColor="accent1"/>
        </w:rPr>
        <w:t xml:space="preserve"> agenda on </w:t>
      </w:r>
      <w:r w:rsidR="00F01CF0" w:rsidRPr="00473EE5">
        <w:rPr>
          <w:rFonts w:ascii="Calibri" w:hAnsi="Calibri"/>
          <w:b/>
          <w:color w:val="4F81BD" w:themeColor="accent1"/>
        </w:rPr>
        <w:t>WPS</w:t>
      </w:r>
      <w:r w:rsidR="006822E2" w:rsidRPr="00473EE5">
        <w:rPr>
          <w:rFonts w:ascii="Calibri" w:hAnsi="Calibri"/>
        </w:rPr>
        <w:t xml:space="preserve">, </w:t>
      </w:r>
      <w:r w:rsidR="003C2297" w:rsidRPr="00473EE5">
        <w:rPr>
          <w:rFonts w:ascii="Calibri" w:hAnsi="Calibri"/>
        </w:rPr>
        <w:t>reinforcing</w:t>
      </w:r>
      <w:r w:rsidR="006822E2" w:rsidRPr="00473EE5">
        <w:rPr>
          <w:rFonts w:ascii="Calibri" w:hAnsi="Calibri"/>
        </w:rPr>
        <w:t xml:space="preserve"> many of the pro</w:t>
      </w:r>
      <w:r w:rsidR="00AE7330" w:rsidRPr="00473EE5">
        <w:rPr>
          <w:rFonts w:ascii="Calibri" w:hAnsi="Calibri"/>
        </w:rPr>
        <w:t xml:space="preserve">visions of SCR 1325. Second, they </w:t>
      </w:r>
      <w:r w:rsidR="00AE7330" w:rsidRPr="00473EE5">
        <w:rPr>
          <w:rFonts w:ascii="Calibri" w:hAnsi="Calibri"/>
          <w:b/>
          <w:color w:val="4F81BD" w:themeColor="accent1"/>
        </w:rPr>
        <w:t xml:space="preserve">uphold </w:t>
      </w:r>
      <w:r w:rsidR="0048790D" w:rsidRPr="00473EE5">
        <w:rPr>
          <w:rFonts w:ascii="Calibri" w:hAnsi="Calibri"/>
          <w:b/>
          <w:color w:val="4F81BD" w:themeColor="accent1"/>
        </w:rPr>
        <w:t xml:space="preserve">international </w:t>
      </w:r>
      <w:r w:rsidR="00AE7330" w:rsidRPr="00473EE5">
        <w:rPr>
          <w:rFonts w:ascii="Calibri" w:hAnsi="Calibri"/>
          <w:b/>
          <w:color w:val="4F81BD" w:themeColor="accent1"/>
        </w:rPr>
        <w:t>human rights</w:t>
      </w:r>
      <w:r w:rsidR="0048790D" w:rsidRPr="00473EE5">
        <w:rPr>
          <w:rFonts w:ascii="Calibri" w:hAnsi="Calibri"/>
          <w:b/>
          <w:color w:val="4F81BD" w:themeColor="accent1"/>
        </w:rPr>
        <w:t xml:space="preserve"> law (IHRL) international humanitarian law (IHL) and international criminal law obligations</w:t>
      </w:r>
      <w:r w:rsidR="00AE7330" w:rsidRPr="00473EE5">
        <w:rPr>
          <w:rFonts w:ascii="Calibri" w:hAnsi="Calibri"/>
          <w:b/>
          <w:color w:val="4F81BD" w:themeColor="accent1"/>
        </w:rPr>
        <w:t xml:space="preserve"> not addressed by SCR 1325</w:t>
      </w:r>
      <w:r w:rsidR="0048790D" w:rsidRPr="00473EE5">
        <w:rPr>
          <w:rFonts w:ascii="Calibri" w:hAnsi="Calibri"/>
        </w:rPr>
        <w:t xml:space="preserve">. In </w:t>
      </w:r>
      <w:r w:rsidR="00AE7330" w:rsidRPr="00473EE5">
        <w:rPr>
          <w:rFonts w:ascii="Calibri" w:hAnsi="Calibri"/>
        </w:rPr>
        <w:t xml:space="preserve">doing so, more </w:t>
      </w:r>
      <w:r w:rsidR="00F01CF0" w:rsidRPr="00473EE5">
        <w:rPr>
          <w:rFonts w:ascii="Calibri" w:hAnsi="Calibri"/>
        </w:rPr>
        <w:t>accurately</w:t>
      </w:r>
      <w:r w:rsidR="00AE7330" w:rsidRPr="00473EE5">
        <w:rPr>
          <w:rFonts w:ascii="Calibri" w:hAnsi="Calibri"/>
        </w:rPr>
        <w:t xml:space="preserve"> reflect states’ obligations under the legal framework. Reading SCR 1325 together with these resolutions on WPS would oblige states to incorporate a fuller spectrum of rights into their implementation of SCR 1325, via National Action Plans (NAPs) laws, policies, programmes and other measures.</w:t>
      </w:r>
    </w:p>
    <w:p w14:paraId="75184198" w14:textId="77777777" w:rsidR="00C44DB8" w:rsidRDefault="00C44DB8" w:rsidP="003F32C3">
      <w:pPr>
        <w:jc w:val="both"/>
        <w:rPr>
          <w:rFonts w:ascii="Calibri" w:hAnsi="Calibri"/>
          <w:b/>
          <w:sz w:val="28"/>
          <w:szCs w:val="28"/>
        </w:rPr>
      </w:pPr>
    </w:p>
    <w:p w14:paraId="7116C953" w14:textId="44D6E614" w:rsidR="003F32C3" w:rsidRPr="004C0678" w:rsidRDefault="005E6446" w:rsidP="007A7F07">
      <w:pPr>
        <w:pStyle w:val="Title"/>
        <w:jc w:val="center"/>
        <w:rPr>
          <w:sz w:val="32"/>
          <w:szCs w:val="32"/>
        </w:rPr>
      </w:pPr>
      <w:r w:rsidRPr="004C0678">
        <w:rPr>
          <w:sz w:val="32"/>
          <w:szCs w:val="32"/>
        </w:rPr>
        <w:t>HOW THE</w:t>
      </w:r>
      <w:r w:rsidR="003F32C3" w:rsidRPr="004C0678">
        <w:rPr>
          <w:sz w:val="32"/>
          <w:szCs w:val="32"/>
        </w:rPr>
        <w:t xml:space="preserve"> RESOLUTIONS</w:t>
      </w:r>
      <w:r w:rsidR="00206130" w:rsidRPr="004C0678">
        <w:rPr>
          <w:sz w:val="32"/>
          <w:szCs w:val="32"/>
        </w:rPr>
        <w:t xml:space="preserve"> ON </w:t>
      </w:r>
      <w:r w:rsidR="007A7F07">
        <w:rPr>
          <w:sz w:val="32"/>
          <w:szCs w:val="32"/>
        </w:rPr>
        <w:t>WOMEN, PEACE AND SECURITY</w:t>
      </w:r>
      <w:r w:rsidR="003F32C3" w:rsidRPr="004C0678">
        <w:rPr>
          <w:sz w:val="32"/>
          <w:szCs w:val="32"/>
        </w:rPr>
        <w:t xml:space="preserve"> </w:t>
      </w:r>
      <w:r w:rsidRPr="004C0678">
        <w:rPr>
          <w:sz w:val="32"/>
          <w:szCs w:val="32"/>
        </w:rPr>
        <w:t>REFLECT</w:t>
      </w:r>
      <w:r w:rsidR="003F32C3" w:rsidRPr="004C0678">
        <w:rPr>
          <w:sz w:val="32"/>
          <w:szCs w:val="32"/>
        </w:rPr>
        <w:t xml:space="preserve"> INTERNATIONAL HUMAN RIGHTS LAW</w:t>
      </w:r>
    </w:p>
    <w:p w14:paraId="12365630" w14:textId="77777777" w:rsidR="003F32C3" w:rsidRDefault="003F32C3" w:rsidP="003F32C3">
      <w:pPr>
        <w:jc w:val="both"/>
        <w:rPr>
          <w:rFonts w:ascii="Calibri" w:hAnsi="Calibri"/>
          <w:b/>
          <w:sz w:val="28"/>
          <w:szCs w:val="28"/>
        </w:rPr>
      </w:pPr>
    </w:p>
    <w:p w14:paraId="306F5DC6" w14:textId="0427E985" w:rsidR="006251E3" w:rsidRPr="00473EE5" w:rsidRDefault="003F32C3" w:rsidP="00C51E5E">
      <w:pPr>
        <w:spacing w:line="360" w:lineRule="auto"/>
        <w:jc w:val="both"/>
        <w:rPr>
          <w:rFonts w:ascii="Calibri" w:hAnsi="Calibri"/>
        </w:rPr>
      </w:pPr>
      <w:r w:rsidRPr="00473EE5">
        <w:rPr>
          <w:rFonts w:ascii="Calibri" w:hAnsi="Calibri"/>
        </w:rPr>
        <w:t xml:space="preserve">The resolutions reflect several binding obligations under human rights law, expressed primarily via </w:t>
      </w:r>
      <w:r w:rsidRPr="00473EE5">
        <w:rPr>
          <w:rFonts w:ascii="Calibri" w:hAnsi="Calibri"/>
          <w:b/>
          <w:color w:val="4F81BD" w:themeColor="accent1"/>
        </w:rPr>
        <w:t>CEDAW</w:t>
      </w:r>
      <w:r w:rsidRPr="00473EE5">
        <w:rPr>
          <w:rFonts w:ascii="Calibri" w:hAnsi="Calibri"/>
        </w:rPr>
        <w:t xml:space="preserve"> and its </w:t>
      </w:r>
      <w:r w:rsidR="00AE7330" w:rsidRPr="00473EE5">
        <w:rPr>
          <w:rFonts w:ascii="Calibri" w:hAnsi="Calibri"/>
        </w:rPr>
        <w:t>GRs</w:t>
      </w:r>
      <w:r w:rsidR="00445B87" w:rsidRPr="00473EE5">
        <w:rPr>
          <w:rFonts w:ascii="Calibri" w:hAnsi="Calibri"/>
        </w:rPr>
        <w:t xml:space="preserve">, as well as the </w:t>
      </w:r>
      <w:r w:rsidR="00445B87" w:rsidRPr="00473EE5">
        <w:rPr>
          <w:rFonts w:ascii="Calibri" w:hAnsi="Calibri"/>
          <w:b/>
          <w:color w:val="4F81BD" w:themeColor="accent1"/>
        </w:rPr>
        <w:t xml:space="preserve">CRC </w:t>
      </w:r>
      <w:r w:rsidRPr="00473EE5">
        <w:rPr>
          <w:rFonts w:ascii="Calibri" w:hAnsi="Calibri"/>
          <w:b/>
          <w:color w:val="4F81BD" w:themeColor="accent1"/>
        </w:rPr>
        <w:t>and ICESCR</w:t>
      </w:r>
      <w:r w:rsidRPr="00473EE5">
        <w:rPr>
          <w:rFonts w:ascii="Calibri" w:hAnsi="Calibri"/>
        </w:rPr>
        <w:t xml:space="preserve">. </w:t>
      </w:r>
      <w:r w:rsidR="00AE7330" w:rsidRPr="00473EE5">
        <w:rPr>
          <w:rFonts w:ascii="Calibri" w:hAnsi="Calibri"/>
        </w:rPr>
        <w:t>The resolutions</w:t>
      </w:r>
      <w:r w:rsidR="00166E4C" w:rsidRPr="00473EE5">
        <w:rPr>
          <w:rFonts w:ascii="Calibri" w:hAnsi="Calibri"/>
        </w:rPr>
        <w:t xml:space="preserve"> uphold human rights not addressed</w:t>
      </w:r>
      <w:r w:rsidRPr="00473EE5">
        <w:rPr>
          <w:rFonts w:ascii="Calibri" w:hAnsi="Calibri"/>
        </w:rPr>
        <w:t xml:space="preserve"> </w:t>
      </w:r>
      <w:r w:rsidR="009456B1" w:rsidRPr="00473EE5">
        <w:rPr>
          <w:rFonts w:ascii="Calibri" w:hAnsi="Calibri"/>
        </w:rPr>
        <w:t xml:space="preserve">by </w:t>
      </w:r>
      <w:r w:rsidRPr="00473EE5">
        <w:rPr>
          <w:rFonts w:ascii="Calibri" w:hAnsi="Calibri"/>
        </w:rPr>
        <w:t>SCR 1325</w:t>
      </w:r>
      <w:r w:rsidR="00AE7330" w:rsidRPr="00473EE5">
        <w:rPr>
          <w:rFonts w:ascii="Calibri" w:hAnsi="Calibri"/>
        </w:rPr>
        <w:t xml:space="preserve"> regarding</w:t>
      </w:r>
      <w:r w:rsidR="00551F8F" w:rsidRPr="00473EE5">
        <w:rPr>
          <w:rFonts w:ascii="Calibri" w:hAnsi="Calibri"/>
        </w:rPr>
        <w:t xml:space="preserve"> </w:t>
      </w:r>
      <w:r w:rsidR="00551F8F" w:rsidRPr="00473EE5">
        <w:rPr>
          <w:rFonts w:ascii="Calibri" w:hAnsi="Calibri"/>
          <w:b/>
          <w:color w:val="4F81BD" w:themeColor="accent1"/>
        </w:rPr>
        <w:t>access to justice</w:t>
      </w:r>
      <w:r w:rsidR="00551F8F" w:rsidRPr="00473EE5">
        <w:rPr>
          <w:rFonts w:ascii="Calibri" w:hAnsi="Calibri"/>
        </w:rPr>
        <w:t xml:space="preserve"> and </w:t>
      </w:r>
      <w:r w:rsidR="00551F8F" w:rsidRPr="00473EE5">
        <w:rPr>
          <w:rFonts w:ascii="Calibri" w:hAnsi="Calibri"/>
          <w:b/>
          <w:color w:val="4F81BD" w:themeColor="accent1"/>
        </w:rPr>
        <w:t>econom</w:t>
      </w:r>
      <w:r w:rsidR="00BD0207" w:rsidRPr="00473EE5">
        <w:rPr>
          <w:rFonts w:ascii="Calibri" w:hAnsi="Calibri"/>
          <w:b/>
          <w:color w:val="4F81BD" w:themeColor="accent1"/>
        </w:rPr>
        <w:t>ic, social and cultural rights</w:t>
      </w:r>
      <w:r w:rsidR="00206130" w:rsidRPr="00473EE5">
        <w:rPr>
          <w:rFonts w:ascii="Calibri" w:hAnsi="Calibri"/>
        </w:rPr>
        <w:t>.</w:t>
      </w:r>
      <w:r w:rsidR="00BD0207" w:rsidRPr="00473EE5">
        <w:rPr>
          <w:rFonts w:ascii="Calibri" w:hAnsi="Calibri"/>
        </w:rPr>
        <w:t xml:space="preserve"> </w:t>
      </w:r>
      <w:r w:rsidR="00AE7330" w:rsidRPr="00473EE5">
        <w:rPr>
          <w:rFonts w:ascii="Calibri" w:hAnsi="Calibri"/>
        </w:rPr>
        <w:t>Article 15 of CEDAW affirms that w</w:t>
      </w:r>
      <w:r w:rsidR="006251E3" w:rsidRPr="00473EE5">
        <w:rPr>
          <w:rFonts w:ascii="Calibri" w:hAnsi="Calibri"/>
        </w:rPr>
        <w:t>omen</w:t>
      </w:r>
      <w:r w:rsidR="00AE7330" w:rsidRPr="00473EE5">
        <w:rPr>
          <w:rFonts w:ascii="Calibri" w:hAnsi="Calibri"/>
        </w:rPr>
        <w:t xml:space="preserve"> and girls’</w:t>
      </w:r>
      <w:r w:rsidR="006251E3" w:rsidRPr="00473EE5">
        <w:rPr>
          <w:rFonts w:ascii="Calibri" w:hAnsi="Calibri"/>
        </w:rPr>
        <w:t xml:space="preserve"> equal access to justice is closely linked to the full realization of economic, social and cultural rights. This connection is also emphasized in Article 8 of the Protocol on the Rights of Women in Africa, which outlines specific regional standards on access to justice that encompass a broad set of </w:t>
      </w:r>
      <w:r w:rsidR="00AE7330" w:rsidRPr="00473EE5">
        <w:rPr>
          <w:rFonts w:ascii="Calibri" w:hAnsi="Calibri"/>
        </w:rPr>
        <w:t xml:space="preserve">socio-economic </w:t>
      </w:r>
      <w:r w:rsidR="006251E3" w:rsidRPr="00473EE5">
        <w:rPr>
          <w:rFonts w:ascii="Calibri" w:hAnsi="Calibri"/>
        </w:rPr>
        <w:t>rights.</w:t>
      </w:r>
      <w:r w:rsidR="006251E3" w:rsidRPr="00473EE5">
        <w:rPr>
          <w:rStyle w:val="FootnoteReference"/>
          <w:rFonts w:ascii="Calibri" w:hAnsi="Calibri"/>
        </w:rPr>
        <w:footnoteReference w:id="44"/>
      </w:r>
      <w:r w:rsidR="006251E3" w:rsidRPr="00473EE5">
        <w:rPr>
          <w:rFonts w:ascii="Calibri" w:hAnsi="Calibri"/>
        </w:rPr>
        <w:t xml:space="preserve"> </w:t>
      </w:r>
    </w:p>
    <w:p w14:paraId="4503C38F" w14:textId="77777777" w:rsidR="00551F8F" w:rsidRPr="00473EE5" w:rsidRDefault="00551F8F" w:rsidP="003F32C3">
      <w:pPr>
        <w:jc w:val="both"/>
        <w:rPr>
          <w:rFonts w:ascii="Calibri" w:hAnsi="Calibri"/>
        </w:rPr>
      </w:pPr>
    </w:p>
    <w:p w14:paraId="7DA489E2" w14:textId="6DBB9595" w:rsidR="00BA47CC" w:rsidRPr="00473EE5" w:rsidRDefault="00A4217A" w:rsidP="00C51E5E">
      <w:pPr>
        <w:spacing w:line="360" w:lineRule="auto"/>
        <w:jc w:val="both"/>
        <w:rPr>
          <w:rFonts w:ascii="Calibri" w:hAnsi="Calibri"/>
        </w:rPr>
      </w:pPr>
      <w:r w:rsidRPr="00473EE5">
        <w:rPr>
          <w:rFonts w:ascii="Calibri" w:hAnsi="Calibri"/>
        </w:rPr>
        <w:t>All resolutions</w:t>
      </w:r>
      <w:r w:rsidR="003F32C3" w:rsidRPr="00473EE5">
        <w:rPr>
          <w:rFonts w:ascii="Calibri" w:hAnsi="Calibri"/>
        </w:rPr>
        <w:t xml:space="preserve"> highlight the need for </w:t>
      </w:r>
      <w:r w:rsidR="003F32C3" w:rsidRPr="00473EE5">
        <w:rPr>
          <w:rFonts w:ascii="Calibri" w:hAnsi="Calibri"/>
          <w:b/>
          <w:color w:val="4F81BD" w:themeColor="accent1"/>
        </w:rPr>
        <w:t>gender-responsive access to justice</w:t>
      </w:r>
      <w:r w:rsidR="004222CA" w:rsidRPr="00473EE5">
        <w:rPr>
          <w:rFonts w:ascii="Calibri" w:hAnsi="Calibri"/>
        </w:rPr>
        <w:t>, which</w:t>
      </w:r>
      <w:r w:rsidR="00551F8F" w:rsidRPr="00473EE5">
        <w:rPr>
          <w:rFonts w:ascii="Calibri" w:hAnsi="Calibri"/>
        </w:rPr>
        <w:t xml:space="preserve"> is a </w:t>
      </w:r>
      <w:r w:rsidR="00166E4C" w:rsidRPr="00473EE5">
        <w:rPr>
          <w:rFonts w:ascii="Calibri" w:hAnsi="Calibri"/>
        </w:rPr>
        <w:t>basic human right</w:t>
      </w:r>
      <w:r w:rsidR="00206130" w:rsidRPr="00473EE5">
        <w:rPr>
          <w:rFonts w:ascii="Calibri" w:hAnsi="Calibri"/>
        </w:rPr>
        <w:t xml:space="preserve"> that enables the enjoyment of</w:t>
      </w:r>
      <w:r w:rsidR="00551F8F" w:rsidRPr="00473EE5">
        <w:rPr>
          <w:rFonts w:ascii="Calibri" w:hAnsi="Calibri"/>
        </w:rPr>
        <w:t xml:space="preserve"> other human rights</w:t>
      </w:r>
      <w:r w:rsidR="00C225C7" w:rsidRPr="00473EE5">
        <w:rPr>
          <w:rFonts w:ascii="Calibri" w:hAnsi="Calibri"/>
        </w:rPr>
        <w:t>.</w:t>
      </w:r>
      <w:r w:rsidR="00C225C7" w:rsidRPr="00473EE5">
        <w:rPr>
          <w:rStyle w:val="FootnoteReference"/>
          <w:rFonts w:ascii="Calibri" w:hAnsi="Calibri"/>
        </w:rPr>
        <w:t xml:space="preserve"> </w:t>
      </w:r>
      <w:r w:rsidR="00C225C7" w:rsidRPr="00473EE5">
        <w:rPr>
          <w:rStyle w:val="FootnoteReference"/>
          <w:rFonts w:ascii="Calibri" w:hAnsi="Calibri"/>
        </w:rPr>
        <w:footnoteReference w:id="45"/>
      </w:r>
      <w:r w:rsidR="00C225C7" w:rsidRPr="00473EE5">
        <w:rPr>
          <w:rFonts w:ascii="Calibri" w:hAnsi="Calibri"/>
        </w:rPr>
        <w:t xml:space="preserve"> </w:t>
      </w:r>
      <w:r w:rsidR="004222CA" w:rsidRPr="00473EE5">
        <w:rPr>
          <w:rFonts w:ascii="Calibri" w:hAnsi="Calibri"/>
        </w:rPr>
        <w:t>Access to justice</w:t>
      </w:r>
      <w:r w:rsidR="00C225C7" w:rsidRPr="00473EE5">
        <w:rPr>
          <w:rFonts w:ascii="Calibri" w:hAnsi="Calibri"/>
        </w:rPr>
        <w:t xml:space="preserve"> </w:t>
      </w:r>
      <w:r w:rsidR="00803C23" w:rsidRPr="00473EE5">
        <w:rPr>
          <w:rFonts w:ascii="Calibri" w:hAnsi="Calibri"/>
        </w:rPr>
        <w:t xml:space="preserve">is </w:t>
      </w:r>
      <w:r w:rsidR="00C225C7" w:rsidRPr="00473EE5">
        <w:rPr>
          <w:rFonts w:ascii="Calibri" w:hAnsi="Calibri"/>
        </w:rPr>
        <w:t xml:space="preserve">not mentioned in SCR 1325 (although </w:t>
      </w:r>
      <w:r w:rsidR="00472DA2" w:rsidRPr="00473EE5">
        <w:rPr>
          <w:rFonts w:ascii="Calibri" w:hAnsi="Calibri"/>
        </w:rPr>
        <w:t>accesses to justice concerns are</w:t>
      </w:r>
      <w:r w:rsidR="00C225C7" w:rsidRPr="00473EE5">
        <w:rPr>
          <w:rFonts w:ascii="Calibri" w:hAnsi="Calibri"/>
        </w:rPr>
        <w:t xml:space="preserve"> addressed by various provisions).</w:t>
      </w:r>
      <w:r w:rsidR="00551F8F" w:rsidRPr="00473EE5">
        <w:rPr>
          <w:rFonts w:ascii="Calibri" w:hAnsi="Calibri"/>
        </w:rPr>
        <w:t xml:space="preserve"> The resolutions reflect Articles 1-3, 5(a) and 15 of CEDAW and the GR No. 30, especially the latter’s</w:t>
      </w:r>
      <w:r w:rsidR="00097349" w:rsidRPr="00473EE5">
        <w:rPr>
          <w:rFonts w:ascii="Calibri" w:hAnsi="Calibri"/>
        </w:rPr>
        <w:t xml:space="preserve"> substantive</w:t>
      </w:r>
      <w:r w:rsidR="00551F8F" w:rsidRPr="00473EE5">
        <w:rPr>
          <w:rFonts w:ascii="Calibri" w:hAnsi="Calibri"/>
        </w:rPr>
        <w:t xml:space="preserve"> </w:t>
      </w:r>
      <w:r w:rsidR="00097349" w:rsidRPr="00473EE5">
        <w:rPr>
          <w:rFonts w:ascii="Calibri" w:hAnsi="Calibri"/>
        </w:rPr>
        <w:t>protections for</w:t>
      </w:r>
      <w:r w:rsidR="006251E3" w:rsidRPr="00473EE5">
        <w:rPr>
          <w:rFonts w:ascii="Calibri" w:hAnsi="Calibri"/>
        </w:rPr>
        <w:t xml:space="preserve"> women and girls’ right to access </w:t>
      </w:r>
      <w:r w:rsidR="00551F8F" w:rsidRPr="00473EE5">
        <w:rPr>
          <w:rFonts w:ascii="Calibri" w:hAnsi="Calibri"/>
        </w:rPr>
        <w:t>justice throughout the conflict cycle.</w:t>
      </w:r>
      <w:r w:rsidR="00551F8F" w:rsidRPr="00473EE5">
        <w:rPr>
          <w:rStyle w:val="FootnoteReference"/>
          <w:rFonts w:ascii="Calibri" w:hAnsi="Calibri"/>
        </w:rPr>
        <w:footnoteReference w:id="46"/>
      </w:r>
      <w:r w:rsidR="00551F8F" w:rsidRPr="00473EE5">
        <w:rPr>
          <w:rFonts w:ascii="Calibri" w:hAnsi="Calibri"/>
        </w:rPr>
        <w:t xml:space="preserve"> SCR 1820 </w:t>
      </w:r>
      <w:r w:rsidR="006251E3" w:rsidRPr="00473EE5">
        <w:rPr>
          <w:rFonts w:ascii="Calibri" w:hAnsi="Calibri"/>
        </w:rPr>
        <w:t xml:space="preserve">promotes </w:t>
      </w:r>
      <w:r w:rsidR="00551F8F" w:rsidRPr="00473EE5">
        <w:rPr>
          <w:rFonts w:ascii="Calibri" w:hAnsi="Calibri"/>
        </w:rPr>
        <w:t>access to justice in the context of rape and sexual violence, emphasising that women and girl victims require equal protection under the law and access to justice.</w:t>
      </w:r>
      <w:r w:rsidR="00551F8F" w:rsidRPr="00473EE5">
        <w:rPr>
          <w:rStyle w:val="FootnoteReference"/>
          <w:rFonts w:ascii="Calibri" w:hAnsi="Calibri"/>
        </w:rPr>
        <w:footnoteReference w:id="47"/>
      </w:r>
      <w:r w:rsidR="00551F8F" w:rsidRPr="00473EE5">
        <w:rPr>
          <w:rFonts w:ascii="Calibri" w:hAnsi="Calibri"/>
        </w:rPr>
        <w:t xml:space="preserve">  </w:t>
      </w:r>
      <w:r w:rsidR="004222CA" w:rsidRPr="00473EE5">
        <w:rPr>
          <w:rFonts w:ascii="Calibri" w:hAnsi="Calibri"/>
        </w:rPr>
        <w:t>SCR 1888 urges states to ensure that survivors of conflict-related sexual violence are treated with dignity throughout the justice process, have their rights upheld and receive redress.</w:t>
      </w:r>
      <w:r w:rsidR="00394E56" w:rsidRPr="00473EE5">
        <w:rPr>
          <w:rFonts w:ascii="Calibri" w:hAnsi="Calibri"/>
        </w:rPr>
        <w:t xml:space="preserve"> The </w:t>
      </w:r>
      <w:r w:rsidR="00962448" w:rsidRPr="00473EE5">
        <w:rPr>
          <w:rFonts w:ascii="Calibri" w:hAnsi="Calibri"/>
        </w:rPr>
        <w:t>SCR 1888</w:t>
      </w:r>
      <w:r w:rsidR="00394E56" w:rsidRPr="00473EE5">
        <w:rPr>
          <w:rFonts w:ascii="Calibri" w:hAnsi="Calibri"/>
        </w:rPr>
        <w:t xml:space="preserve"> </w:t>
      </w:r>
      <w:r w:rsidR="00191504" w:rsidRPr="00473EE5">
        <w:rPr>
          <w:rFonts w:ascii="Calibri" w:hAnsi="Calibri"/>
        </w:rPr>
        <w:t>calls</w:t>
      </w:r>
      <w:r w:rsidR="00394E56" w:rsidRPr="00473EE5">
        <w:rPr>
          <w:rFonts w:ascii="Calibri" w:hAnsi="Calibri"/>
        </w:rPr>
        <w:t xml:space="preserve"> for a “holistic national approach” to addressing sexual violence in conflict</w:t>
      </w:r>
      <w:r w:rsidR="00191504" w:rsidRPr="00473EE5">
        <w:rPr>
          <w:rFonts w:ascii="Calibri" w:hAnsi="Calibri"/>
        </w:rPr>
        <w:t xml:space="preserve"> by enhancing criminal accountability, responsiveness to victims and judicial capacity</w:t>
      </w:r>
      <w:r w:rsidR="00394E56" w:rsidRPr="00473EE5">
        <w:rPr>
          <w:rFonts w:ascii="Calibri" w:hAnsi="Calibri"/>
        </w:rPr>
        <w:t xml:space="preserve">, with recommendations that are </w:t>
      </w:r>
      <w:r w:rsidR="00191504" w:rsidRPr="00473EE5">
        <w:rPr>
          <w:rFonts w:ascii="Calibri" w:hAnsi="Calibri"/>
        </w:rPr>
        <w:t>drawn upon</w:t>
      </w:r>
      <w:r w:rsidR="00394E56" w:rsidRPr="00473EE5">
        <w:rPr>
          <w:rFonts w:ascii="Calibri" w:hAnsi="Calibri"/>
        </w:rPr>
        <w:t xml:space="preserve"> and </w:t>
      </w:r>
      <w:r w:rsidR="00191504" w:rsidRPr="00473EE5">
        <w:rPr>
          <w:rFonts w:ascii="Calibri" w:hAnsi="Calibri"/>
        </w:rPr>
        <w:t>elaborated though legal and policy recommendations in</w:t>
      </w:r>
      <w:r w:rsidR="00394E56" w:rsidRPr="00473EE5">
        <w:rPr>
          <w:rFonts w:ascii="Calibri" w:hAnsi="Calibri"/>
        </w:rPr>
        <w:t xml:space="preserve"> the CEDAW GR No. 30 (see below for discussion on the GR). </w:t>
      </w:r>
      <w:r w:rsidR="004222CA" w:rsidRPr="00473EE5">
        <w:rPr>
          <w:rStyle w:val="FootnoteReference"/>
          <w:rFonts w:ascii="Calibri" w:hAnsi="Calibri"/>
        </w:rPr>
        <w:footnoteReference w:id="48"/>
      </w:r>
      <w:r w:rsidR="004222CA" w:rsidRPr="00473EE5">
        <w:rPr>
          <w:rFonts w:ascii="Calibri" w:hAnsi="Calibri"/>
        </w:rPr>
        <w:t xml:space="preserve"> </w:t>
      </w:r>
      <w:r w:rsidR="00551F8F" w:rsidRPr="00473EE5">
        <w:rPr>
          <w:rFonts w:ascii="Calibri" w:hAnsi="Calibri"/>
        </w:rPr>
        <w:t xml:space="preserve">SCR 1889 </w:t>
      </w:r>
      <w:r w:rsidR="00191504" w:rsidRPr="00473EE5">
        <w:rPr>
          <w:rFonts w:ascii="Calibri" w:hAnsi="Calibri"/>
        </w:rPr>
        <w:t>recommends</w:t>
      </w:r>
      <w:r w:rsidR="006251E3" w:rsidRPr="00473EE5">
        <w:rPr>
          <w:rFonts w:ascii="Calibri" w:hAnsi="Calibri"/>
        </w:rPr>
        <w:t xml:space="preserve"> </w:t>
      </w:r>
      <w:r w:rsidR="00551F8F" w:rsidRPr="00473EE5">
        <w:rPr>
          <w:rFonts w:ascii="Calibri" w:hAnsi="Calibri"/>
        </w:rPr>
        <w:t>access to gender-responsive law enforcement and justice mechanisms</w:t>
      </w:r>
      <w:r w:rsidR="004222CA" w:rsidRPr="00473EE5">
        <w:rPr>
          <w:rFonts w:ascii="Calibri" w:hAnsi="Calibri"/>
        </w:rPr>
        <w:t xml:space="preserve"> for victims of rights violations</w:t>
      </w:r>
      <w:r w:rsidR="00551F8F" w:rsidRPr="00473EE5">
        <w:rPr>
          <w:rFonts w:ascii="Calibri" w:hAnsi="Calibri"/>
        </w:rPr>
        <w:t xml:space="preserve">, especially in conflict and post-conflict </w:t>
      </w:r>
      <w:r w:rsidR="00DC1303" w:rsidRPr="00473EE5">
        <w:rPr>
          <w:rFonts w:ascii="Calibri" w:hAnsi="Calibri"/>
        </w:rPr>
        <w:t>situations</w:t>
      </w:r>
      <w:r w:rsidR="00551F8F" w:rsidRPr="00473EE5">
        <w:rPr>
          <w:rFonts w:ascii="Calibri" w:hAnsi="Calibri"/>
        </w:rPr>
        <w:t>.</w:t>
      </w:r>
      <w:r w:rsidR="00551F8F" w:rsidRPr="00473EE5">
        <w:rPr>
          <w:rStyle w:val="FootnoteReference"/>
          <w:rFonts w:ascii="Calibri" w:hAnsi="Calibri"/>
        </w:rPr>
        <w:footnoteReference w:id="49"/>
      </w:r>
      <w:r w:rsidR="00C225C7" w:rsidRPr="00473EE5">
        <w:rPr>
          <w:rFonts w:ascii="Calibri" w:hAnsi="Calibri"/>
        </w:rPr>
        <w:t xml:space="preserve"> </w:t>
      </w:r>
      <w:r w:rsidR="00551F8F" w:rsidRPr="00473EE5">
        <w:rPr>
          <w:rFonts w:ascii="Calibri" w:hAnsi="Calibri"/>
        </w:rPr>
        <w:t xml:space="preserve">SCR 2122 goes further, specifying the need for gender-responsive legal, judicial and security sector reform and other mechanisms in these </w:t>
      </w:r>
      <w:r w:rsidR="00DC1303" w:rsidRPr="00473EE5">
        <w:rPr>
          <w:rFonts w:ascii="Calibri" w:hAnsi="Calibri"/>
        </w:rPr>
        <w:t>situation</w:t>
      </w:r>
      <w:r w:rsidR="00551F8F" w:rsidRPr="00473EE5">
        <w:rPr>
          <w:rFonts w:ascii="Calibri" w:hAnsi="Calibri"/>
        </w:rPr>
        <w:t>s</w:t>
      </w:r>
      <w:r w:rsidR="00097349" w:rsidRPr="00473EE5">
        <w:rPr>
          <w:rFonts w:ascii="Calibri" w:hAnsi="Calibri"/>
        </w:rPr>
        <w:t>.</w:t>
      </w:r>
      <w:r w:rsidR="00097349" w:rsidRPr="00473EE5">
        <w:rPr>
          <w:rStyle w:val="FootnoteReference"/>
          <w:rFonts w:ascii="Calibri" w:hAnsi="Calibri"/>
        </w:rPr>
        <w:footnoteReference w:id="50"/>
      </w:r>
      <w:r w:rsidR="00097349" w:rsidRPr="00473EE5">
        <w:rPr>
          <w:rFonts w:ascii="Calibri" w:hAnsi="Calibri"/>
        </w:rPr>
        <w:t xml:space="preserve">  </w:t>
      </w:r>
    </w:p>
    <w:p w14:paraId="3D26D5ED" w14:textId="77777777" w:rsidR="00097349" w:rsidRPr="00473EE5" w:rsidRDefault="00097349" w:rsidP="003F32C3">
      <w:pPr>
        <w:jc w:val="both"/>
        <w:rPr>
          <w:rFonts w:ascii="Calibri" w:hAnsi="Calibri"/>
        </w:rPr>
      </w:pPr>
    </w:p>
    <w:p w14:paraId="435B2999" w14:textId="123D6FED" w:rsidR="003C38FC" w:rsidRPr="00473EE5" w:rsidRDefault="009C3188" w:rsidP="00C51E5E">
      <w:pPr>
        <w:spacing w:line="360" w:lineRule="auto"/>
        <w:jc w:val="both"/>
        <w:rPr>
          <w:rFonts w:ascii="Calibri" w:hAnsi="Calibri"/>
        </w:rPr>
      </w:pPr>
      <w:r w:rsidRPr="00473EE5">
        <w:rPr>
          <w:rFonts w:ascii="Calibri" w:hAnsi="Calibri"/>
        </w:rPr>
        <w:t>SCR</w:t>
      </w:r>
      <w:r w:rsidR="003C38FC" w:rsidRPr="00473EE5">
        <w:rPr>
          <w:rFonts w:ascii="Calibri" w:hAnsi="Calibri"/>
        </w:rPr>
        <w:t>s 1888 and</w:t>
      </w:r>
      <w:r w:rsidRPr="00473EE5">
        <w:rPr>
          <w:rFonts w:ascii="Calibri" w:hAnsi="Calibri"/>
        </w:rPr>
        <w:t xml:space="preserve"> 1889 </w:t>
      </w:r>
      <w:r w:rsidR="00A63180" w:rsidRPr="00473EE5">
        <w:rPr>
          <w:rFonts w:ascii="Calibri" w:hAnsi="Calibri"/>
        </w:rPr>
        <w:t xml:space="preserve">recognises the particular needs of women and girls post-conflict, including </w:t>
      </w:r>
      <w:r w:rsidR="003C38FC" w:rsidRPr="00473EE5">
        <w:rPr>
          <w:rFonts w:ascii="Calibri" w:hAnsi="Calibri"/>
        </w:rPr>
        <w:t xml:space="preserve">regarding </w:t>
      </w:r>
      <w:r w:rsidR="00A63180" w:rsidRPr="00473EE5">
        <w:rPr>
          <w:rFonts w:ascii="Calibri" w:hAnsi="Calibri"/>
          <w:b/>
          <w:color w:val="4F81BD" w:themeColor="accent1"/>
        </w:rPr>
        <w:t xml:space="preserve">health services, </w:t>
      </w:r>
      <w:r w:rsidR="003C38FC" w:rsidRPr="00473EE5">
        <w:rPr>
          <w:rFonts w:ascii="Calibri" w:hAnsi="Calibri"/>
          <w:b/>
          <w:color w:val="4F81BD" w:themeColor="accent1"/>
        </w:rPr>
        <w:t>legal assistance, socio-economic reintegration services for victims of sexual violence, livelihood assistance</w:t>
      </w:r>
      <w:r w:rsidR="00A63180" w:rsidRPr="00473EE5">
        <w:rPr>
          <w:rFonts w:ascii="Calibri" w:hAnsi="Calibri"/>
          <w:b/>
          <w:color w:val="4F81BD" w:themeColor="accent1"/>
        </w:rPr>
        <w:t>, land and property right</w:t>
      </w:r>
      <w:r w:rsidR="003C38FC" w:rsidRPr="00473EE5">
        <w:rPr>
          <w:rFonts w:ascii="Calibri" w:hAnsi="Calibri"/>
          <w:b/>
          <w:color w:val="4F81BD" w:themeColor="accent1"/>
        </w:rPr>
        <w:t>s</w:t>
      </w:r>
      <w:r w:rsidR="00A63180" w:rsidRPr="00473EE5">
        <w:rPr>
          <w:rFonts w:ascii="Calibri" w:hAnsi="Calibri"/>
          <w:b/>
          <w:color w:val="4F81BD" w:themeColor="accent1"/>
        </w:rPr>
        <w:t xml:space="preserve"> and employment</w:t>
      </w:r>
      <w:r w:rsidR="00A63180" w:rsidRPr="00473EE5">
        <w:rPr>
          <w:rFonts w:ascii="Calibri" w:hAnsi="Calibri"/>
        </w:rPr>
        <w:t xml:space="preserve">. The </w:t>
      </w:r>
      <w:r w:rsidR="00962448" w:rsidRPr="00473EE5">
        <w:rPr>
          <w:rFonts w:ascii="Calibri" w:hAnsi="Calibri"/>
        </w:rPr>
        <w:t xml:space="preserve">SCR 1889 </w:t>
      </w:r>
      <w:r w:rsidRPr="00473EE5">
        <w:rPr>
          <w:rFonts w:ascii="Calibri" w:hAnsi="Calibri"/>
        </w:rPr>
        <w:t xml:space="preserve">encourages Member States, in post-conflict </w:t>
      </w:r>
      <w:r w:rsidR="00DC1303" w:rsidRPr="00473EE5">
        <w:rPr>
          <w:rFonts w:ascii="Calibri" w:hAnsi="Calibri"/>
        </w:rPr>
        <w:t>situations</w:t>
      </w:r>
      <w:r w:rsidRPr="00473EE5">
        <w:rPr>
          <w:rFonts w:ascii="Calibri" w:hAnsi="Calibri"/>
        </w:rPr>
        <w:t xml:space="preserve">, to guarantee greater physical security and better socio-economic conditions for women, through education, income-generating activities and access to basic services especially health services related to </w:t>
      </w:r>
      <w:r w:rsidR="00DC1303" w:rsidRPr="00473EE5">
        <w:rPr>
          <w:rFonts w:ascii="Calibri" w:hAnsi="Calibri"/>
        </w:rPr>
        <w:t xml:space="preserve">sexual, reproductive and </w:t>
      </w:r>
      <w:r w:rsidR="00DD0EF5" w:rsidRPr="00473EE5">
        <w:rPr>
          <w:rFonts w:ascii="Calibri" w:hAnsi="Calibri"/>
        </w:rPr>
        <w:t>mental health.</w:t>
      </w:r>
      <w:r w:rsidR="00962448" w:rsidRPr="00473EE5">
        <w:rPr>
          <w:rStyle w:val="FootnoteReference"/>
          <w:rFonts w:ascii="Calibri" w:hAnsi="Calibri"/>
        </w:rPr>
        <w:footnoteReference w:id="51"/>
      </w:r>
      <w:r w:rsidR="00DD0EF5" w:rsidRPr="00473EE5">
        <w:rPr>
          <w:rFonts w:ascii="Calibri" w:hAnsi="Calibri"/>
        </w:rPr>
        <w:t xml:space="preserve"> </w:t>
      </w:r>
      <w:r w:rsidR="00E32684" w:rsidRPr="00473EE5">
        <w:rPr>
          <w:rFonts w:ascii="Calibri" w:hAnsi="Calibri"/>
        </w:rPr>
        <w:t xml:space="preserve">SCR 1960 </w:t>
      </w:r>
      <w:r w:rsidR="00E24A2C" w:rsidRPr="00473EE5">
        <w:rPr>
          <w:rFonts w:ascii="Calibri" w:hAnsi="Calibri"/>
        </w:rPr>
        <w:t xml:space="preserve">incorporates an intersectional view of discrimination, reaffirming </w:t>
      </w:r>
      <w:r w:rsidR="005062A7" w:rsidRPr="00473EE5">
        <w:rPr>
          <w:rFonts w:ascii="Calibri" w:hAnsi="Calibri"/>
        </w:rPr>
        <w:t>the rights of</w:t>
      </w:r>
      <w:r w:rsidR="00E32684" w:rsidRPr="00473EE5">
        <w:rPr>
          <w:rFonts w:ascii="Calibri" w:hAnsi="Calibri"/>
        </w:rPr>
        <w:t xml:space="preserve"> rural women and persons with disabilities in the context of post-conflict and post-rights violation support, including socio-economic reintegration.</w:t>
      </w:r>
      <w:r w:rsidR="00E32684" w:rsidRPr="00473EE5">
        <w:rPr>
          <w:rStyle w:val="FootnoteReference"/>
          <w:rFonts w:ascii="Calibri" w:hAnsi="Calibri"/>
        </w:rPr>
        <w:footnoteReference w:id="52"/>
      </w:r>
      <w:r w:rsidR="00E32684" w:rsidRPr="00473EE5">
        <w:rPr>
          <w:rFonts w:ascii="Calibri" w:hAnsi="Calibri"/>
        </w:rPr>
        <w:t xml:space="preserve"> </w:t>
      </w:r>
      <w:r w:rsidR="00DD0EF5" w:rsidRPr="00473EE5">
        <w:rPr>
          <w:rFonts w:ascii="Calibri" w:hAnsi="Calibri"/>
        </w:rPr>
        <w:t>The</w:t>
      </w:r>
      <w:r w:rsidR="00E32684" w:rsidRPr="00473EE5">
        <w:rPr>
          <w:rFonts w:ascii="Calibri" w:hAnsi="Calibri"/>
        </w:rPr>
        <w:t>se</w:t>
      </w:r>
      <w:r w:rsidR="00DD0EF5" w:rsidRPr="00473EE5">
        <w:rPr>
          <w:rFonts w:ascii="Calibri" w:hAnsi="Calibri"/>
        </w:rPr>
        <w:t xml:space="preserve"> provision</w:t>
      </w:r>
      <w:r w:rsidR="005062A7" w:rsidRPr="00473EE5">
        <w:rPr>
          <w:rFonts w:ascii="Calibri" w:hAnsi="Calibri"/>
        </w:rPr>
        <w:t>s</w:t>
      </w:r>
      <w:r w:rsidR="00DD0EF5" w:rsidRPr="00473EE5">
        <w:rPr>
          <w:rFonts w:ascii="Calibri" w:hAnsi="Calibri"/>
        </w:rPr>
        <w:t xml:space="preserve"> as a whole</w:t>
      </w:r>
      <w:r w:rsidR="00BE6DED" w:rsidRPr="00473EE5">
        <w:rPr>
          <w:rFonts w:ascii="Calibri" w:hAnsi="Calibri"/>
        </w:rPr>
        <w:t xml:space="preserve"> reflec</w:t>
      </w:r>
      <w:r w:rsidR="005062A7" w:rsidRPr="00473EE5">
        <w:rPr>
          <w:rFonts w:ascii="Calibri" w:hAnsi="Calibri"/>
        </w:rPr>
        <w:t>t</w:t>
      </w:r>
      <w:r w:rsidR="005138CA" w:rsidRPr="00473EE5">
        <w:rPr>
          <w:rFonts w:ascii="Calibri" w:hAnsi="Calibri"/>
        </w:rPr>
        <w:t xml:space="preserve"> Articles 1-3, 4(1), 5(a), 10-12 and </w:t>
      </w:r>
      <w:r w:rsidR="00DD0EF5" w:rsidRPr="00473EE5">
        <w:rPr>
          <w:rFonts w:ascii="Calibri" w:hAnsi="Calibri"/>
        </w:rPr>
        <w:t>14</w:t>
      </w:r>
      <w:r w:rsidR="00BE6DED" w:rsidRPr="00473EE5">
        <w:rPr>
          <w:rFonts w:ascii="Calibri" w:hAnsi="Calibri"/>
        </w:rPr>
        <w:t xml:space="preserve"> of CEDAW</w:t>
      </w:r>
      <w:r w:rsidR="005138CA" w:rsidRPr="00473EE5">
        <w:rPr>
          <w:rFonts w:ascii="Calibri" w:hAnsi="Calibri"/>
        </w:rPr>
        <w:t xml:space="preserve">. </w:t>
      </w:r>
      <w:r w:rsidR="00E24A2C" w:rsidRPr="00473EE5">
        <w:rPr>
          <w:rFonts w:ascii="Calibri" w:hAnsi="Calibri"/>
        </w:rPr>
        <w:t>W</w:t>
      </w:r>
      <w:r w:rsidR="005138CA" w:rsidRPr="00473EE5">
        <w:rPr>
          <w:rFonts w:ascii="Calibri" w:hAnsi="Calibri"/>
        </w:rPr>
        <w:t>omen’s rights concerning education, work and health services</w:t>
      </w:r>
      <w:r w:rsidR="005062A7" w:rsidRPr="00473EE5">
        <w:rPr>
          <w:rFonts w:ascii="Calibri" w:hAnsi="Calibri"/>
        </w:rPr>
        <w:t xml:space="preserve">, including </w:t>
      </w:r>
      <w:r w:rsidR="00227B46" w:rsidRPr="00473EE5">
        <w:rPr>
          <w:rFonts w:ascii="Calibri" w:hAnsi="Calibri"/>
        </w:rPr>
        <w:t xml:space="preserve">protections </w:t>
      </w:r>
      <w:r w:rsidR="005062A7" w:rsidRPr="00473EE5">
        <w:rPr>
          <w:rFonts w:ascii="Calibri" w:hAnsi="Calibri"/>
        </w:rPr>
        <w:t>for vulnerable groups such as rural women and those with disabilities,</w:t>
      </w:r>
      <w:r w:rsidR="005138CA" w:rsidRPr="00473EE5">
        <w:rPr>
          <w:rFonts w:ascii="Calibri" w:hAnsi="Calibri"/>
        </w:rPr>
        <w:t xml:space="preserve"> are addressed in the </w:t>
      </w:r>
      <w:r w:rsidR="00C8027E" w:rsidRPr="00473EE5">
        <w:rPr>
          <w:rFonts w:ascii="Calibri" w:hAnsi="Calibri"/>
        </w:rPr>
        <w:t xml:space="preserve">CEDAW </w:t>
      </w:r>
      <w:r w:rsidR="005138CA" w:rsidRPr="00473EE5">
        <w:rPr>
          <w:rFonts w:ascii="Calibri" w:hAnsi="Calibri"/>
        </w:rPr>
        <w:t xml:space="preserve">GR No. </w:t>
      </w:r>
      <w:r w:rsidR="00F357FA" w:rsidRPr="00473EE5">
        <w:rPr>
          <w:rFonts w:ascii="Calibri" w:hAnsi="Calibri"/>
        </w:rPr>
        <w:t>30. The</w:t>
      </w:r>
      <w:r w:rsidR="00227B46" w:rsidRPr="00473EE5">
        <w:rPr>
          <w:rFonts w:ascii="Calibri" w:hAnsi="Calibri"/>
        </w:rPr>
        <w:t xml:space="preserve"> resolutions also reflect</w:t>
      </w:r>
      <w:r w:rsidR="005138CA" w:rsidRPr="00473EE5">
        <w:rPr>
          <w:rFonts w:ascii="Calibri" w:hAnsi="Calibri"/>
        </w:rPr>
        <w:t xml:space="preserve"> </w:t>
      </w:r>
      <w:r w:rsidR="00DD0EF5" w:rsidRPr="00473EE5">
        <w:rPr>
          <w:rFonts w:ascii="Calibri" w:hAnsi="Calibri"/>
        </w:rPr>
        <w:lastRenderedPageBreak/>
        <w:t>Articles 1</w:t>
      </w:r>
      <w:r w:rsidR="00806673" w:rsidRPr="00473EE5">
        <w:rPr>
          <w:rFonts w:ascii="Calibri" w:hAnsi="Calibri"/>
        </w:rPr>
        <w:t>, 3</w:t>
      </w:r>
      <w:r w:rsidR="00DD0EF5" w:rsidRPr="00473EE5">
        <w:rPr>
          <w:rFonts w:ascii="Calibri" w:hAnsi="Calibri"/>
        </w:rPr>
        <w:t>, 6, 12 and 13 of the ICESCR</w:t>
      </w:r>
      <w:r w:rsidR="00DC1303" w:rsidRPr="00473EE5">
        <w:rPr>
          <w:rFonts w:ascii="Calibri" w:hAnsi="Calibri"/>
        </w:rPr>
        <w:t>.</w:t>
      </w:r>
      <w:r w:rsidR="003F6FD2" w:rsidRPr="00473EE5">
        <w:rPr>
          <w:rStyle w:val="FootnoteReference"/>
          <w:rFonts w:ascii="Calibri" w:hAnsi="Calibri"/>
        </w:rPr>
        <w:t xml:space="preserve"> </w:t>
      </w:r>
      <w:r w:rsidR="003F6FD2" w:rsidRPr="00473EE5">
        <w:rPr>
          <w:rStyle w:val="FootnoteReference"/>
          <w:rFonts w:ascii="Calibri" w:hAnsi="Calibri"/>
        </w:rPr>
        <w:footnoteReference w:id="53"/>
      </w:r>
      <w:r w:rsidR="003F6FD2" w:rsidRPr="00473EE5">
        <w:rPr>
          <w:rFonts w:ascii="Calibri" w:hAnsi="Calibri"/>
        </w:rPr>
        <w:t xml:space="preserve"> </w:t>
      </w:r>
      <w:r w:rsidR="00DC1303" w:rsidRPr="00473EE5">
        <w:rPr>
          <w:rFonts w:ascii="Calibri" w:hAnsi="Calibri"/>
        </w:rPr>
        <w:t xml:space="preserve"> In doing so, they recognise the interrelationship and integrity of all human rights.</w:t>
      </w:r>
      <w:r w:rsidR="003F6FD2" w:rsidRPr="00473EE5">
        <w:rPr>
          <w:rFonts w:ascii="Calibri" w:hAnsi="Calibri"/>
        </w:rPr>
        <w:t xml:space="preserve"> </w:t>
      </w:r>
    </w:p>
    <w:p w14:paraId="0E13F62F" w14:textId="77777777" w:rsidR="003C38FC" w:rsidRPr="00473EE5" w:rsidRDefault="003C38FC" w:rsidP="003F32C3">
      <w:pPr>
        <w:jc w:val="both"/>
        <w:rPr>
          <w:rFonts w:ascii="Calibri" w:hAnsi="Calibri"/>
        </w:rPr>
      </w:pPr>
    </w:p>
    <w:p w14:paraId="42088F86" w14:textId="290415D1" w:rsidR="00227B46" w:rsidRPr="00473EE5" w:rsidRDefault="00DB0F5A" w:rsidP="00C51E5E">
      <w:pPr>
        <w:spacing w:line="360" w:lineRule="auto"/>
        <w:jc w:val="both"/>
        <w:rPr>
          <w:rFonts w:ascii="Calibri" w:hAnsi="Calibri"/>
        </w:rPr>
      </w:pPr>
      <w:r w:rsidRPr="00473EE5">
        <w:rPr>
          <w:rFonts w:ascii="Calibri" w:hAnsi="Calibri"/>
        </w:rPr>
        <w:t xml:space="preserve">The resolutions’ provisions on </w:t>
      </w:r>
      <w:r w:rsidRPr="00473EE5">
        <w:rPr>
          <w:rFonts w:ascii="Calibri" w:hAnsi="Calibri"/>
          <w:b/>
          <w:color w:val="4F81BD" w:themeColor="accent1"/>
        </w:rPr>
        <w:t>education</w:t>
      </w:r>
      <w:r w:rsidRPr="00473EE5">
        <w:rPr>
          <w:rFonts w:ascii="Calibri" w:hAnsi="Calibri"/>
          <w:b/>
        </w:rPr>
        <w:t xml:space="preserve"> </w:t>
      </w:r>
      <w:r w:rsidRPr="00473EE5">
        <w:rPr>
          <w:rFonts w:ascii="Calibri" w:hAnsi="Calibri"/>
        </w:rPr>
        <w:t>reflect</w:t>
      </w:r>
      <w:r w:rsidR="00F357FA" w:rsidRPr="00473EE5">
        <w:rPr>
          <w:rFonts w:ascii="Calibri" w:hAnsi="Calibri"/>
        </w:rPr>
        <w:t xml:space="preserve"> </w:t>
      </w:r>
      <w:r w:rsidR="00BE6DED" w:rsidRPr="00473EE5">
        <w:rPr>
          <w:rFonts w:ascii="Calibri" w:hAnsi="Calibri"/>
        </w:rPr>
        <w:t>Article 10 of CEDAW</w:t>
      </w:r>
      <w:r w:rsidRPr="00473EE5">
        <w:rPr>
          <w:rFonts w:ascii="Calibri" w:hAnsi="Calibri"/>
        </w:rPr>
        <w:t>, which</w:t>
      </w:r>
      <w:r w:rsidR="00BE6DED" w:rsidRPr="00473EE5">
        <w:rPr>
          <w:rFonts w:ascii="Calibri" w:hAnsi="Calibri"/>
        </w:rPr>
        <w:t xml:space="preserve"> upholds women’s</w:t>
      </w:r>
      <w:r w:rsidR="00DD0EF5" w:rsidRPr="00473EE5">
        <w:rPr>
          <w:rFonts w:ascii="Calibri" w:hAnsi="Calibri"/>
        </w:rPr>
        <w:t xml:space="preserve"> right to equality in education</w:t>
      </w:r>
      <w:r w:rsidRPr="00473EE5">
        <w:rPr>
          <w:rFonts w:ascii="Calibri" w:hAnsi="Calibri"/>
        </w:rPr>
        <w:t>. Th</w:t>
      </w:r>
      <w:r w:rsidR="0080458B" w:rsidRPr="00473EE5">
        <w:rPr>
          <w:rFonts w:ascii="Calibri" w:hAnsi="Calibri"/>
        </w:rPr>
        <w:t>e</w:t>
      </w:r>
      <w:r w:rsidRPr="00473EE5">
        <w:rPr>
          <w:rFonts w:ascii="Calibri" w:hAnsi="Calibri"/>
        </w:rPr>
        <w:t xml:space="preserve"> CEDAW GR No. 30 protections relating to education</w:t>
      </w:r>
      <w:r w:rsidR="00C662B1" w:rsidRPr="00473EE5">
        <w:rPr>
          <w:rFonts w:ascii="Calibri" w:hAnsi="Calibri"/>
        </w:rPr>
        <w:t xml:space="preserve"> for women and girls affected by conflict are discussed</w:t>
      </w:r>
      <w:r w:rsidRPr="00473EE5">
        <w:rPr>
          <w:rFonts w:ascii="Calibri" w:hAnsi="Calibri"/>
        </w:rPr>
        <w:t xml:space="preserve"> </w:t>
      </w:r>
      <w:r w:rsidR="00C662B1" w:rsidRPr="00473EE5">
        <w:rPr>
          <w:rFonts w:ascii="Calibri" w:hAnsi="Calibri"/>
        </w:rPr>
        <w:t>further in Section 1</w:t>
      </w:r>
      <w:r w:rsidRPr="00473EE5">
        <w:rPr>
          <w:rFonts w:ascii="Calibri" w:hAnsi="Calibri"/>
        </w:rPr>
        <w:t xml:space="preserve">. </w:t>
      </w:r>
      <w:r w:rsidR="00BE6DED" w:rsidRPr="00473EE5">
        <w:rPr>
          <w:rFonts w:ascii="Calibri" w:hAnsi="Calibri"/>
        </w:rPr>
        <w:t>Article 13(1) of the ICESCR</w:t>
      </w:r>
      <w:r w:rsidR="00E858EF" w:rsidRPr="00473EE5">
        <w:rPr>
          <w:rFonts w:ascii="Calibri" w:hAnsi="Calibri"/>
        </w:rPr>
        <w:t xml:space="preserve"> and its General Comment No</w:t>
      </w:r>
      <w:r w:rsidR="00DC1303" w:rsidRPr="00473EE5">
        <w:rPr>
          <w:rFonts w:ascii="Calibri" w:hAnsi="Calibri"/>
        </w:rPr>
        <w:t>.</w:t>
      </w:r>
      <w:r w:rsidR="00E858EF" w:rsidRPr="00473EE5">
        <w:rPr>
          <w:rFonts w:ascii="Calibri" w:hAnsi="Calibri"/>
        </w:rPr>
        <w:t xml:space="preserve"> 13</w:t>
      </w:r>
      <w:r w:rsidR="00DC1303" w:rsidRPr="00473EE5">
        <w:rPr>
          <w:rFonts w:ascii="Calibri" w:hAnsi="Calibri"/>
        </w:rPr>
        <w:t xml:space="preserve"> (GC No. 13)</w:t>
      </w:r>
      <w:r w:rsidR="005138CA" w:rsidRPr="00473EE5">
        <w:rPr>
          <w:rFonts w:ascii="Calibri" w:hAnsi="Calibri"/>
        </w:rPr>
        <w:t xml:space="preserve"> also uphold women’s access to education</w:t>
      </w:r>
      <w:r w:rsidR="00BE6DED" w:rsidRPr="00473EE5">
        <w:rPr>
          <w:rFonts w:ascii="Calibri" w:hAnsi="Calibri"/>
        </w:rPr>
        <w:t xml:space="preserve">. </w:t>
      </w:r>
      <w:r w:rsidR="00BD0207" w:rsidRPr="00473EE5">
        <w:rPr>
          <w:rFonts w:ascii="Calibri" w:hAnsi="Calibri"/>
        </w:rPr>
        <w:t xml:space="preserve">Article 29(1) of the CRC </w:t>
      </w:r>
      <w:r w:rsidR="005138CA" w:rsidRPr="00473EE5">
        <w:rPr>
          <w:rFonts w:ascii="Calibri" w:hAnsi="Calibri"/>
        </w:rPr>
        <w:t xml:space="preserve">protects </w:t>
      </w:r>
      <w:r w:rsidR="00BD0207" w:rsidRPr="00473EE5">
        <w:rPr>
          <w:rFonts w:ascii="Calibri" w:hAnsi="Calibri"/>
        </w:rPr>
        <w:t>the right</w:t>
      </w:r>
      <w:r w:rsidR="005138CA" w:rsidRPr="00473EE5">
        <w:rPr>
          <w:rFonts w:ascii="Calibri" w:hAnsi="Calibri"/>
        </w:rPr>
        <w:t xml:space="preserve"> of the girl child</w:t>
      </w:r>
      <w:r w:rsidR="00BD0207" w:rsidRPr="00473EE5">
        <w:rPr>
          <w:rFonts w:ascii="Calibri" w:hAnsi="Calibri"/>
        </w:rPr>
        <w:t xml:space="preserve"> to education, and the CRC </w:t>
      </w:r>
      <w:r w:rsidRPr="00473EE5">
        <w:rPr>
          <w:rFonts w:ascii="Calibri" w:hAnsi="Calibri"/>
        </w:rPr>
        <w:t>GC</w:t>
      </w:r>
      <w:r w:rsidR="00BD0207" w:rsidRPr="00473EE5">
        <w:rPr>
          <w:rFonts w:ascii="Calibri" w:hAnsi="Calibri"/>
        </w:rPr>
        <w:t xml:space="preserve"> No. 1 emphasises the importance of education</w:t>
      </w:r>
      <w:r w:rsidR="005138CA" w:rsidRPr="00473EE5">
        <w:rPr>
          <w:rFonts w:ascii="Calibri" w:hAnsi="Calibri"/>
        </w:rPr>
        <w:t xml:space="preserve"> for all children</w:t>
      </w:r>
      <w:r w:rsidR="00BD0207" w:rsidRPr="00473EE5">
        <w:rPr>
          <w:rFonts w:ascii="Calibri" w:hAnsi="Calibri"/>
        </w:rPr>
        <w:t xml:space="preserve"> during </w:t>
      </w:r>
      <w:r w:rsidRPr="00473EE5">
        <w:rPr>
          <w:rFonts w:ascii="Calibri" w:hAnsi="Calibri"/>
        </w:rPr>
        <w:t>both</w:t>
      </w:r>
      <w:r w:rsidR="00BD0207" w:rsidRPr="00473EE5">
        <w:rPr>
          <w:rFonts w:ascii="Calibri" w:hAnsi="Calibri"/>
        </w:rPr>
        <w:t xml:space="preserve"> conflict </w:t>
      </w:r>
      <w:r w:rsidRPr="00473EE5">
        <w:rPr>
          <w:rFonts w:ascii="Calibri" w:hAnsi="Calibri"/>
        </w:rPr>
        <w:t>and</w:t>
      </w:r>
      <w:r w:rsidR="00BD0207" w:rsidRPr="00473EE5">
        <w:rPr>
          <w:rFonts w:ascii="Calibri" w:hAnsi="Calibri"/>
        </w:rPr>
        <w:t xml:space="preserve"> peacetime.</w:t>
      </w:r>
      <w:r w:rsidR="00BD0207" w:rsidRPr="00473EE5">
        <w:rPr>
          <w:rStyle w:val="FootnoteReference"/>
          <w:rFonts w:ascii="Calibri" w:hAnsi="Calibri"/>
        </w:rPr>
        <w:footnoteReference w:id="54"/>
      </w:r>
      <w:r w:rsidR="00BD0207" w:rsidRPr="00473EE5">
        <w:rPr>
          <w:rFonts w:ascii="Calibri" w:hAnsi="Calibri"/>
        </w:rPr>
        <w:t xml:space="preserve"> </w:t>
      </w:r>
    </w:p>
    <w:p w14:paraId="31948112" w14:textId="77777777" w:rsidR="00227B46" w:rsidRPr="00473EE5" w:rsidRDefault="00227B46" w:rsidP="003F32C3">
      <w:pPr>
        <w:jc w:val="both"/>
        <w:rPr>
          <w:rFonts w:ascii="Calibri" w:hAnsi="Calibri"/>
        </w:rPr>
      </w:pPr>
    </w:p>
    <w:p w14:paraId="24EBA9A8" w14:textId="2C1FCC56" w:rsidR="00A63180" w:rsidRPr="00473EE5" w:rsidRDefault="00387481" w:rsidP="00C51E5E">
      <w:pPr>
        <w:spacing w:line="360" w:lineRule="auto"/>
        <w:jc w:val="both"/>
        <w:rPr>
          <w:rFonts w:ascii="Calibri" w:hAnsi="Calibri"/>
        </w:rPr>
      </w:pPr>
      <w:r w:rsidRPr="00473EE5">
        <w:rPr>
          <w:rFonts w:ascii="Calibri" w:hAnsi="Calibri"/>
        </w:rPr>
        <w:t xml:space="preserve">The resolutions’ </w:t>
      </w:r>
      <w:r w:rsidR="00C44DB8" w:rsidRPr="00473EE5">
        <w:rPr>
          <w:rFonts w:ascii="Calibri" w:hAnsi="Calibri"/>
        </w:rPr>
        <w:t>language</w:t>
      </w:r>
      <w:r w:rsidR="00DC1303" w:rsidRPr="00473EE5">
        <w:rPr>
          <w:rFonts w:ascii="Calibri" w:hAnsi="Calibri"/>
        </w:rPr>
        <w:t xml:space="preserve"> on</w:t>
      </w:r>
      <w:r w:rsidRPr="00473EE5">
        <w:rPr>
          <w:rFonts w:ascii="Calibri" w:hAnsi="Calibri"/>
        </w:rPr>
        <w:t xml:space="preserve"> </w:t>
      </w:r>
      <w:r w:rsidRPr="00473EE5">
        <w:rPr>
          <w:rFonts w:ascii="Calibri" w:hAnsi="Calibri"/>
          <w:b/>
          <w:color w:val="4F81BD" w:themeColor="accent1"/>
        </w:rPr>
        <w:t>income-generation</w:t>
      </w:r>
      <w:r w:rsidRPr="00473EE5">
        <w:rPr>
          <w:rFonts w:ascii="Calibri" w:hAnsi="Calibri"/>
        </w:rPr>
        <w:t xml:space="preserve"> (and women’s </w:t>
      </w:r>
      <w:r w:rsidR="00445B87" w:rsidRPr="00473EE5">
        <w:rPr>
          <w:rFonts w:ascii="Calibri" w:hAnsi="Calibri"/>
        </w:rPr>
        <w:t xml:space="preserve">work-related rights) </w:t>
      </w:r>
      <w:r w:rsidR="000E6342" w:rsidRPr="00473EE5">
        <w:rPr>
          <w:rFonts w:ascii="Calibri" w:hAnsi="Calibri"/>
        </w:rPr>
        <w:t>reflects</w:t>
      </w:r>
      <w:r w:rsidRPr="00473EE5">
        <w:rPr>
          <w:rFonts w:ascii="Calibri" w:hAnsi="Calibri"/>
        </w:rPr>
        <w:t xml:space="preserve"> </w:t>
      </w:r>
      <w:r w:rsidR="00DD0EF5" w:rsidRPr="00473EE5">
        <w:rPr>
          <w:rFonts w:ascii="Calibri" w:hAnsi="Calibri"/>
        </w:rPr>
        <w:t>Articles 13 and 14 of CEDAW</w:t>
      </w:r>
      <w:r w:rsidR="00DC1303" w:rsidRPr="00473EE5">
        <w:rPr>
          <w:rFonts w:ascii="Calibri" w:hAnsi="Calibri"/>
        </w:rPr>
        <w:t>, which</w:t>
      </w:r>
      <w:r w:rsidR="00A63180" w:rsidRPr="00473EE5">
        <w:rPr>
          <w:rFonts w:ascii="Calibri" w:hAnsi="Calibri"/>
        </w:rPr>
        <w:t xml:space="preserve"> </w:t>
      </w:r>
      <w:r w:rsidR="00DD0EF5" w:rsidRPr="00473EE5">
        <w:rPr>
          <w:rFonts w:ascii="Calibri" w:hAnsi="Calibri"/>
        </w:rPr>
        <w:t>protect women against discrimination in economic and social life, and uphold rural women’s right to econo</w:t>
      </w:r>
      <w:r w:rsidR="005138CA" w:rsidRPr="00473EE5">
        <w:rPr>
          <w:rFonts w:ascii="Calibri" w:hAnsi="Calibri"/>
        </w:rPr>
        <w:t>mic opportunities, res</w:t>
      </w:r>
      <w:r w:rsidR="00E32684" w:rsidRPr="00473EE5">
        <w:rPr>
          <w:rFonts w:ascii="Calibri" w:hAnsi="Calibri"/>
        </w:rPr>
        <w:t xml:space="preserve">pectively. The CEDAW GR No. 30 </w:t>
      </w:r>
      <w:r w:rsidR="005138CA" w:rsidRPr="00473EE5">
        <w:rPr>
          <w:rFonts w:ascii="Calibri" w:hAnsi="Calibri"/>
        </w:rPr>
        <w:t xml:space="preserve">provides for women and girls to </w:t>
      </w:r>
      <w:r w:rsidR="00E32684" w:rsidRPr="00473EE5">
        <w:rPr>
          <w:rFonts w:ascii="Calibri" w:hAnsi="Calibri"/>
        </w:rPr>
        <w:t>have opportunities</w:t>
      </w:r>
      <w:r w:rsidR="005138CA" w:rsidRPr="00473EE5">
        <w:rPr>
          <w:rFonts w:ascii="Calibri" w:hAnsi="Calibri"/>
        </w:rPr>
        <w:t xml:space="preserve"> </w:t>
      </w:r>
      <w:r w:rsidR="005062A7" w:rsidRPr="00473EE5">
        <w:rPr>
          <w:rFonts w:ascii="Calibri" w:hAnsi="Calibri"/>
        </w:rPr>
        <w:t xml:space="preserve">to </w:t>
      </w:r>
      <w:r w:rsidR="005138CA" w:rsidRPr="00473EE5">
        <w:rPr>
          <w:rFonts w:ascii="Calibri" w:hAnsi="Calibri"/>
        </w:rPr>
        <w:t>economic empowerment.</w:t>
      </w:r>
      <w:r w:rsidR="00A63180" w:rsidRPr="00473EE5">
        <w:rPr>
          <w:rFonts w:ascii="Calibri" w:hAnsi="Calibri"/>
        </w:rPr>
        <w:t xml:space="preserve"> </w:t>
      </w:r>
      <w:r w:rsidR="00F357FA" w:rsidRPr="00473EE5">
        <w:rPr>
          <w:rFonts w:ascii="Calibri" w:hAnsi="Calibri"/>
        </w:rPr>
        <w:t xml:space="preserve">Under the ICESCR, </w:t>
      </w:r>
      <w:r w:rsidR="00A63180" w:rsidRPr="00473EE5">
        <w:rPr>
          <w:rFonts w:ascii="Calibri" w:hAnsi="Calibri"/>
        </w:rPr>
        <w:t>Article</w:t>
      </w:r>
      <w:r w:rsidR="00F357FA" w:rsidRPr="00473EE5">
        <w:rPr>
          <w:rFonts w:ascii="Calibri" w:hAnsi="Calibri"/>
        </w:rPr>
        <w:t xml:space="preserve"> 1 upholds the right to self-determination of all persons, including via their economic and social development, Article 3 guarantees the equal enjoyment of women and men</w:t>
      </w:r>
      <w:r w:rsidR="00DB0F5A" w:rsidRPr="00473EE5">
        <w:rPr>
          <w:rFonts w:ascii="Calibri" w:hAnsi="Calibri"/>
        </w:rPr>
        <w:t xml:space="preserve"> of all </w:t>
      </w:r>
      <w:r w:rsidR="00DC1303" w:rsidRPr="00473EE5">
        <w:rPr>
          <w:rFonts w:ascii="Calibri" w:hAnsi="Calibri"/>
        </w:rPr>
        <w:t>economic, social and cultural rights</w:t>
      </w:r>
      <w:r w:rsidR="00DB0F5A" w:rsidRPr="00473EE5">
        <w:rPr>
          <w:rFonts w:ascii="Calibri" w:hAnsi="Calibri"/>
        </w:rPr>
        <w:t xml:space="preserve">, and Article 6 ensures </w:t>
      </w:r>
      <w:r w:rsidR="0080458B" w:rsidRPr="00473EE5">
        <w:rPr>
          <w:rFonts w:ascii="Calibri" w:hAnsi="Calibri"/>
        </w:rPr>
        <w:t xml:space="preserve">that states parties recognise the right to work and outlines the steps to fully realize </w:t>
      </w:r>
      <w:r w:rsidR="00DC1303" w:rsidRPr="00473EE5">
        <w:rPr>
          <w:rFonts w:ascii="Calibri" w:hAnsi="Calibri"/>
        </w:rPr>
        <w:t>equal enjoyment between the sexes</w:t>
      </w:r>
      <w:r w:rsidR="0080458B" w:rsidRPr="00473EE5">
        <w:rPr>
          <w:rFonts w:ascii="Calibri" w:hAnsi="Calibri"/>
        </w:rPr>
        <w:t>, including via programmes, policies and techniques.</w:t>
      </w:r>
      <w:r w:rsidRPr="00473EE5">
        <w:rPr>
          <w:rStyle w:val="FootnoteReference"/>
          <w:rFonts w:ascii="Calibri" w:hAnsi="Calibri"/>
        </w:rPr>
        <w:t xml:space="preserve"> </w:t>
      </w:r>
      <w:r w:rsidRPr="00473EE5">
        <w:rPr>
          <w:rStyle w:val="FootnoteReference"/>
          <w:rFonts w:ascii="Calibri" w:hAnsi="Calibri"/>
        </w:rPr>
        <w:footnoteReference w:id="55"/>
      </w:r>
      <w:r w:rsidRPr="00473EE5">
        <w:rPr>
          <w:rFonts w:ascii="Calibri" w:hAnsi="Calibri"/>
        </w:rPr>
        <w:t xml:space="preserve"> </w:t>
      </w:r>
      <w:r w:rsidR="0080458B" w:rsidRPr="00473EE5">
        <w:rPr>
          <w:rFonts w:ascii="Calibri" w:hAnsi="Calibri"/>
        </w:rPr>
        <w:t xml:space="preserve"> </w:t>
      </w:r>
    </w:p>
    <w:p w14:paraId="29CC5CEC" w14:textId="77777777" w:rsidR="00A63180" w:rsidRPr="00473EE5" w:rsidRDefault="00A63180" w:rsidP="003F32C3">
      <w:pPr>
        <w:jc w:val="both"/>
        <w:rPr>
          <w:rFonts w:ascii="Calibri" w:hAnsi="Calibri"/>
        </w:rPr>
      </w:pPr>
    </w:p>
    <w:p w14:paraId="0DD15A8B" w14:textId="6AE2606A" w:rsidR="003F32C3" w:rsidRPr="00473EE5" w:rsidRDefault="00116007" w:rsidP="001A6D91">
      <w:pPr>
        <w:spacing w:line="360" w:lineRule="auto"/>
        <w:jc w:val="both"/>
        <w:rPr>
          <w:rFonts w:ascii="Calibri" w:hAnsi="Calibri"/>
        </w:rPr>
      </w:pPr>
      <w:r w:rsidRPr="00473EE5">
        <w:rPr>
          <w:rFonts w:ascii="Calibri" w:hAnsi="Calibri"/>
        </w:rPr>
        <w:t>All the resolutions that follow SCR 1325</w:t>
      </w:r>
      <w:r w:rsidR="00A63180" w:rsidRPr="00473EE5">
        <w:rPr>
          <w:rFonts w:ascii="Calibri" w:hAnsi="Calibri"/>
        </w:rPr>
        <w:t xml:space="preserve"> </w:t>
      </w:r>
      <w:r w:rsidR="005138CA" w:rsidRPr="00473EE5">
        <w:rPr>
          <w:rFonts w:ascii="Calibri" w:hAnsi="Calibri"/>
        </w:rPr>
        <w:t>uphold the rights of women and girls in relation to</w:t>
      </w:r>
      <w:r w:rsidR="005138CA" w:rsidRPr="009F5984">
        <w:rPr>
          <w:rFonts w:ascii="Calibri" w:hAnsi="Calibri"/>
          <w:color w:val="4F81BD" w:themeColor="accent1"/>
        </w:rPr>
        <w:t xml:space="preserve"> </w:t>
      </w:r>
      <w:r w:rsidR="005138CA" w:rsidRPr="009F5984">
        <w:rPr>
          <w:rFonts w:ascii="Calibri" w:hAnsi="Calibri"/>
          <w:b/>
          <w:color w:val="4F81BD" w:themeColor="accent1"/>
        </w:rPr>
        <w:t>health</w:t>
      </w:r>
      <w:r w:rsidR="00E32684" w:rsidRPr="00473EE5">
        <w:rPr>
          <w:rFonts w:ascii="Calibri" w:hAnsi="Calibri"/>
        </w:rPr>
        <w:t>, with Resolution 2106 taking a particular focus on HIV/AIDS</w:t>
      </w:r>
      <w:r w:rsidR="00C662B1" w:rsidRPr="00473EE5">
        <w:rPr>
          <w:rFonts w:ascii="Calibri" w:hAnsi="Calibri"/>
        </w:rPr>
        <w:t>. The resolutions</w:t>
      </w:r>
      <w:r w:rsidR="005138CA" w:rsidRPr="00473EE5">
        <w:rPr>
          <w:rFonts w:ascii="Calibri" w:hAnsi="Calibri"/>
        </w:rPr>
        <w:t xml:space="preserve"> reflect</w:t>
      </w:r>
      <w:r w:rsidR="00A63180" w:rsidRPr="00473EE5">
        <w:rPr>
          <w:rFonts w:ascii="Calibri" w:hAnsi="Calibri"/>
        </w:rPr>
        <w:t xml:space="preserve"> </w:t>
      </w:r>
      <w:r w:rsidR="00BE6DED" w:rsidRPr="00473EE5">
        <w:rPr>
          <w:rFonts w:ascii="Calibri" w:hAnsi="Calibri"/>
        </w:rPr>
        <w:t>Article 12 of CEDAW</w:t>
      </w:r>
      <w:r w:rsidR="005138CA" w:rsidRPr="00473EE5">
        <w:rPr>
          <w:rFonts w:ascii="Calibri" w:hAnsi="Calibri"/>
        </w:rPr>
        <w:t>, which addresses</w:t>
      </w:r>
      <w:r w:rsidR="00BE6DED" w:rsidRPr="00473EE5">
        <w:rPr>
          <w:rFonts w:ascii="Calibri" w:hAnsi="Calibri"/>
        </w:rPr>
        <w:t xml:space="preserve"> women’s right </w:t>
      </w:r>
      <w:r w:rsidR="00DD0EF5" w:rsidRPr="00473EE5">
        <w:rPr>
          <w:rFonts w:ascii="Calibri" w:hAnsi="Calibri"/>
        </w:rPr>
        <w:t xml:space="preserve">to </w:t>
      </w:r>
      <w:r w:rsidR="00BE6DED" w:rsidRPr="00473EE5">
        <w:rPr>
          <w:rFonts w:ascii="Calibri" w:hAnsi="Calibri"/>
        </w:rPr>
        <w:t xml:space="preserve">health care services including family planning, which </w:t>
      </w:r>
      <w:r w:rsidR="005138CA" w:rsidRPr="00473EE5">
        <w:rPr>
          <w:rFonts w:ascii="Calibri" w:hAnsi="Calibri"/>
        </w:rPr>
        <w:t>as well as the</w:t>
      </w:r>
      <w:r w:rsidR="00DD0EF5" w:rsidRPr="00473EE5">
        <w:rPr>
          <w:rFonts w:ascii="Calibri" w:hAnsi="Calibri"/>
        </w:rPr>
        <w:t xml:space="preserve"> CEDAW G</w:t>
      </w:r>
      <w:r w:rsidR="005138CA" w:rsidRPr="00473EE5">
        <w:rPr>
          <w:rFonts w:ascii="Calibri" w:hAnsi="Calibri"/>
        </w:rPr>
        <w:t xml:space="preserve">Rs No 14 on female circumcision, </w:t>
      </w:r>
      <w:r w:rsidR="00DD0EF5" w:rsidRPr="00473EE5">
        <w:rPr>
          <w:rFonts w:ascii="Calibri" w:hAnsi="Calibri"/>
        </w:rPr>
        <w:t>GRs No. 15 and 24 (mentioned above in relation to SCR 1325).</w:t>
      </w:r>
      <w:r w:rsidR="005138CA" w:rsidRPr="00473EE5">
        <w:rPr>
          <w:rFonts w:ascii="Calibri" w:hAnsi="Calibri"/>
        </w:rPr>
        <w:t xml:space="preserve"> CEDAW GR No. 30 </w:t>
      </w:r>
      <w:r w:rsidR="0080458B" w:rsidRPr="00473EE5">
        <w:rPr>
          <w:rFonts w:ascii="Calibri" w:hAnsi="Calibri"/>
        </w:rPr>
        <w:t xml:space="preserve">contains </w:t>
      </w:r>
      <w:r w:rsidR="00DC1303" w:rsidRPr="00473EE5">
        <w:rPr>
          <w:rFonts w:ascii="Calibri" w:hAnsi="Calibri"/>
        </w:rPr>
        <w:t>robust</w:t>
      </w:r>
      <w:r w:rsidR="0080458B" w:rsidRPr="00473EE5">
        <w:rPr>
          <w:rFonts w:ascii="Calibri" w:hAnsi="Calibri"/>
        </w:rPr>
        <w:t xml:space="preserve"> recommendations on women and girls’ health in relation to conflict</w:t>
      </w:r>
      <w:r w:rsidR="00C662B1" w:rsidRPr="00473EE5">
        <w:rPr>
          <w:rFonts w:ascii="Calibri" w:hAnsi="Calibri"/>
        </w:rPr>
        <w:t xml:space="preserve"> prevention, conflict, post-conflict and transitional justice situations</w:t>
      </w:r>
      <w:r w:rsidR="0080458B" w:rsidRPr="00473EE5">
        <w:rPr>
          <w:rFonts w:ascii="Calibri" w:hAnsi="Calibri"/>
        </w:rPr>
        <w:t>. The CRC</w:t>
      </w:r>
      <w:r w:rsidR="007143F1" w:rsidRPr="00473EE5">
        <w:rPr>
          <w:rFonts w:ascii="Calibri" w:hAnsi="Calibri"/>
        </w:rPr>
        <w:t xml:space="preserve"> and its </w:t>
      </w:r>
      <w:r w:rsidR="00C662B1" w:rsidRPr="00473EE5">
        <w:rPr>
          <w:rFonts w:ascii="Calibri" w:hAnsi="Calibri"/>
        </w:rPr>
        <w:t>GC</w:t>
      </w:r>
      <w:r w:rsidR="007143F1" w:rsidRPr="00473EE5">
        <w:rPr>
          <w:rFonts w:ascii="Calibri" w:hAnsi="Calibri"/>
        </w:rPr>
        <w:t xml:space="preserve"> No. 4 on adolescent health and development</w:t>
      </w:r>
      <w:r w:rsidR="00C662B1" w:rsidRPr="00473EE5">
        <w:rPr>
          <w:rFonts w:ascii="Calibri" w:hAnsi="Calibri"/>
        </w:rPr>
        <w:t>, which protect</w:t>
      </w:r>
      <w:r w:rsidR="007143F1" w:rsidRPr="00473EE5">
        <w:rPr>
          <w:rFonts w:ascii="Calibri" w:hAnsi="Calibri"/>
        </w:rPr>
        <w:t xml:space="preserve"> the rights of the girl child in relation to conflict</w:t>
      </w:r>
      <w:r w:rsidR="000E6342" w:rsidRPr="00473EE5">
        <w:rPr>
          <w:rFonts w:ascii="Calibri" w:hAnsi="Calibri"/>
        </w:rPr>
        <w:t>, are also reflected in the resolutions</w:t>
      </w:r>
      <w:r w:rsidR="007143F1" w:rsidRPr="00473EE5">
        <w:rPr>
          <w:rFonts w:ascii="Calibri" w:hAnsi="Calibri"/>
        </w:rPr>
        <w:t>.</w:t>
      </w:r>
      <w:r w:rsidR="00A63180" w:rsidRPr="00473EE5">
        <w:rPr>
          <w:rStyle w:val="FootnoteReference"/>
          <w:rFonts w:ascii="Calibri" w:hAnsi="Calibri"/>
        </w:rPr>
        <w:footnoteReference w:id="56"/>
      </w:r>
      <w:r w:rsidR="00BE6DED" w:rsidRPr="00473EE5">
        <w:rPr>
          <w:rFonts w:ascii="Calibri" w:hAnsi="Calibri"/>
        </w:rPr>
        <w:t xml:space="preserve"> </w:t>
      </w:r>
    </w:p>
    <w:p w14:paraId="338B2E5C" w14:textId="77777777" w:rsidR="003F32C3" w:rsidRDefault="003F32C3" w:rsidP="00F3615E">
      <w:pPr>
        <w:jc w:val="both"/>
        <w:rPr>
          <w:rFonts w:ascii="Calibri" w:hAnsi="Calibri"/>
        </w:rPr>
      </w:pPr>
    </w:p>
    <w:p w14:paraId="45B01A70" w14:textId="36DBD507" w:rsidR="00F3615E" w:rsidRPr="004C0678" w:rsidRDefault="007A7F07" w:rsidP="007A7F07">
      <w:pPr>
        <w:pStyle w:val="Title"/>
        <w:jc w:val="center"/>
        <w:rPr>
          <w:sz w:val="32"/>
          <w:szCs w:val="32"/>
        </w:rPr>
      </w:pPr>
      <w:r w:rsidRPr="004C0678">
        <w:rPr>
          <w:sz w:val="32"/>
          <w:szCs w:val="32"/>
        </w:rPr>
        <w:lastRenderedPageBreak/>
        <w:t xml:space="preserve">HOW THE RESOLUTIONS ON </w:t>
      </w:r>
      <w:r>
        <w:rPr>
          <w:sz w:val="32"/>
          <w:szCs w:val="32"/>
        </w:rPr>
        <w:t>WOMEN, PEACE AND SECURITY</w:t>
      </w:r>
      <w:r w:rsidRPr="004C0678">
        <w:rPr>
          <w:sz w:val="32"/>
          <w:szCs w:val="32"/>
        </w:rPr>
        <w:t xml:space="preserve"> </w:t>
      </w:r>
      <w:r w:rsidR="005E6446" w:rsidRPr="004C0678">
        <w:rPr>
          <w:sz w:val="32"/>
          <w:szCs w:val="32"/>
        </w:rPr>
        <w:t>REFLECT</w:t>
      </w:r>
      <w:r w:rsidR="002E0E22" w:rsidRPr="004C0678">
        <w:rPr>
          <w:sz w:val="32"/>
          <w:szCs w:val="32"/>
        </w:rPr>
        <w:t xml:space="preserve"> </w:t>
      </w:r>
      <w:r w:rsidR="00F3615E" w:rsidRPr="004C0678">
        <w:rPr>
          <w:sz w:val="32"/>
          <w:szCs w:val="32"/>
        </w:rPr>
        <w:t>INTERNATIONAL HUMANITARIAN LAW</w:t>
      </w:r>
    </w:p>
    <w:p w14:paraId="17E006B1" w14:textId="77777777" w:rsidR="00F3615E" w:rsidRDefault="00F3615E" w:rsidP="00F3615E">
      <w:pPr>
        <w:jc w:val="both"/>
        <w:rPr>
          <w:rFonts w:ascii="Calibri" w:hAnsi="Calibri"/>
        </w:rPr>
      </w:pPr>
    </w:p>
    <w:p w14:paraId="6EE8B4C0" w14:textId="316DDFC8" w:rsidR="00DE49AA" w:rsidRPr="00764569" w:rsidRDefault="005F6BBD" w:rsidP="001A6D91">
      <w:pPr>
        <w:spacing w:line="360" w:lineRule="auto"/>
        <w:jc w:val="both"/>
        <w:rPr>
          <w:rFonts w:ascii="Calibri" w:hAnsi="Calibri"/>
        </w:rPr>
      </w:pPr>
      <w:r w:rsidRPr="00764569">
        <w:rPr>
          <w:rFonts w:ascii="Calibri" w:hAnsi="Calibri"/>
        </w:rPr>
        <w:t>The resolutions</w:t>
      </w:r>
      <w:r w:rsidR="00D046F8" w:rsidRPr="00764569">
        <w:rPr>
          <w:rFonts w:ascii="Calibri" w:hAnsi="Calibri"/>
        </w:rPr>
        <w:t xml:space="preserve"> extend the protections in SCR 1325 by</w:t>
      </w:r>
      <w:r w:rsidRPr="00764569">
        <w:rPr>
          <w:rFonts w:ascii="Calibri" w:hAnsi="Calibri"/>
        </w:rPr>
        <w:t xml:space="preserve"> reflect</w:t>
      </w:r>
      <w:r w:rsidR="00957206" w:rsidRPr="00764569">
        <w:rPr>
          <w:rFonts w:ascii="Calibri" w:hAnsi="Calibri"/>
        </w:rPr>
        <w:t>ing</w:t>
      </w:r>
      <w:r w:rsidRPr="00764569">
        <w:rPr>
          <w:rFonts w:ascii="Calibri" w:hAnsi="Calibri"/>
        </w:rPr>
        <w:t xml:space="preserve"> core </w:t>
      </w:r>
      <w:r w:rsidR="00C662B1" w:rsidRPr="00764569">
        <w:rPr>
          <w:rFonts w:ascii="Calibri" w:hAnsi="Calibri"/>
        </w:rPr>
        <w:t>principles of IHL, especially</w:t>
      </w:r>
      <w:r w:rsidR="00D574D2" w:rsidRPr="00764569">
        <w:rPr>
          <w:rFonts w:ascii="Calibri" w:hAnsi="Calibri"/>
        </w:rPr>
        <w:t xml:space="preserve"> the </w:t>
      </w:r>
      <w:r w:rsidR="00D574D2" w:rsidRPr="00764569">
        <w:rPr>
          <w:rFonts w:ascii="Calibri" w:hAnsi="Calibri"/>
          <w:b/>
          <w:color w:val="4F81BD" w:themeColor="accent1"/>
        </w:rPr>
        <w:t>protection of civilians</w:t>
      </w:r>
      <w:r w:rsidR="00D574D2" w:rsidRPr="00764569">
        <w:rPr>
          <w:rFonts w:ascii="Calibri" w:hAnsi="Calibri"/>
        </w:rPr>
        <w:t>, which is contained in the Fourth Geneva Convention (to which almost all states are parties) and is supported by customary IHL and state practice.</w:t>
      </w:r>
      <w:r w:rsidR="00DE49AA" w:rsidRPr="00764569">
        <w:rPr>
          <w:rStyle w:val="FootnoteReference"/>
          <w:rFonts w:ascii="Calibri" w:hAnsi="Calibri"/>
        </w:rPr>
        <w:footnoteReference w:id="57"/>
      </w:r>
      <w:r w:rsidRPr="00764569">
        <w:rPr>
          <w:rFonts w:ascii="Calibri" w:hAnsi="Calibri"/>
        </w:rPr>
        <w:t xml:space="preserve"> </w:t>
      </w:r>
      <w:r w:rsidR="00D574D2" w:rsidRPr="00764569">
        <w:rPr>
          <w:rFonts w:ascii="Calibri" w:hAnsi="Calibri"/>
        </w:rPr>
        <w:t xml:space="preserve">The resolutions affirm the </w:t>
      </w:r>
      <w:r w:rsidRPr="00764569">
        <w:rPr>
          <w:rFonts w:ascii="Calibri" w:hAnsi="Calibri"/>
        </w:rPr>
        <w:t>principle of distinction b</w:t>
      </w:r>
      <w:r w:rsidR="00975ACE" w:rsidRPr="00764569">
        <w:rPr>
          <w:rFonts w:ascii="Calibri" w:hAnsi="Calibri"/>
        </w:rPr>
        <w:t>e</w:t>
      </w:r>
      <w:r w:rsidR="0098062C" w:rsidRPr="00764569">
        <w:rPr>
          <w:rFonts w:ascii="Calibri" w:hAnsi="Calibri"/>
        </w:rPr>
        <w:t>tween combatants and civilians</w:t>
      </w:r>
      <w:r w:rsidR="00DE49AA" w:rsidRPr="00764569">
        <w:rPr>
          <w:rFonts w:ascii="Calibri" w:hAnsi="Calibri"/>
        </w:rPr>
        <w:t xml:space="preserve">, </w:t>
      </w:r>
      <w:r w:rsidR="00841987" w:rsidRPr="00764569">
        <w:rPr>
          <w:rFonts w:ascii="Calibri" w:hAnsi="Calibri"/>
        </w:rPr>
        <w:t xml:space="preserve">and </w:t>
      </w:r>
      <w:r w:rsidR="007C5C8E" w:rsidRPr="00764569">
        <w:rPr>
          <w:rFonts w:ascii="Calibri" w:hAnsi="Calibri"/>
        </w:rPr>
        <w:t>build on</w:t>
      </w:r>
      <w:r w:rsidR="00957206" w:rsidRPr="00764569">
        <w:rPr>
          <w:rFonts w:ascii="Calibri" w:hAnsi="Calibri"/>
        </w:rPr>
        <w:t xml:space="preserve"> the provisions in</w:t>
      </w:r>
      <w:r w:rsidR="007C5C8E" w:rsidRPr="00764569">
        <w:rPr>
          <w:rFonts w:ascii="Calibri" w:hAnsi="Calibri"/>
        </w:rPr>
        <w:t xml:space="preserve"> SCR 1325 by reflecting IHL principles regarding </w:t>
      </w:r>
      <w:r w:rsidR="00DE49AA" w:rsidRPr="00764569">
        <w:rPr>
          <w:rFonts w:ascii="Calibri" w:hAnsi="Calibri"/>
          <w:b/>
          <w:color w:val="4F81BD" w:themeColor="accent1"/>
        </w:rPr>
        <w:t>rape and sexual violence</w:t>
      </w:r>
      <w:r w:rsidR="00DE49AA" w:rsidRPr="00764569">
        <w:rPr>
          <w:rFonts w:ascii="Calibri" w:hAnsi="Calibri"/>
        </w:rPr>
        <w:t xml:space="preserve">, the treatment of </w:t>
      </w:r>
      <w:r w:rsidR="00DE49AA" w:rsidRPr="00764569">
        <w:rPr>
          <w:rFonts w:ascii="Calibri" w:hAnsi="Calibri"/>
          <w:b/>
          <w:color w:val="4F81BD" w:themeColor="accent1"/>
        </w:rPr>
        <w:t>refugees, displaced persons and abductees</w:t>
      </w:r>
      <w:r w:rsidR="00DE49AA" w:rsidRPr="00764569">
        <w:rPr>
          <w:rFonts w:ascii="Calibri" w:hAnsi="Calibri"/>
          <w:color w:val="4F81BD" w:themeColor="accent1"/>
        </w:rPr>
        <w:t>,</w:t>
      </w:r>
      <w:r w:rsidR="00DE49AA" w:rsidRPr="000852AC">
        <w:rPr>
          <w:rFonts w:ascii="Calibri" w:hAnsi="Calibri"/>
          <w:b/>
          <w:color w:val="4F81BD" w:themeColor="accent1"/>
        </w:rPr>
        <w:t xml:space="preserve"> and </w:t>
      </w:r>
      <w:r w:rsidR="00C662B1" w:rsidRPr="00764569">
        <w:rPr>
          <w:rFonts w:ascii="Calibri" w:hAnsi="Calibri"/>
          <w:b/>
          <w:color w:val="4F81BD" w:themeColor="accent1"/>
        </w:rPr>
        <w:t xml:space="preserve">individual and command </w:t>
      </w:r>
      <w:r w:rsidR="00764569">
        <w:rPr>
          <w:rFonts w:ascii="Calibri" w:hAnsi="Calibri"/>
          <w:b/>
          <w:color w:val="4F81BD" w:themeColor="accent1"/>
        </w:rPr>
        <w:t>r</w:t>
      </w:r>
      <w:r w:rsidR="00DE49AA" w:rsidRPr="00764569">
        <w:rPr>
          <w:rFonts w:ascii="Calibri" w:hAnsi="Calibri"/>
          <w:b/>
          <w:color w:val="4F81BD" w:themeColor="accent1"/>
        </w:rPr>
        <w:t>esponsibility</w:t>
      </w:r>
      <w:r w:rsidR="0098062C" w:rsidRPr="00764569">
        <w:rPr>
          <w:rFonts w:ascii="Calibri" w:hAnsi="Calibri"/>
          <w:color w:val="4F81BD" w:themeColor="accent1"/>
        </w:rPr>
        <w:t>.</w:t>
      </w:r>
      <w:r w:rsidR="00083D64" w:rsidRPr="00764569">
        <w:rPr>
          <w:rStyle w:val="FootnoteReference"/>
          <w:rFonts w:ascii="Calibri" w:hAnsi="Calibri"/>
          <w:color w:val="4F81BD" w:themeColor="accent1"/>
        </w:rPr>
        <w:footnoteReference w:id="58"/>
      </w:r>
      <w:r w:rsidR="0098062C" w:rsidRPr="00764569">
        <w:rPr>
          <w:rFonts w:ascii="Calibri" w:hAnsi="Calibri"/>
        </w:rPr>
        <w:t xml:space="preserve"> </w:t>
      </w:r>
    </w:p>
    <w:p w14:paraId="5A4C465A" w14:textId="77777777" w:rsidR="00DE49AA" w:rsidRPr="00764569" w:rsidRDefault="00DE49AA" w:rsidP="00F65041">
      <w:pPr>
        <w:jc w:val="both"/>
        <w:rPr>
          <w:rFonts w:ascii="Calibri" w:hAnsi="Calibri"/>
        </w:rPr>
      </w:pPr>
    </w:p>
    <w:p w14:paraId="096C9858" w14:textId="3C5923EF" w:rsidR="00060DE0" w:rsidRPr="00764569" w:rsidRDefault="00060DE0" w:rsidP="001A6D91">
      <w:pPr>
        <w:spacing w:line="360" w:lineRule="auto"/>
        <w:jc w:val="both"/>
        <w:rPr>
          <w:rFonts w:ascii="Calibri" w:hAnsi="Calibri"/>
        </w:rPr>
      </w:pPr>
      <w:r w:rsidRPr="00764569">
        <w:rPr>
          <w:rFonts w:ascii="Calibri" w:hAnsi="Calibri"/>
        </w:rPr>
        <w:t>SCR 1820 contains stronger language on</w:t>
      </w:r>
      <w:r w:rsidR="00263198" w:rsidRPr="00764569">
        <w:rPr>
          <w:rFonts w:ascii="Calibri" w:hAnsi="Calibri"/>
        </w:rPr>
        <w:t xml:space="preserve"> </w:t>
      </w:r>
      <w:r w:rsidRPr="00764569">
        <w:rPr>
          <w:rFonts w:ascii="Calibri" w:hAnsi="Calibri"/>
          <w:b/>
          <w:color w:val="4F81BD" w:themeColor="accent1"/>
        </w:rPr>
        <w:t>rape and sexual violence</w:t>
      </w:r>
      <w:r w:rsidRPr="00764569">
        <w:rPr>
          <w:rFonts w:ascii="Calibri" w:hAnsi="Calibri"/>
        </w:rPr>
        <w:t xml:space="preserve"> than SCR 1325</w:t>
      </w:r>
      <w:r w:rsidR="00263198" w:rsidRPr="00764569">
        <w:rPr>
          <w:rFonts w:ascii="Calibri" w:hAnsi="Calibri"/>
        </w:rPr>
        <w:t xml:space="preserve">, </w:t>
      </w:r>
      <w:r w:rsidR="006E63EF" w:rsidRPr="00764569">
        <w:rPr>
          <w:rFonts w:ascii="Calibri" w:hAnsi="Calibri"/>
        </w:rPr>
        <w:t xml:space="preserve">more fully </w:t>
      </w:r>
      <w:r w:rsidR="00DE49AA" w:rsidRPr="00764569">
        <w:rPr>
          <w:rFonts w:ascii="Calibri" w:hAnsi="Calibri"/>
        </w:rPr>
        <w:t>reflecting</w:t>
      </w:r>
      <w:r w:rsidR="00263198" w:rsidRPr="00764569">
        <w:rPr>
          <w:rFonts w:ascii="Calibri" w:hAnsi="Calibri"/>
        </w:rPr>
        <w:t xml:space="preserve"> customary IHL </w:t>
      </w:r>
      <w:r w:rsidR="005F6832" w:rsidRPr="00764569">
        <w:rPr>
          <w:rFonts w:ascii="Calibri" w:hAnsi="Calibri"/>
        </w:rPr>
        <w:t>rules</w:t>
      </w:r>
      <w:r w:rsidR="00263198" w:rsidRPr="00764569">
        <w:rPr>
          <w:rFonts w:ascii="Calibri" w:hAnsi="Calibri"/>
        </w:rPr>
        <w:t xml:space="preserve"> </w:t>
      </w:r>
      <w:r w:rsidR="000E1FCD" w:rsidRPr="00764569">
        <w:rPr>
          <w:rFonts w:ascii="Calibri" w:hAnsi="Calibri"/>
        </w:rPr>
        <w:t>on</w:t>
      </w:r>
      <w:r w:rsidR="00263198" w:rsidRPr="00764569">
        <w:rPr>
          <w:rFonts w:ascii="Calibri" w:hAnsi="Calibri"/>
        </w:rPr>
        <w:t xml:space="preserve"> </w:t>
      </w:r>
      <w:r w:rsidR="00957206" w:rsidRPr="00764569">
        <w:rPr>
          <w:rFonts w:ascii="Calibri" w:hAnsi="Calibri"/>
        </w:rPr>
        <w:t>protecting</w:t>
      </w:r>
      <w:r w:rsidR="000E1FCD" w:rsidRPr="00764569">
        <w:rPr>
          <w:rFonts w:ascii="Calibri" w:hAnsi="Calibri"/>
        </w:rPr>
        <w:t xml:space="preserve"> </w:t>
      </w:r>
      <w:r w:rsidR="00263198" w:rsidRPr="00764569">
        <w:rPr>
          <w:rFonts w:ascii="Calibri" w:hAnsi="Calibri"/>
        </w:rPr>
        <w:t>women and children</w:t>
      </w:r>
      <w:r w:rsidR="000E1FCD" w:rsidRPr="00764569">
        <w:rPr>
          <w:rFonts w:ascii="Calibri" w:hAnsi="Calibri"/>
        </w:rPr>
        <w:t xml:space="preserve"> civilians</w:t>
      </w:r>
      <w:r w:rsidRPr="00764569">
        <w:rPr>
          <w:rFonts w:ascii="Calibri" w:hAnsi="Calibri"/>
        </w:rPr>
        <w:t>.</w:t>
      </w:r>
      <w:r w:rsidR="00263198" w:rsidRPr="00764569">
        <w:rPr>
          <w:rStyle w:val="FootnoteReference"/>
          <w:rFonts w:ascii="Calibri" w:hAnsi="Calibri"/>
        </w:rPr>
        <w:footnoteReference w:id="59"/>
      </w:r>
      <w:r w:rsidRPr="00764569">
        <w:rPr>
          <w:rFonts w:ascii="Calibri" w:hAnsi="Calibri"/>
        </w:rPr>
        <w:t xml:space="preserve"> </w:t>
      </w:r>
      <w:r w:rsidR="00DE49AA" w:rsidRPr="00764569">
        <w:rPr>
          <w:rFonts w:ascii="Calibri" w:hAnsi="Calibri"/>
        </w:rPr>
        <w:t xml:space="preserve">The Resolution </w:t>
      </w:r>
      <w:r w:rsidRPr="00764569">
        <w:rPr>
          <w:rFonts w:ascii="Calibri" w:hAnsi="Calibri"/>
        </w:rPr>
        <w:t xml:space="preserve">reaffirms </w:t>
      </w:r>
      <w:r w:rsidR="00263198" w:rsidRPr="00764569">
        <w:rPr>
          <w:rFonts w:ascii="Calibri" w:hAnsi="Calibri"/>
        </w:rPr>
        <w:t>the Council’s</w:t>
      </w:r>
      <w:r w:rsidRPr="00764569">
        <w:rPr>
          <w:rFonts w:ascii="Calibri" w:hAnsi="Calibri"/>
        </w:rPr>
        <w:t xml:space="preserve"> condemnation</w:t>
      </w:r>
      <w:r w:rsidR="00263198" w:rsidRPr="00764569">
        <w:rPr>
          <w:rFonts w:ascii="Calibri" w:hAnsi="Calibri"/>
        </w:rPr>
        <w:t xml:space="preserve"> of rape and sexual violence and its resolve to address SGBV</w:t>
      </w:r>
      <w:r w:rsidRPr="00764569">
        <w:rPr>
          <w:rFonts w:ascii="Calibri" w:hAnsi="Calibri"/>
        </w:rPr>
        <w:t xml:space="preserve"> by ending impunity and protecting civilians during and after arm</w:t>
      </w:r>
      <w:r w:rsidR="00DE49AA" w:rsidRPr="00764569">
        <w:rPr>
          <w:rFonts w:ascii="Calibri" w:hAnsi="Calibri"/>
        </w:rPr>
        <w:t xml:space="preserve">ed conflict in accordance with IHL and international </w:t>
      </w:r>
      <w:r w:rsidRPr="00764569">
        <w:rPr>
          <w:rFonts w:ascii="Calibri" w:hAnsi="Calibri"/>
        </w:rPr>
        <w:t xml:space="preserve">human rights law. </w:t>
      </w:r>
      <w:r w:rsidR="00263198" w:rsidRPr="00764569">
        <w:rPr>
          <w:rFonts w:ascii="Calibri" w:hAnsi="Calibri"/>
        </w:rPr>
        <w:t>In SCR 1820</w:t>
      </w:r>
      <w:r w:rsidR="004F255A" w:rsidRPr="00764569">
        <w:rPr>
          <w:rFonts w:ascii="Calibri" w:hAnsi="Calibri"/>
        </w:rPr>
        <w:t>,</w:t>
      </w:r>
      <w:r w:rsidR="00263198" w:rsidRPr="00764569">
        <w:rPr>
          <w:rFonts w:ascii="Calibri" w:hAnsi="Calibri"/>
        </w:rPr>
        <w:t xml:space="preserve"> the Council</w:t>
      </w:r>
      <w:r w:rsidR="00622072" w:rsidRPr="00764569">
        <w:rPr>
          <w:rFonts w:ascii="Calibri" w:hAnsi="Calibri"/>
        </w:rPr>
        <w:t xml:space="preserve"> </w:t>
      </w:r>
      <w:r w:rsidR="00F2732C" w:rsidRPr="00764569">
        <w:rPr>
          <w:rFonts w:ascii="Calibri" w:hAnsi="Calibri"/>
        </w:rPr>
        <w:t>recognises the connection between protecting civilians from sexual violence and maintaining international peace and security</w:t>
      </w:r>
      <w:r w:rsidR="00263198" w:rsidRPr="00764569">
        <w:rPr>
          <w:rFonts w:ascii="Calibri" w:hAnsi="Calibri"/>
        </w:rPr>
        <w:t xml:space="preserve">, </w:t>
      </w:r>
      <w:r w:rsidR="00F2732C" w:rsidRPr="00764569">
        <w:rPr>
          <w:rFonts w:ascii="Calibri" w:hAnsi="Calibri"/>
        </w:rPr>
        <w:t xml:space="preserve">expresses its willingness to address widespread </w:t>
      </w:r>
      <w:r w:rsidR="00263198" w:rsidRPr="00764569">
        <w:rPr>
          <w:rFonts w:ascii="Calibri" w:hAnsi="Calibri"/>
        </w:rPr>
        <w:t xml:space="preserve">and systematic sexual violence and </w:t>
      </w:r>
      <w:r w:rsidR="00622072" w:rsidRPr="00764569">
        <w:rPr>
          <w:rFonts w:ascii="Calibri" w:hAnsi="Calibri"/>
        </w:rPr>
        <w:t>demands that all parties immediately and completely case all acts of sexual violence against civilians</w:t>
      </w:r>
      <w:r w:rsidR="00263198" w:rsidRPr="00764569">
        <w:rPr>
          <w:rFonts w:ascii="Calibri" w:hAnsi="Calibri"/>
        </w:rPr>
        <w:t>.</w:t>
      </w:r>
      <w:r w:rsidR="004F255A" w:rsidRPr="00764569">
        <w:rPr>
          <w:rFonts w:ascii="Calibri" w:hAnsi="Calibri"/>
        </w:rPr>
        <w:t xml:space="preserve"> The council</w:t>
      </w:r>
      <w:r w:rsidR="006B42F0" w:rsidRPr="00764569">
        <w:rPr>
          <w:rFonts w:ascii="Calibri" w:hAnsi="Calibri"/>
        </w:rPr>
        <w:t xml:space="preserve"> asks the Secretary-General to </w:t>
      </w:r>
      <w:r w:rsidR="004F255A" w:rsidRPr="00764569">
        <w:rPr>
          <w:rFonts w:ascii="Calibri" w:hAnsi="Calibri"/>
        </w:rPr>
        <w:t>train</w:t>
      </w:r>
      <w:r w:rsidR="006B42F0" w:rsidRPr="00764569">
        <w:rPr>
          <w:rFonts w:ascii="Calibri" w:hAnsi="Calibri"/>
        </w:rPr>
        <w:t xml:space="preserve"> peacekeepi</w:t>
      </w:r>
      <w:r w:rsidR="004F255A" w:rsidRPr="00764569">
        <w:rPr>
          <w:rFonts w:ascii="Calibri" w:hAnsi="Calibri"/>
        </w:rPr>
        <w:t>ng and humanitarian personnel on how to</w:t>
      </w:r>
      <w:r w:rsidR="006B42F0" w:rsidRPr="00764569">
        <w:rPr>
          <w:rFonts w:ascii="Calibri" w:hAnsi="Calibri"/>
        </w:rPr>
        <w:t xml:space="preserve"> better </w:t>
      </w:r>
      <w:r w:rsidR="00A33A47" w:rsidRPr="00764569">
        <w:rPr>
          <w:rFonts w:ascii="Calibri" w:hAnsi="Calibri"/>
        </w:rPr>
        <w:t xml:space="preserve">prevent, recognize and </w:t>
      </w:r>
      <w:r w:rsidR="006B42F0" w:rsidRPr="00764569">
        <w:rPr>
          <w:rFonts w:ascii="Calibri" w:hAnsi="Calibri"/>
        </w:rPr>
        <w:t>respond to</w:t>
      </w:r>
      <w:r w:rsidR="00A33A47" w:rsidRPr="00764569">
        <w:rPr>
          <w:rFonts w:ascii="Calibri" w:hAnsi="Calibri"/>
        </w:rPr>
        <w:t xml:space="preserve"> sexual violence and other rights violations against civilians.</w:t>
      </w:r>
      <w:r w:rsidR="006B42F0" w:rsidRPr="00764569">
        <w:rPr>
          <w:rFonts w:ascii="Calibri" w:hAnsi="Calibri"/>
        </w:rPr>
        <w:t xml:space="preserve"> </w:t>
      </w:r>
      <w:r w:rsidR="004F255A" w:rsidRPr="00764569">
        <w:rPr>
          <w:rFonts w:ascii="Calibri" w:hAnsi="Calibri"/>
        </w:rPr>
        <w:t xml:space="preserve">SCR 1820 </w:t>
      </w:r>
      <w:r w:rsidR="000E1FCD" w:rsidRPr="00764569">
        <w:rPr>
          <w:rFonts w:ascii="Calibri" w:hAnsi="Calibri"/>
        </w:rPr>
        <w:t>encourages troop-</w:t>
      </w:r>
      <w:r w:rsidR="00DC1303" w:rsidRPr="00764569">
        <w:rPr>
          <w:rFonts w:ascii="Calibri" w:hAnsi="Calibri"/>
        </w:rPr>
        <w:t>contributing countries to peacekeeping missions</w:t>
      </w:r>
      <w:r w:rsidR="00C00DDD" w:rsidRPr="00764569">
        <w:rPr>
          <w:rFonts w:ascii="Calibri" w:hAnsi="Calibri"/>
        </w:rPr>
        <w:t xml:space="preserve"> to </w:t>
      </w:r>
      <w:r w:rsidR="000E1FCD" w:rsidRPr="00764569">
        <w:rPr>
          <w:rFonts w:ascii="Calibri" w:hAnsi="Calibri"/>
        </w:rPr>
        <w:t>heighten the</w:t>
      </w:r>
      <w:r w:rsidR="00C00DDD" w:rsidRPr="00764569">
        <w:rPr>
          <w:rFonts w:ascii="Calibri" w:hAnsi="Calibri"/>
        </w:rPr>
        <w:t xml:space="preserve"> awareness and responsiveness </w:t>
      </w:r>
      <w:r w:rsidR="000E1FCD" w:rsidRPr="00764569">
        <w:rPr>
          <w:rFonts w:ascii="Calibri" w:hAnsi="Calibri"/>
        </w:rPr>
        <w:t xml:space="preserve">of personnel </w:t>
      </w:r>
      <w:r w:rsidR="00C00DDD" w:rsidRPr="00764569">
        <w:rPr>
          <w:rFonts w:ascii="Calibri" w:hAnsi="Calibri"/>
        </w:rPr>
        <w:t>towards protecting civilians</w:t>
      </w:r>
      <w:r w:rsidR="000E1FCD" w:rsidRPr="00764569">
        <w:rPr>
          <w:rFonts w:ascii="Calibri" w:hAnsi="Calibri"/>
        </w:rPr>
        <w:t>, especially women and children.</w:t>
      </w:r>
      <w:r w:rsidR="00622072" w:rsidRPr="00764569">
        <w:rPr>
          <w:rStyle w:val="FootnoteReference"/>
          <w:rFonts w:ascii="Calibri" w:hAnsi="Calibri"/>
        </w:rPr>
        <w:footnoteReference w:id="60"/>
      </w:r>
    </w:p>
    <w:p w14:paraId="43CA0C12" w14:textId="77777777" w:rsidR="00060DE0" w:rsidRPr="00764569" w:rsidRDefault="00060DE0" w:rsidP="00F65041">
      <w:pPr>
        <w:jc w:val="both"/>
        <w:rPr>
          <w:rFonts w:ascii="Calibri" w:hAnsi="Calibri"/>
        </w:rPr>
      </w:pPr>
    </w:p>
    <w:p w14:paraId="2B22A1CA" w14:textId="30A5ADC9" w:rsidR="00F65041" w:rsidRPr="00764569" w:rsidRDefault="007C5C8E" w:rsidP="001A6D91">
      <w:pPr>
        <w:spacing w:line="360" w:lineRule="auto"/>
        <w:jc w:val="both"/>
        <w:rPr>
          <w:rFonts w:ascii="Calibri" w:hAnsi="Calibri"/>
        </w:rPr>
      </w:pPr>
      <w:r w:rsidRPr="00764569">
        <w:rPr>
          <w:rFonts w:ascii="Calibri" w:hAnsi="Calibri"/>
        </w:rPr>
        <w:t>Several resolutions</w:t>
      </w:r>
      <w:r w:rsidR="005F6BBD" w:rsidRPr="00764569">
        <w:rPr>
          <w:rFonts w:ascii="Calibri" w:hAnsi="Calibri"/>
        </w:rPr>
        <w:t xml:space="preserve"> </w:t>
      </w:r>
      <w:r w:rsidR="00263198" w:rsidRPr="00764569">
        <w:rPr>
          <w:rFonts w:ascii="Calibri" w:hAnsi="Calibri"/>
        </w:rPr>
        <w:t xml:space="preserve">reflect </w:t>
      </w:r>
      <w:r w:rsidR="00DE49AA" w:rsidRPr="00764569">
        <w:rPr>
          <w:rFonts w:ascii="Calibri" w:hAnsi="Calibri"/>
        </w:rPr>
        <w:t>IHL</w:t>
      </w:r>
      <w:r w:rsidR="00DC1303" w:rsidRPr="00764569">
        <w:rPr>
          <w:rFonts w:ascii="Calibri" w:hAnsi="Calibri"/>
        </w:rPr>
        <w:t xml:space="preserve"> rules</w:t>
      </w:r>
      <w:r w:rsidR="00DE49AA" w:rsidRPr="00764569">
        <w:rPr>
          <w:rFonts w:ascii="Calibri" w:hAnsi="Calibri"/>
        </w:rPr>
        <w:t xml:space="preserve"> </w:t>
      </w:r>
      <w:r w:rsidRPr="00764569">
        <w:rPr>
          <w:rFonts w:ascii="Calibri" w:hAnsi="Calibri"/>
        </w:rPr>
        <w:t xml:space="preserve">regarding civilian protection </w:t>
      </w:r>
      <w:r w:rsidR="00DC1303" w:rsidRPr="00764569">
        <w:rPr>
          <w:rFonts w:ascii="Calibri" w:hAnsi="Calibri"/>
        </w:rPr>
        <w:t>that are not addressed by</w:t>
      </w:r>
      <w:r w:rsidR="006E63EF" w:rsidRPr="00764569">
        <w:rPr>
          <w:rFonts w:ascii="Calibri" w:hAnsi="Calibri"/>
        </w:rPr>
        <w:t xml:space="preserve"> SCR 1325</w:t>
      </w:r>
      <w:r w:rsidR="00EC1078" w:rsidRPr="00764569">
        <w:rPr>
          <w:rFonts w:ascii="Calibri" w:hAnsi="Calibri"/>
        </w:rPr>
        <w:t>, especially</w:t>
      </w:r>
      <w:r w:rsidRPr="00764569">
        <w:rPr>
          <w:rFonts w:ascii="Calibri" w:hAnsi="Calibri"/>
        </w:rPr>
        <w:t xml:space="preserve"> for</w:t>
      </w:r>
      <w:r w:rsidR="00EC1078" w:rsidRPr="00764569">
        <w:rPr>
          <w:rFonts w:ascii="Calibri" w:hAnsi="Calibri"/>
        </w:rPr>
        <w:t xml:space="preserve"> </w:t>
      </w:r>
      <w:r w:rsidRPr="00764569">
        <w:rPr>
          <w:rFonts w:ascii="Calibri" w:hAnsi="Calibri"/>
        </w:rPr>
        <w:t>women and girls</w:t>
      </w:r>
      <w:r w:rsidR="00DE49AA" w:rsidRPr="00764569">
        <w:rPr>
          <w:rFonts w:ascii="Calibri" w:hAnsi="Calibri"/>
        </w:rPr>
        <w:t xml:space="preserve"> </w:t>
      </w:r>
      <w:r w:rsidR="00EC1078" w:rsidRPr="00764569">
        <w:rPr>
          <w:rFonts w:ascii="Calibri" w:hAnsi="Calibri"/>
        </w:rPr>
        <w:t>affected by</w:t>
      </w:r>
      <w:r w:rsidR="00DE49AA" w:rsidRPr="00764569">
        <w:rPr>
          <w:rFonts w:ascii="Calibri" w:hAnsi="Calibri"/>
        </w:rPr>
        <w:t xml:space="preserve"> </w:t>
      </w:r>
      <w:r w:rsidR="00622072" w:rsidRPr="00764569">
        <w:rPr>
          <w:rFonts w:ascii="Calibri" w:hAnsi="Calibri"/>
          <w:b/>
          <w:color w:val="4F81BD" w:themeColor="accent1"/>
        </w:rPr>
        <w:t xml:space="preserve">refugee </w:t>
      </w:r>
      <w:r w:rsidR="00622072" w:rsidRPr="00E750D5">
        <w:rPr>
          <w:rFonts w:ascii="Calibri" w:hAnsi="Calibri"/>
          <w:b/>
          <w:color w:val="548DD4" w:themeColor="text2" w:themeTint="99"/>
        </w:rPr>
        <w:t>camps and settlements and forced abductions</w:t>
      </w:r>
      <w:r w:rsidR="00622072" w:rsidRPr="00764569">
        <w:rPr>
          <w:rFonts w:ascii="Calibri" w:hAnsi="Calibri"/>
        </w:rPr>
        <w:t xml:space="preserve">. </w:t>
      </w:r>
      <w:r w:rsidR="005F6BBD" w:rsidRPr="00764569">
        <w:rPr>
          <w:rFonts w:ascii="Calibri" w:hAnsi="Calibri"/>
        </w:rPr>
        <w:t xml:space="preserve"> </w:t>
      </w:r>
      <w:r w:rsidR="00622072" w:rsidRPr="00764569">
        <w:rPr>
          <w:rFonts w:ascii="Calibri" w:hAnsi="Calibri"/>
        </w:rPr>
        <w:t xml:space="preserve">SCR 1889 </w:t>
      </w:r>
      <w:r w:rsidR="00083D64" w:rsidRPr="00764569">
        <w:rPr>
          <w:rFonts w:ascii="Calibri" w:hAnsi="Calibri"/>
        </w:rPr>
        <w:t>affirm</w:t>
      </w:r>
      <w:r w:rsidR="006E63EF" w:rsidRPr="00764569">
        <w:rPr>
          <w:rFonts w:ascii="Calibri" w:hAnsi="Calibri"/>
        </w:rPr>
        <w:t>s</w:t>
      </w:r>
      <w:r w:rsidR="00083D64" w:rsidRPr="00764569">
        <w:rPr>
          <w:rFonts w:ascii="Calibri" w:hAnsi="Calibri"/>
        </w:rPr>
        <w:t xml:space="preserve"> protection against all forms of violence including rape and sexual violence </w:t>
      </w:r>
      <w:r w:rsidR="006E63EF" w:rsidRPr="00764569">
        <w:rPr>
          <w:rFonts w:ascii="Calibri" w:hAnsi="Calibri"/>
        </w:rPr>
        <w:t>within refugee camps and settlements</w:t>
      </w:r>
      <w:r w:rsidR="00DE49AA" w:rsidRPr="00764569">
        <w:rPr>
          <w:rFonts w:ascii="Calibri" w:hAnsi="Calibri"/>
        </w:rPr>
        <w:t xml:space="preserve"> </w:t>
      </w:r>
      <w:r w:rsidR="006E63EF" w:rsidRPr="00764569">
        <w:rPr>
          <w:rFonts w:ascii="Calibri" w:hAnsi="Calibri"/>
        </w:rPr>
        <w:t>and</w:t>
      </w:r>
      <w:r w:rsidR="00083D64" w:rsidRPr="00764569">
        <w:rPr>
          <w:rFonts w:ascii="Calibri" w:hAnsi="Calibri"/>
        </w:rPr>
        <w:t xml:space="preserve"> ensure</w:t>
      </w:r>
      <w:r w:rsidR="006E63EF" w:rsidRPr="00764569">
        <w:rPr>
          <w:rFonts w:ascii="Calibri" w:hAnsi="Calibri"/>
        </w:rPr>
        <w:t>s</w:t>
      </w:r>
      <w:r w:rsidR="0098062C" w:rsidRPr="00764569">
        <w:rPr>
          <w:rFonts w:ascii="Calibri" w:hAnsi="Calibri"/>
        </w:rPr>
        <w:t xml:space="preserve"> full, unimpeded and secure humanitarian access</w:t>
      </w:r>
      <w:r w:rsidR="00975ACE" w:rsidRPr="00764569">
        <w:rPr>
          <w:rFonts w:ascii="Calibri" w:hAnsi="Calibri"/>
        </w:rPr>
        <w:t>.</w:t>
      </w:r>
      <w:r w:rsidR="00083D64" w:rsidRPr="00764569">
        <w:rPr>
          <w:rStyle w:val="FootnoteReference"/>
          <w:rFonts w:ascii="Calibri" w:hAnsi="Calibri"/>
        </w:rPr>
        <w:footnoteReference w:id="61"/>
      </w:r>
      <w:r w:rsidR="00975ACE" w:rsidRPr="00764569">
        <w:rPr>
          <w:rFonts w:ascii="Calibri" w:hAnsi="Calibri"/>
        </w:rPr>
        <w:t xml:space="preserve"> </w:t>
      </w:r>
      <w:r w:rsidR="0098062C" w:rsidRPr="00764569">
        <w:rPr>
          <w:rFonts w:ascii="Calibri" w:hAnsi="Calibri"/>
        </w:rPr>
        <w:t xml:space="preserve"> </w:t>
      </w:r>
      <w:r w:rsidR="008F40C1" w:rsidRPr="00764569">
        <w:rPr>
          <w:rFonts w:ascii="Calibri" w:hAnsi="Calibri"/>
        </w:rPr>
        <w:t>SCR 2106</w:t>
      </w:r>
      <w:r w:rsidR="00D574D2" w:rsidRPr="00764569">
        <w:rPr>
          <w:rFonts w:ascii="Calibri" w:hAnsi="Calibri"/>
        </w:rPr>
        <w:t xml:space="preserve"> </w:t>
      </w:r>
      <w:r w:rsidR="006E63EF" w:rsidRPr="00764569">
        <w:rPr>
          <w:rFonts w:ascii="Calibri" w:hAnsi="Calibri"/>
        </w:rPr>
        <w:t>recognises</w:t>
      </w:r>
      <w:r w:rsidR="00D574D2" w:rsidRPr="00764569">
        <w:rPr>
          <w:rFonts w:ascii="Calibri" w:hAnsi="Calibri"/>
        </w:rPr>
        <w:t xml:space="preserve"> </w:t>
      </w:r>
      <w:r w:rsidR="008F40C1" w:rsidRPr="00764569">
        <w:rPr>
          <w:rFonts w:ascii="Calibri" w:hAnsi="Calibri"/>
        </w:rPr>
        <w:t>the vulnerability of women and children</w:t>
      </w:r>
      <w:r w:rsidR="001A6D91" w:rsidRPr="00764569">
        <w:rPr>
          <w:rFonts w:ascii="Calibri" w:hAnsi="Calibri"/>
        </w:rPr>
        <w:t xml:space="preserve"> victims of</w:t>
      </w:r>
      <w:r w:rsidR="00957E0D" w:rsidRPr="00764569">
        <w:rPr>
          <w:rFonts w:ascii="Calibri" w:hAnsi="Calibri"/>
        </w:rPr>
        <w:t xml:space="preserve"> forceful abductions </w:t>
      </w:r>
      <w:r w:rsidR="0098062C" w:rsidRPr="00764569">
        <w:rPr>
          <w:rFonts w:ascii="Calibri" w:hAnsi="Calibri"/>
        </w:rPr>
        <w:t xml:space="preserve">by armed groups and </w:t>
      </w:r>
      <w:r w:rsidR="0098062C" w:rsidRPr="00764569">
        <w:rPr>
          <w:rFonts w:ascii="Calibri" w:hAnsi="Calibri"/>
        </w:rPr>
        <w:lastRenderedPageBreak/>
        <w:t>armed forces</w:t>
      </w:r>
      <w:r w:rsidR="008F40C1" w:rsidRPr="00764569">
        <w:rPr>
          <w:rFonts w:ascii="Calibri" w:hAnsi="Calibri"/>
        </w:rPr>
        <w:t>, especially in relation to sexual violence in conflict and post</w:t>
      </w:r>
      <w:r w:rsidR="00DE49AA" w:rsidRPr="00764569">
        <w:rPr>
          <w:rFonts w:ascii="Calibri" w:hAnsi="Calibri"/>
        </w:rPr>
        <w:t xml:space="preserve">-conflict settings, and demanding </w:t>
      </w:r>
      <w:r w:rsidR="008F40C1" w:rsidRPr="00764569">
        <w:rPr>
          <w:rFonts w:ascii="Calibri" w:hAnsi="Calibri"/>
        </w:rPr>
        <w:t>their identification and release</w:t>
      </w:r>
      <w:r w:rsidR="0098062C" w:rsidRPr="00764569">
        <w:rPr>
          <w:rFonts w:ascii="Calibri" w:hAnsi="Calibri"/>
        </w:rPr>
        <w:t>.</w:t>
      </w:r>
      <w:r w:rsidR="008F40C1" w:rsidRPr="00764569">
        <w:rPr>
          <w:rStyle w:val="FootnoteReference"/>
          <w:rFonts w:ascii="Calibri" w:hAnsi="Calibri"/>
        </w:rPr>
        <w:footnoteReference w:id="62"/>
      </w:r>
      <w:r w:rsidR="0098062C" w:rsidRPr="00764569">
        <w:rPr>
          <w:rFonts w:ascii="Calibri" w:hAnsi="Calibri"/>
        </w:rPr>
        <w:t xml:space="preserve"> </w:t>
      </w:r>
      <w:r w:rsidR="005F6BBD" w:rsidRPr="00764569">
        <w:rPr>
          <w:rFonts w:ascii="Calibri" w:hAnsi="Calibri"/>
        </w:rPr>
        <w:t xml:space="preserve"> </w:t>
      </w:r>
    </w:p>
    <w:p w14:paraId="6EE2A2D1" w14:textId="77777777" w:rsidR="00F65041" w:rsidRPr="00764569" w:rsidRDefault="00F65041" w:rsidP="00F65041">
      <w:pPr>
        <w:jc w:val="both"/>
        <w:rPr>
          <w:rFonts w:ascii="Calibri" w:hAnsi="Calibri"/>
        </w:rPr>
      </w:pPr>
    </w:p>
    <w:p w14:paraId="1C6E7EEF" w14:textId="6155F6C2" w:rsidR="00F3615E" w:rsidRPr="00764569" w:rsidRDefault="00F65041" w:rsidP="001A6D91">
      <w:pPr>
        <w:spacing w:line="360" w:lineRule="auto"/>
        <w:jc w:val="both"/>
        <w:rPr>
          <w:rFonts w:ascii="Calibri" w:hAnsi="Calibri"/>
        </w:rPr>
      </w:pPr>
      <w:r w:rsidRPr="00764569">
        <w:rPr>
          <w:rFonts w:ascii="Calibri" w:hAnsi="Calibri"/>
        </w:rPr>
        <w:t>The resolutions address IHL</w:t>
      </w:r>
      <w:r w:rsidR="00EC1078" w:rsidRPr="00764569">
        <w:rPr>
          <w:rFonts w:ascii="Calibri" w:hAnsi="Calibri"/>
        </w:rPr>
        <w:t xml:space="preserve"> </w:t>
      </w:r>
      <w:r w:rsidR="00D50014" w:rsidRPr="00764569">
        <w:rPr>
          <w:rFonts w:ascii="Calibri" w:hAnsi="Calibri"/>
        </w:rPr>
        <w:t>rules regarding</w:t>
      </w:r>
      <w:r w:rsidR="00622072" w:rsidRPr="00764569">
        <w:rPr>
          <w:rFonts w:ascii="Calibri" w:hAnsi="Calibri"/>
        </w:rPr>
        <w:t xml:space="preserve"> </w:t>
      </w:r>
      <w:r w:rsidR="00EC1078" w:rsidRPr="00764569">
        <w:rPr>
          <w:rFonts w:ascii="Calibri" w:hAnsi="Calibri"/>
          <w:b/>
          <w:color w:val="4F81BD" w:themeColor="accent1"/>
        </w:rPr>
        <w:t>command and individual r</w:t>
      </w:r>
      <w:r w:rsidR="00DE49AA" w:rsidRPr="00764569">
        <w:rPr>
          <w:rFonts w:ascii="Calibri" w:hAnsi="Calibri"/>
          <w:b/>
          <w:color w:val="4F81BD" w:themeColor="accent1"/>
        </w:rPr>
        <w:t>esponsibility</w:t>
      </w:r>
      <w:r w:rsidR="00AE4168" w:rsidRPr="00764569">
        <w:rPr>
          <w:rFonts w:ascii="Calibri" w:hAnsi="Calibri"/>
        </w:rPr>
        <w:t xml:space="preserve"> that are not addressed in SCR 1325</w:t>
      </w:r>
      <w:r w:rsidR="00F2732C" w:rsidRPr="00764569">
        <w:rPr>
          <w:rFonts w:ascii="Calibri" w:hAnsi="Calibri"/>
        </w:rPr>
        <w:t xml:space="preserve">. </w:t>
      </w:r>
      <w:r w:rsidR="00841987" w:rsidRPr="00764569">
        <w:rPr>
          <w:rFonts w:ascii="Calibri" w:hAnsi="Calibri"/>
        </w:rPr>
        <w:t>SCRs 1820</w:t>
      </w:r>
      <w:r w:rsidR="002958D3" w:rsidRPr="00764569">
        <w:rPr>
          <w:rFonts w:ascii="Calibri" w:hAnsi="Calibri"/>
        </w:rPr>
        <w:t xml:space="preserve">, 1888, </w:t>
      </w:r>
      <w:r w:rsidR="00841987" w:rsidRPr="00764569">
        <w:rPr>
          <w:rFonts w:ascii="Calibri" w:hAnsi="Calibri"/>
        </w:rPr>
        <w:t>1960</w:t>
      </w:r>
      <w:r w:rsidR="002958D3" w:rsidRPr="00764569">
        <w:rPr>
          <w:rFonts w:ascii="Calibri" w:hAnsi="Calibri"/>
        </w:rPr>
        <w:t xml:space="preserve"> and 2106 </w:t>
      </w:r>
      <w:r w:rsidR="00841987" w:rsidRPr="00764569">
        <w:rPr>
          <w:rFonts w:ascii="Calibri" w:hAnsi="Calibri"/>
        </w:rPr>
        <w:t>affirm</w:t>
      </w:r>
      <w:r w:rsidR="001D7D00" w:rsidRPr="00764569">
        <w:rPr>
          <w:rFonts w:ascii="Calibri" w:hAnsi="Calibri"/>
        </w:rPr>
        <w:t xml:space="preserve"> </w:t>
      </w:r>
      <w:r w:rsidR="002958D3" w:rsidRPr="00764569">
        <w:rPr>
          <w:rFonts w:ascii="Calibri" w:hAnsi="Calibri"/>
        </w:rPr>
        <w:t xml:space="preserve">the </w:t>
      </w:r>
      <w:r w:rsidR="001D7D00" w:rsidRPr="00764569">
        <w:rPr>
          <w:rFonts w:ascii="Calibri" w:hAnsi="Calibri"/>
        </w:rPr>
        <w:t>principle of command responsibility</w:t>
      </w:r>
      <w:r w:rsidR="00841987" w:rsidRPr="00764569">
        <w:rPr>
          <w:rFonts w:ascii="Calibri" w:hAnsi="Calibri"/>
        </w:rPr>
        <w:t>, with SCR</w:t>
      </w:r>
      <w:r w:rsidR="002958D3" w:rsidRPr="00764569">
        <w:rPr>
          <w:rFonts w:ascii="Calibri" w:hAnsi="Calibri"/>
        </w:rPr>
        <w:t>s</w:t>
      </w:r>
      <w:r w:rsidR="00841987" w:rsidRPr="00764569">
        <w:rPr>
          <w:rFonts w:ascii="Calibri" w:hAnsi="Calibri"/>
        </w:rPr>
        <w:t xml:space="preserve"> 1960</w:t>
      </w:r>
      <w:r w:rsidR="002958D3" w:rsidRPr="00764569">
        <w:rPr>
          <w:rFonts w:ascii="Calibri" w:hAnsi="Calibri"/>
        </w:rPr>
        <w:t xml:space="preserve"> and 2106</w:t>
      </w:r>
      <w:r w:rsidR="00841987" w:rsidRPr="00764569">
        <w:rPr>
          <w:rFonts w:ascii="Calibri" w:hAnsi="Calibri"/>
        </w:rPr>
        <w:t xml:space="preserve"> </w:t>
      </w:r>
      <w:r w:rsidR="00957206" w:rsidRPr="00764569">
        <w:rPr>
          <w:rFonts w:ascii="Calibri" w:hAnsi="Calibri"/>
        </w:rPr>
        <w:t xml:space="preserve">requiring </w:t>
      </w:r>
      <w:r w:rsidR="007B62FB" w:rsidRPr="00764569">
        <w:rPr>
          <w:rFonts w:ascii="Calibri" w:hAnsi="Calibri"/>
        </w:rPr>
        <w:t xml:space="preserve">the issuance of clear orders through chains of command prohibiting sexual violence, and </w:t>
      </w:r>
      <w:r w:rsidR="00957206" w:rsidRPr="00764569">
        <w:rPr>
          <w:rFonts w:ascii="Calibri" w:hAnsi="Calibri"/>
        </w:rPr>
        <w:t>that</w:t>
      </w:r>
      <w:r w:rsidR="00841987" w:rsidRPr="00764569">
        <w:rPr>
          <w:rFonts w:ascii="Calibri" w:hAnsi="Calibri"/>
        </w:rPr>
        <w:t xml:space="preserve"> all levels of the chain of command are informed of their manda</w:t>
      </w:r>
      <w:r w:rsidR="00EC1078" w:rsidRPr="00764569">
        <w:rPr>
          <w:rFonts w:ascii="Calibri" w:hAnsi="Calibri"/>
        </w:rPr>
        <w:t>te and responsibilities including preventing and responding to sexual violence</w:t>
      </w:r>
      <w:r w:rsidR="00957206" w:rsidRPr="00764569">
        <w:rPr>
          <w:rFonts w:ascii="Calibri" w:hAnsi="Calibri"/>
        </w:rPr>
        <w:t>, and calling for the prohibition of sexual violence in Codes of Conduct, military field manuals, or equivalent</w:t>
      </w:r>
      <w:r w:rsidR="00841987" w:rsidRPr="00764569">
        <w:rPr>
          <w:rFonts w:ascii="Calibri" w:hAnsi="Calibri"/>
        </w:rPr>
        <w:t>.</w:t>
      </w:r>
      <w:r w:rsidR="00841987" w:rsidRPr="00764569">
        <w:rPr>
          <w:rStyle w:val="FootnoteReference"/>
          <w:rFonts w:ascii="Calibri" w:hAnsi="Calibri"/>
        </w:rPr>
        <w:footnoteReference w:id="63"/>
      </w:r>
      <w:r w:rsidR="006E63EF" w:rsidRPr="00764569">
        <w:rPr>
          <w:rFonts w:ascii="Calibri" w:hAnsi="Calibri"/>
        </w:rPr>
        <w:t xml:space="preserve"> </w:t>
      </w:r>
      <w:r w:rsidR="002958D3" w:rsidRPr="00764569">
        <w:rPr>
          <w:rFonts w:ascii="Calibri" w:hAnsi="Calibri"/>
        </w:rPr>
        <w:t xml:space="preserve">SCR 1888 </w:t>
      </w:r>
      <w:r w:rsidR="00F25CEF" w:rsidRPr="00764569">
        <w:rPr>
          <w:rFonts w:ascii="Calibri" w:hAnsi="Calibri"/>
        </w:rPr>
        <w:t>suggests that all parties to conflict, in addition to enforcing military disciplinary measures and upholding command responsibility: train troops on prohibiting all forms of se</w:t>
      </w:r>
      <w:r w:rsidR="00957E0D" w:rsidRPr="00764569">
        <w:rPr>
          <w:rFonts w:ascii="Calibri" w:hAnsi="Calibri"/>
        </w:rPr>
        <w:t>xual violence against civilians;</w:t>
      </w:r>
      <w:r w:rsidR="00F25CEF" w:rsidRPr="00764569">
        <w:rPr>
          <w:rFonts w:ascii="Calibri" w:hAnsi="Calibri"/>
        </w:rPr>
        <w:t xml:space="preserve"> debunk myths that fuel sexual violence; and vet candidates for national armies and security forces to exclude those associated with serious violations of IHL and international human rights law, including sexual violence.</w:t>
      </w:r>
      <w:r w:rsidR="00F25CEF" w:rsidRPr="00764569">
        <w:rPr>
          <w:rStyle w:val="FootnoteReference"/>
          <w:rFonts w:ascii="Calibri" w:hAnsi="Calibri"/>
        </w:rPr>
        <w:footnoteReference w:id="64"/>
      </w:r>
      <w:r w:rsidR="00F25CEF" w:rsidRPr="00764569">
        <w:rPr>
          <w:rFonts w:ascii="Calibri" w:hAnsi="Calibri"/>
        </w:rPr>
        <w:t xml:space="preserve"> </w:t>
      </w:r>
      <w:r w:rsidR="00BA7F27" w:rsidRPr="00764569">
        <w:rPr>
          <w:rFonts w:ascii="Calibri" w:hAnsi="Calibri"/>
        </w:rPr>
        <w:t>SCR 210</w:t>
      </w:r>
      <w:r w:rsidR="00FD765B" w:rsidRPr="00764569">
        <w:rPr>
          <w:rFonts w:ascii="Calibri" w:hAnsi="Calibri"/>
        </w:rPr>
        <w:t xml:space="preserve">6 elaborates the role of gender advisers, to reinforce the law </w:t>
      </w:r>
      <w:r w:rsidR="00DE49AA" w:rsidRPr="00764569">
        <w:rPr>
          <w:rFonts w:ascii="Calibri" w:hAnsi="Calibri"/>
        </w:rPr>
        <w:t>of armed conflict during</w:t>
      </w:r>
      <w:r w:rsidR="00FD765B" w:rsidRPr="00764569">
        <w:rPr>
          <w:rFonts w:ascii="Calibri" w:hAnsi="Calibri"/>
        </w:rPr>
        <w:t xml:space="preserve"> gender-sensitive training of peacekeepers.</w:t>
      </w:r>
      <w:r w:rsidR="00FD765B" w:rsidRPr="00764569">
        <w:rPr>
          <w:rStyle w:val="FootnoteReference"/>
          <w:rFonts w:ascii="Calibri" w:hAnsi="Calibri"/>
        </w:rPr>
        <w:footnoteReference w:id="65"/>
      </w:r>
      <w:r w:rsidR="00FD765B" w:rsidRPr="00764569">
        <w:rPr>
          <w:rFonts w:ascii="Calibri" w:hAnsi="Calibri"/>
        </w:rPr>
        <w:t xml:space="preserve"> Several resolutions emphasize the zero tolerance policy on sexual exploitation and abuse by UN personnel.</w:t>
      </w:r>
      <w:r w:rsidR="00FD765B" w:rsidRPr="00764569">
        <w:rPr>
          <w:rStyle w:val="FootnoteReference"/>
          <w:rFonts w:ascii="Calibri" w:hAnsi="Calibri"/>
        </w:rPr>
        <w:footnoteReference w:id="66"/>
      </w:r>
      <w:r w:rsidR="00FD765B" w:rsidRPr="00764569">
        <w:rPr>
          <w:rFonts w:ascii="Calibri" w:hAnsi="Calibri"/>
        </w:rPr>
        <w:t xml:space="preserve"> </w:t>
      </w:r>
      <w:r w:rsidR="00D94D1D" w:rsidRPr="00764569">
        <w:rPr>
          <w:rFonts w:ascii="Calibri" w:hAnsi="Calibri"/>
        </w:rPr>
        <w:t>Members of</w:t>
      </w:r>
      <w:r w:rsidR="00F3615E" w:rsidRPr="00764569">
        <w:rPr>
          <w:rFonts w:ascii="Calibri" w:hAnsi="Calibri"/>
        </w:rPr>
        <w:t xml:space="preserve"> personnel of a </w:t>
      </w:r>
      <w:r w:rsidR="00DE49AA" w:rsidRPr="00764569">
        <w:rPr>
          <w:rFonts w:ascii="Calibri" w:hAnsi="Calibri"/>
        </w:rPr>
        <w:t>UN</w:t>
      </w:r>
      <w:r w:rsidR="00F3615E" w:rsidRPr="00764569">
        <w:rPr>
          <w:rFonts w:ascii="Calibri" w:hAnsi="Calibri"/>
        </w:rPr>
        <w:t xml:space="preserve"> force</w:t>
      </w:r>
      <w:r w:rsidR="00D94D1D" w:rsidRPr="00764569">
        <w:rPr>
          <w:rFonts w:ascii="Calibri" w:hAnsi="Calibri"/>
        </w:rPr>
        <w:t xml:space="preserve"> implicated in violations of IHL</w:t>
      </w:r>
      <w:r w:rsidR="00F3615E" w:rsidRPr="00764569">
        <w:rPr>
          <w:rFonts w:ascii="Calibri" w:hAnsi="Calibri"/>
        </w:rPr>
        <w:t xml:space="preserve"> are subject to prosecution in their national courts.</w:t>
      </w:r>
      <w:r w:rsidR="00F3615E" w:rsidRPr="00764569">
        <w:rPr>
          <w:rStyle w:val="FootnoteReference"/>
          <w:rFonts w:ascii="Calibri" w:hAnsi="Calibri"/>
        </w:rPr>
        <w:footnoteReference w:id="67"/>
      </w:r>
    </w:p>
    <w:p w14:paraId="3BF6C9B5" w14:textId="77777777" w:rsidR="00AD36FC" w:rsidRDefault="00AD36FC" w:rsidP="00AD36FC">
      <w:pPr>
        <w:jc w:val="both"/>
        <w:rPr>
          <w:rFonts w:ascii="Calibri" w:hAnsi="Calibri"/>
          <w:b/>
          <w:sz w:val="28"/>
          <w:szCs w:val="28"/>
        </w:rPr>
      </w:pPr>
    </w:p>
    <w:p w14:paraId="05A4F031" w14:textId="2CCF9286" w:rsidR="00AD36FC" w:rsidRPr="004C0678" w:rsidRDefault="007A7F07" w:rsidP="007A7F07">
      <w:pPr>
        <w:pStyle w:val="Title"/>
        <w:jc w:val="center"/>
        <w:rPr>
          <w:sz w:val="32"/>
          <w:szCs w:val="32"/>
        </w:rPr>
      </w:pPr>
      <w:r w:rsidRPr="004C0678">
        <w:rPr>
          <w:sz w:val="32"/>
          <w:szCs w:val="32"/>
        </w:rPr>
        <w:t xml:space="preserve">HOW THE RESOLUTIONS ON </w:t>
      </w:r>
      <w:r>
        <w:rPr>
          <w:sz w:val="32"/>
          <w:szCs w:val="32"/>
        </w:rPr>
        <w:t>WOMEN, PEACE AND SECURITY</w:t>
      </w:r>
      <w:r w:rsidRPr="004C0678">
        <w:rPr>
          <w:sz w:val="32"/>
          <w:szCs w:val="32"/>
        </w:rPr>
        <w:t xml:space="preserve"> </w:t>
      </w:r>
      <w:r w:rsidR="005E6446" w:rsidRPr="004C0678">
        <w:rPr>
          <w:sz w:val="32"/>
          <w:szCs w:val="32"/>
        </w:rPr>
        <w:t xml:space="preserve">REFLECT </w:t>
      </w:r>
      <w:r w:rsidR="002E0E22" w:rsidRPr="004C0678">
        <w:rPr>
          <w:sz w:val="32"/>
          <w:szCs w:val="32"/>
        </w:rPr>
        <w:t xml:space="preserve">INTERNATIONAL </w:t>
      </w:r>
      <w:r w:rsidR="00AD36FC" w:rsidRPr="004C0678">
        <w:rPr>
          <w:sz w:val="32"/>
          <w:szCs w:val="32"/>
        </w:rPr>
        <w:t>CRIMINAL LAW</w:t>
      </w:r>
    </w:p>
    <w:p w14:paraId="239F3FC6" w14:textId="77777777" w:rsidR="00AD36FC" w:rsidRDefault="00AD36FC" w:rsidP="00AD36FC">
      <w:pPr>
        <w:jc w:val="both"/>
        <w:rPr>
          <w:rFonts w:ascii="Calibri" w:hAnsi="Calibri"/>
          <w:b/>
          <w:sz w:val="28"/>
          <w:szCs w:val="28"/>
        </w:rPr>
      </w:pPr>
    </w:p>
    <w:p w14:paraId="0DCAE56A" w14:textId="3592B818" w:rsidR="003F32C3" w:rsidRPr="00764569" w:rsidRDefault="00AD36FC" w:rsidP="001A6D91">
      <w:pPr>
        <w:spacing w:line="360" w:lineRule="auto"/>
        <w:jc w:val="both"/>
        <w:rPr>
          <w:rFonts w:ascii="Calibri" w:hAnsi="Calibri" w:cs="Times New Roman"/>
        </w:rPr>
      </w:pPr>
      <w:r w:rsidRPr="00764569">
        <w:rPr>
          <w:rFonts w:ascii="Calibri" w:hAnsi="Calibri"/>
        </w:rPr>
        <w:t xml:space="preserve">The </w:t>
      </w:r>
      <w:r w:rsidR="005E6446" w:rsidRPr="00764569">
        <w:rPr>
          <w:rFonts w:ascii="Calibri" w:hAnsi="Calibri"/>
        </w:rPr>
        <w:t>r</w:t>
      </w:r>
      <w:r w:rsidRPr="00764569">
        <w:rPr>
          <w:rFonts w:ascii="Calibri" w:hAnsi="Calibri"/>
        </w:rPr>
        <w:t xml:space="preserve">esolutions emphasize </w:t>
      </w:r>
      <w:r w:rsidR="002E0E22" w:rsidRPr="00764569">
        <w:rPr>
          <w:rFonts w:ascii="Calibri" w:hAnsi="Calibri"/>
        </w:rPr>
        <w:t>the</w:t>
      </w:r>
      <w:r w:rsidRPr="00764569">
        <w:rPr>
          <w:rFonts w:ascii="Calibri" w:hAnsi="Calibri"/>
        </w:rPr>
        <w:t xml:space="preserve"> responsibility of all </w:t>
      </w:r>
      <w:r w:rsidR="002E0E22" w:rsidRPr="00764569">
        <w:rPr>
          <w:rFonts w:ascii="Calibri" w:hAnsi="Calibri"/>
        </w:rPr>
        <w:t>parties</w:t>
      </w:r>
      <w:r w:rsidR="007B62FB" w:rsidRPr="00764569">
        <w:rPr>
          <w:rFonts w:ascii="Calibri" w:hAnsi="Calibri"/>
        </w:rPr>
        <w:t xml:space="preserve"> </w:t>
      </w:r>
      <w:r w:rsidRPr="00764569">
        <w:rPr>
          <w:rFonts w:ascii="Calibri" w:hAnsi="Calibri"/>
        </w:rPr>
        <w:t xml:space="preserve">to </w:t>
      </w:r>
      <w:r w:rsidR="007B62FB" w:rsidRPr="00764569">
        <w:rPr>
          <w:rFonts w:ascii="Calibri" w:hAnsi="Calibri"/>
          <w:b/>
          <w:color w:val="4F81BD" w:themeColor="accent1"/>
        </w:rPr>
        <w:t>end</w:t>
      </w:r>
      <w:r w:rsidRPr="00764569">
        <w:rPr>
          <w:rFonts w:ascii="Calibri" w:hAnsi="Calibri"/>
          <w:b/>
          <w:color w:val="4F81BD" w:themeColor="accent1"/>
        </w:rPr>
        <w:t xml:space="preserve"> impunity</w:t>
      </w:r>
      <w:r w:rsidRPr="00764569">
        <w:rPr>
          <w:rFonts w:ascii="Calibri" w:hAnsi="Calibri"/>
        </w:rPr>
        <w:t xml:space="preserve"> and</w:t>
      </w:r>
      <w:r w:rsidR="002E0E22" w:rsidRPr="00764569">
        <w:rPr>
          <w:rFonts w:ascii="Calibri" w:hAnsi="Calibri"/>
        </w:rPr>
        <w:t xml:space="preserve"> for states</w:t>
      </w:r>
      <w:r w:rsidRPr="00764569">
        <w:rPr>
          <w:rFonts w:ascii="Calibri" w:hAnsi="Calibri"/>
        </w:rPr>
        <w:t xml:space="preserve"> to prosecute </w:t>
      </w:r>
      <w:r w:rsidR="002E0E22" w:rsidRPr="00764569">
        <w:rPr>
          <w:rFonts w:ascii="Calibri" w:hAnsi="Calibri"/>
        </w:rPr>
        <w:t xml:space="preserve">perpetrators of </w:t>
      </w:r>
      <w:r w:rsidR="007143F1" w:rsidRPr="00764569">
        <w:rPr>
          <w:rFonts w:ascii="Calibri" w:hAnsi="Calibri"/>
          <w:b/>
          <w:color w:val="4F81BD" w:themeColor="accent1"/>
        </w:rPr>
        <w:t>war crimes and crimes against humanity</w:t>
      </w:r>
      <w:r w:rsidRPr="00764569">
        <w:rPr>
          <w:rFonts w:ascii="Calibri" w:hAnsi="Calibri"/>
          <w:b/>
          <w:color w:val="4F81BD" w:themeColor="accent1"/>
        </w:rPr>
        <w:t xml:space="preserve"> committed against women and girls in armed conflicts, including rape and sexual violence</w:t>
      </w:r>
      <w:r w:rsidRPr="00764569">
        <w:rPr>
          <w:rFonts w:ascii="Calibri" w:hAnsi="Calibri"/>
        </w:rPr>
        <w:t>.</w:t>
      </w:r>
      <w:r w:rsidRPr="00764569">
        <w:rPr>
          <w:rStyle w:val="FootnoteReference"/>
          <w:rFonts w:ascii="Calibri" w:hAnsi="Calibri"/>
        </w:rPr>
        <w:footnoteReference w:id="68"/>
      </w:r>
      <w:r w:rsidRPr="00764569">
        <w:rPr>
          <w:rFonts w:ascii="Calibri" w:hAnsi="Calibri"/>
        </w:rPr>
        <w:t xml:space="preserve"> </w:t>
      </w:r>
      <w:r w:rsidR="0037328A" w:rsidRPr="00764569">
        <w:rPr>
          <w:rFonts w:ascii="Calibri" w:hAnsi="Calibri"/>
        </w:rPr>
        <w:t>They go beyond SCR 1325 by explicitly recognising rape as a war crime and crime against humanity, drawing on obligations</w:t>
      </w:r>
      <w:r w:rsidR="003F32C3" w:rsidRPr="00764569">
        <w:rPr>
          <w:rFonts w:ascii="Calibri" w:hAnsi="Calibri"/>
        </w:rPr>
        <w:t xml:space="preserve"> from</w:t>
      </w:r>
      <w:r w:rsidR="0037328A" w:rsidRPr="00764569">
        <w:rPr>
          <w:rFonts w:ascii="Calibri" w:hAnsi="Calibri"/>
        </w:rPr>
        <w:t xml:space="preserve"> the Rome Statute. </w:t>
      </w:r>
      <w:r w:rsidR="007B62FB" w:rsidRPr="00764569">
        <w:rPr>
          <w:rFonts w:ascii="Calibri" w:hAnsi="Calibri"/>
        </w:rPr>
        <w:t>SCR 2122 reinforces the recognition in SCR 1325 of states’ obligations to</w:t>
      </w:r>
      <w:r w:rsidRPr="00764569">
        <w:rPr>
          <w:rFonts w:ascii="Calibri" w:hAnsi="Calibri"/>
        </w:rPr>
        <w:t xml:space="preserve"> prosecute those responsible for crimes against </w:t>
      </w:r>
      <w:r w:rsidRPr="00764569">
        <w:rPr>
          <w:rFonts w:ascii="Calibri" w:hAnsi="Calibri"/>
        </w:rPr>
        <w:lastRenderedPageBreak/>
        <w:t>humanity, genocide or war crimes, reflecting the language of the Rome Statute.</w:t>
      </w:r>
      <w:r w:rsidRPr="00764569">
        <w:rPr>
          <w:rStyle w:val="FootnoteReference"/>
          <w:rFonts w:ascii="Calibri" w:hAnsi="Calibri"/>
        </w:rPr>
        <w:footnoteReference w:id="69"/>
      </w:r>
      <w:r w:rsidRPr="00764569">
        <w:rPr>
          <w:rFonts w:ascii="Calibri" w:hAnsi="Calibri"/>
        </w:rPr>
        <w:t xml:space="preserve"> </w:t>
      </w:r>
      <w:r w:rsidR="001A1021" w:rsidRPr="00764569">
        <w:rPr>
          <w:rFonts w:ascii="Calibri" w:hAnsi="Calibri"/>
        </w:rPr>
        <w:t>SCR</w:t>
      </w:r>
      <w:r w:rsidRPr="00764569">
        <w:rPr>
          <w:rFonts w:ascii="Calibri" w:hAnsi="Calibri"/>
        </w:rPr>
        <w:t xml:space="preserve"> 2106 states that sexual violence </w:t>
      </w:r>
      <w:r w:rsidR="00AE4168" w:rsidRPr="00764569">
        <w:rPr>
          <w:rFonts w:ascii="Calibri" w:hAnsi="Calibri"/>
        </w:rPr>
        <w:t>can amount to</w:t>
      </w:r>
      <w:r w:rsidRPr="00764569">
        <w:rPr>
          <w:rFonts w:ascii="Calibri" w:hAnsi="Calibri"/>
        </w:rPr>
        <w:t xml:space="preserve"> a crime against humanity, genocide or a war crime in accordance with the Rome Statute.</w:t>
      </w:r>
      <w:r w:rsidRPr="00764569">
        <w:rPr>
          <w:rStyle w:val="FootnoteReference"/>
          <w:rFonts w:ascii="Calibri" w:hAnsi="Calibri"/>
        </w:rPr>
        <w:footnoteReference w:id="70"/>
      </w:r>
      <w:r w:rsidRPr="00764569">
        <w:rPr>
          <w:rFonts w:ascii="Calibri" w:hAnsi="Calibri"/>
        </w:rPr>
        <w:t xml:space="preserve"> </w:t>
      </w:r>
      <w:r w:rsidR="008B66A0" w:rsidRPr="00764569">
        <w:rPr>
          <w:rFonts w:ascii="Calibri" w:hAnsi="Calibri"/>
        </w:rPr>
        <w:t>SCR</w:t>
      </w:r>
      <w:r w:rsidR="0037328A" w:rsidRPr="00764569">
        <w:rPr>
          <w:rFonts w:ascii="Calibri" w:hAnsi="Calibri"/>
        </w:rPr>
        <w:t>s</w:t>
      </w:r>
      <w:r w:rsidR="008B66A0" w:rsidRPr="00764569">
        <w:rPr>
          <w:rFonts w:ascii="Calibri" w:hAnsi="Calibri"/>
        </w:rPr>
        <w:t xml:space="preserve"> 1820</w:t>
      </w:r>
      <w:r w:rsidR="00993394" w:rsidRPr="00764569">
        <w:rPr>
          <w:rFonts w:ascii="Calibri" w:hAnsi="Calibri"/>
        </w:rPr>
        <w:t>, 1888,</w:t>
      </w:r>
      <w:r w:rsidR="001A1021" w:rsidRPr="00764569">
        <w:rPr>
          <w:rFonts w:ascii="Calibri" w:hAnsi="Calibri"/>
        </w:rPr>
        <w:t xml:space="preserve"> </w:t>
      </w:r>
      <w:r w:rsidR="0037328A" w:rsidRPr="00764569">
        <w:rPr>
          <w:rFonts w:ascii="Calibri" w:hAnsi="Calibri"/>
        </w:rPr>
        <w:t>1960</w:t>
      </w:r>
      <w:r w:rsidR="00993394" w:rsidRPr="00764569">
        <w:rPr>
          <w:rFonts w:ascii="Calibri" w:hAnsi="Calibri"/>
        </w:rPr>
        <w:t xml:space="preserve"> and 2106 </w:t>
      </w:r>
      <w:r w:rsidR="0037328A" w:rsidRPr="00764569">
        <w:rPr>
          <w:rFonts w:ascii="Calibri" w:hAnsi="Calibri"/>
        </w:rPr>
        <w:t>recall</w:t>
      </w:r>
      <w:r w:rsidR="001A1021" w:rsidRPr="00764569">
        <w:rPr>
          <w:rFonts w:ascii="Calibri" w:hAnsi="Calibri"/>
        </w:rPr>
        <w:t xml:space="preserve"> the inclusion of sexual violence offences in </w:t>
      </w:r>
      <w:r w:rsidR="008B66A0" w:rsidRPr="00764569">
        <w:rPr>
          <w:rFonts w:ascii="Calibri" w:hAnsi="Calibri"/>
        </w:rPr>
        <w:t>the Rome Statute and t</w:t>
      </w:r>
      <w:r w:rsidR="00353E20" w:rsidRPr="00764569">
        <w:rPr>
          <w:rFonts w:ascii="Calibri" w:hAnsi="Calibri"/>
        </w:rPr>
        <w:t xml:space="preserve">he statutes </w:t>
      </w:r>
      <w:r w:rsidR="001A1021" w:rsidRPr="00764569">
        <w:rPr>
          <w:rFonts w:ascii="Calibri" w:hAnsi="Calibri"/>
        </w:rPr>
        <w:t>of the</w:t>
      </w:r>
      <w:r w:rsidR="00353E20" w:rsidRPr="00764569">
        <w:rPr>
          <w:rFonts w:ascii="Calibri" w:hAnsi="Calibri"/>
        </w:rPr>
        <w:t xml:space="preserve"> UN</w:t>
      </w:r>
      <w:r w:rsidR="001A1021" w:rsidRPr="00764569">
        <w:rPr>
          <w:rFonts w:ascii="Calibri" w:hAnsi="Calibri"/>
        </w:rPr>
        <w:t xml:space="preserve"> ad hoc criminal tribunals</w:t>
      </w:r>
      <w:r w:rsidR="0037328A" w:rsidRPr="00764569">
        <w:rPr>
          <w:rFonts w:ascii="Calibri" w:hAnsi="Calibri"/>
        </w:rPr>
        <w:t>,</w:t>
      </w:r>
      <w:r w:rsidR="001A1021" w:rsidRPr="00764569">
        <w:rPr>
          <w:rStyle w:val="FootnoteReference"/>
          <w:rFonts w:ascii="Calibri" w:hAnsi="Calibri"/>
        </w:rPr>
        <w:footnoteReference w:id="71"/>
      </w:r>
      <w:r w:rsidR="0037328A" w:rsidRPr="00764569">
        <w:rPr>
          <w:rFonts w:ascii="Calibri" w:hAnsi="Calibri"/>
        </w:rPr>
        <w:t xml:space="preserve"> while SCR 2122 notes the work of the In</w:t>
      </w:r>
      <w:r w:rsidR="003F32C3" w:rsidRPr="00764569">
        <w:rPr>
          <w:rFonts w:ascii="Calibri" w:hAnsi="Calibri"/>
        </w:rPr>
        <w:t>ternational Criminal Court (ICC)</w:t>
      </w:r>
      <w:r w:rsidR="0037328A" w:rsidRPr="00764569">
        <w:rPr>
          <w:rFonts w:ascii="Calibri" w:hAnsi="Calibri"/>
        </w:rPr>
        <w:t xml:space="preserve"> </w:t>
      </w:r>
      <w:r w:rsidR="009565DB" w:rsidRPr="00764569">
        <w:rPr>
          <w:rFonts w:ascii="Calibri" w:hAnsi="Calibri"/>
        </w:rPr>
        <w:t xml:space="preserve">the </w:t>
      </w:r>
      <w:r w:rsidR="0037328A" w:rsidRPr="00764569">
        <w:rPr>
          <w:rFonts w:ascii="Calibri" w:hAnsi="Calibri"/>
        </w:rPr>
        <w:t>ad hoc and mixed tribunals</w:t>
      </w:r>
      <w:r w:rsidR="009565DB" w:rsidRPr="00764569">
        <w:rPr>
          <w:rFonts w:ascii="Calibri" w:hAnsi="Calibri"/>
        </w:rPr>
        <w:t>,</w:t>
      </w:r>
      <w:r w:rsidR="0037328A" w:rsidRPr="00764569">
        <w:rPr>
          <w:rFonts w:ascii="Calibri" w:hAnsi="Calibri"/>
        </w:rPr>
        <w:t xml:space="preserve"> and specialized chambers in national tribunals in ending impunity.</w:t>
      </w:r>
      <w:r w:rsidR="0037328A" w:rsidRPr="00764569">
        <w:rPr>
          <w:rStyle w:val="FootnoteReference"/>
          <w:rFonts w:ascii="Calibri" w:hAnsi="Calibri"/>
        </w:rPr>
        <w:footnoteReference w:id="72"/>
      </w:r>
      <w:r w:rsidR="001A1021" w:rsidRPr="00764569">
        <w:rPr>
          <w:rFonts w:ascii="Calibri" w:hAnsi="Calibri"/>
        </w:rPr>
        <w:t xml:space="preserve"> </w:t>
      </w:r>
      <w:r w:rsidRPr="00764569">
        <w:rPr>
          <w:rFonts w:ascii="Calibri" w:hAnsi="Calibri"/>
        </w:rPr>
        <w:t xml:space="preserve">Several resolutions draw </w:t>
      </w:r>
      <w:r w:rsidR="0037328A" w:rsidRPr="00764569">
        <w:rPr>
          <w:rFonts w:ascii="Calibri" w:hAnsi="Calibri"/>
        </w:rPr>
        <w:t>on</w:t>
      </w:r>
      <w:r w:rsidRPr="00764569">
        <w:rPr>
          <w:rFonts w:ascii="Calibri" w:hAnsi="Calibri"/>
        </w:rPr>
        <w:t xml:space="preserve"> the language of crimes against humanity in the Rome Statute</w:t>
      </w:r>
      <w:r w:rsidR="003F32C3" w:rsidRPr="00764569">
        <w:rPr>
          <w:rFonts w:ascii="Calibri" w:hAnsi="Calibri"/>
        </w:rPr>
        <w:t>,</w:t>
      </w:r>
      <w:r w:rsidRPr="00764569">
        <w:rPr>
          <w:rFonts w:ascii="Calibri" w:hAnsi="Calibri"/>
        </w:rPr>
        <w:t xml:space="preserve"> </w:t>
      </w:r>
      <w:r w:rsidR="003F32C3" w:rsidRPr="00764569">
        <w:rPr>
          <w:rFonts w:ascii="Calibri" w:hAnsi="Calibri"/>
        </w:rPr>
        <w:t>recognizing that conflicts can involve a</w:t>
      </w:r>
      <w:r w:rsidRPr="00764569">
        <w:rPr>
          <w:rFonts w:ascii="Calibri" w:hAnsi="Calibri"/>
        </w:rPr>
        <w:t xml:space="preserve"> “widespread or systematic attack against a civilian population”.</w:t>
      </w:r>
      <w:r w:rsidR="009139C5" w:rsidRPr="00764569">
        <w:rPr>
          <w:rStyle w:val="FootnoteReference"/>
          <w:rFonts w:ascii="Calibri" w:hAnsi="Calibri"/>
        </w:rPr>
        <w:t xml:space="preserve"> </w:t>
      </w:r>
      <w:r w:rsidR="009139C5" w:rsidRPr="00764569">
        <w:rPr>
          <w:rStyle w:val="FootnoteReference"/>
          <w:rFonts w:ascii="Calibri" w:hAnsi="Calibri"/>
        </w:rPr>
        <w:footnoteReference w:id="73"/>
      </w:r>
      <w:r w:rsidRPr="00764569">
        <w:rPr>
          <w:rFonts w:ascii="Calibri" w:hAnsi="Calibri"/>
        </w:rPr>
        <w:t xml:space="preserve"> </w:t>
      </w:r>
      <w:r w:rsidR="003F32C3" w:rsidRPr="00764569">
        <w:rPr>
          <w:rFonts w:ascii="Calibri" w:hAnsi="Calibri"/>
        </w:rPr>
        <w:t>There is a greater emphasis on ending impunity</w:t>
      </w:r>
      <w:r w:rsidR="00AE4168" w:rsidRPr="00764569">
        <w:rPr>
          <w:rFonts w:ascii="Calibri" w:hAnsi="Calibri"/>
        </w:rPr>
        <w:t xml:space="preserve"> in the resolutions compared to SCR 1325. </w:t>
      </w:r>
      <w:r w:rsidR="003F32C3" w:rsidRPr="00764569">
        <w:rPr>
          <w:rFonts w:ascii="Calibri" w:hAnsi="Calibri"/>
        </w:rPr>
        <w:t xml:space="preserve">SCR 1960 requests the Secretary-General </w:t>
      </w:r>
      <w:r w:rsidR="00AE4168" w:rsidRPr="00764569">
        <w:rPr>
          <w:rFonts w:ascii="Calibri" w:hAnsi="Calibri"/>
        </w:rPr>
        <w:t>for</w:t>
      </w:r>
      <w:r w:rsidR="003F32C3" w:rsidRPr="00764569">
        <w:rPr>
          <w:rFonts w:ascii="Calibri" w:hAnsi="Calibri"/>
        </w:rPr>
        <w:t xml:space="preserve"> detailed information on those suspected of committing or being responsible for patterns of sexual violence in armed conflict. The Resolution also calls upon those parties to </w:t>
      </w:r>
      <w:r w:rsidR="00AE4168" w:rsidRPr="00764569">
        <w:rPr>
          <w:rFonts w:ascii="Calibri" w:hAnsi="Calibri"/>
        </w:rPr>
        <w:t>enforce specific commitments on timely</w:t>
      </w:r>
      <w:r w:rsidR="003F32C3" w:rsidRPr="00764569">
        <w:rPr>
          <w:rFonts w:ascii="Calibri" w:hAnsi="Calibri"/>
        </w:rPr>
        <w:t xml:space="preserve"> investigations of alleged abuses.</w:t>
      </w:r>
      <w:r w:rsidR="003F32C3" w:rsidRPr="00764569">
        <w:rPr>
          <w:rStyle w:val="FootnoteReference"/>
          <w:rFonts w:ascii="Calibri" w:hAnsi="Calibri"/>
        </w:rPr>
        <w:footnoteReference w:id="74"/>
      </w:r>
      <w:r w:rsidR="00957E0D" w:rsidRPr="00764569">
        <w:rPr>
          <w:rFonts w:ascii="Calibri" w:hAnsi="Calibri"/>
        </w:rPr>
        <w:t xml:space="preserve"> SCR 1820 reaffirms that need to exclude sexual violence from amnesty provisions in conflict resolution processes.</w:t>
      </w:r>
      <w:r w:rsidR="00957E0D" w:rsidRPr="00764569">
        <w:rPr>
          <w:rStyle w:val="FootnoteReference"/>
          <w:rFonts w:ascii="Calibri" w:hAnsi="Calibri"/>
        </w:rPr>
        <w:footnoteReference w:id="75"/>
      </w:r>
    </w:p>
    <w:p w14:paraId="52A2F90F" w14:textId="77777777" w:rsidR="003742A9" w:rsidRDefault="00A6225E" w:rsidP="003742A9">
      <w:pPr>
        <w:pStyle w:val="Heading1"/>
        <w:keepLines/>
        <w:spacing w:before="360" w:after="0"/>
        <w:jc w:val="center"/>
        <w:rPr>
          <w:b w:val="0"/>
          <w:color w:val="4F81BD" w:themeColor="accent1"/>
          <w:spacing w:val="20"/>
          <w:kern w:val="0"/>
          <w:szCs w:val="28"/>
          <w:lang w:val="en-GB"/>
        </w:rPr>
      </w:pPr>
      <w:r>
        <w:rPr>
          <w:rFonts w:ascii="Calibri" w:hAnsi="Calibri"/>
        </w:rPr>
        <w:br w:type="page"/>
      </w:r>
    </w:p>
    <w:p w14:paraId="4C477718" w14:textId="21DF5A3C" w:rsidR="000B6204" w:rsidRPr="000E78A5" w:rsidRDefault="000B6204" w:rsidP="000B6204">
      <w:pPr>
        <w:pStyle w:val="Heading3"/>
        <w:keepLines/>
        <w:spacing w:before="20" w:after="0"/>
        <w:jc w:val="center"/>
        <w:rPr>
          <w:b w:val="0"/>
          <w:color w:val="1F497D" w:themeColor="text2"/>
          <w:spacing w:val="14"/>
          <w:sz w:val="32"/>
          <w:szCs w:val="32"/>
          <w:lang w:val="en-GB"/>
        </w:rPr>
      </w:pPr>
      <w:bookmarkStart w:id="5" w:name="_Toc416867083"/>
      <w:r>
        <w:rPr>
          <w:b w:val="0"/>
          <w:color w:val="1F497D" w:themeColor="text2"/>
          <w:spacing w:val="14"/>
          <w:sz w:val="32"/>
          <w:szCs w:val="32"/>
          <w:lang w:val="en-GB"/>
        </w:rPr>
        <w:lastRenderedPageBreak/>
        <w:t xml:space="preserve">UNDERSTANDING SCR 1325 IN AN INTEGRATED WAY WITH THE CEDAW GENERAL RECOMMENDATION NO. 30 </w:t>
      </w:r>
      <w:bookmarkEnd w:id="5"/>
    </w:p>
    <w:p w14:paraId="01397C14" w14:textId="77777777" w:rsidR="004E5EBC" w:rsidRPr="000B6204" w:rsidRDefault="004E5EBC" w:rsidP="004E5EBC">
      <w:pPr>
        <w:jc w:val="both"/>
        <w:rPr>
          <w:rFonts w:ascii="Calibri" w:hAnsi="Calibri"/>
          <w:sz w:val="32"/>
          <w:szCs w:val="32"/>
        </w:rPr>
      </w:pPr>
    </w:p>
    <w:p w14:paraId="6F08B5F5" w14:textId="74CED1C4" w:rsidR="00293648" w:rsidRPr="00764569" w:rsidRDefault="00945579" w:rsidP="00087097">
      <w:pPr>
        <w:spacing w:line="360" w:lineRule="auto"/>
        <w:jc w:val="both"/>
        <w:rPr>
          <w:rFonts w:ascii="Calibri" w:hAnsi="Calibri"/>
        </w:rPr>
      </w:pPr>
      <w:r w:rsidRPr="00764569">
        <w:rPr>
          <w:rFonts w:ascii="Calibri" w:hAnsi="Calibri"/>
        </w:rPr>
        <w:t xml:space="preserve">SCR 1325 and its related resolutions </w:t>
      </w:r>
      <w:r w:rsidR="00725F72" w:rsidRPr="00764569">
        <w:rPr>
          <w:rFonts w:ascii="Calibri" w:hAnsi="Calibri"/>
        </w:rPr>
        <w:t>should be understood</w:t>
      </w:r>
      <w:r w:rsidRPr="00764569">
        <w:rPr>
          <w:rFonts w:ascii="Calibri" w:hAnsi="Calibri"/>
        </w:rPr>
        <w:t xml:space="preserve"> together with CEDAW</w:t>
      </w:r>
      <w:r w:rsidR="00725F72" w:rsidRPr="00764569">
        <w:rPr>
          <w:rFonts w:ascii="Calibri" w:hAnsi="Calibri"/>
        </w:rPr>
        <w:t xml:space="preserve"> as complementary</w:t>
      </w:r>
      <w:r w:rsidR="002E4178" w:rsidRPr="00764569">
        <w:rPr>
          <w:rFonts w:ascii="Calibri" w:hAnsi="Calibri"/>
        </w:rPr>
        <w:t xml:space="preserve"> and mutually reinforcing elements</w:t>
      </w:r>
      <w:r w:rsidR="00725F72" w:rsidRPr="00764569">
        <w:rPr>
          <w:rFonts w:ascii="Calibri" w:hAnsi="Calibri"/>
        </w:rPr>
        <w:t xml:space="preserve"> of the legal framework</w:t>
      </w:r>
      <w:r w:rsidR="001B6F53" w:rsidRPr="00764569">
        <w:rPr>
          <w:rFonts w:ascii="Calibri" w:hAnsi="Calibri"/>
        </w:rPr>
        <w:t xml:space="preserve">. </w:t>
      </w:r>
      <w:r w:rsidR="004E5EBC" w:rsidRPr="00764569">
        <w:rPr>
          <w:rFonts w:ascii="Calibri" w:hAnsi="Calibri"/>
        </w:rPr>
        <w:t xml:space="preserve">The </w:t>
      </w:r>
      <w:r w:rsidR="0080751A" w:rsidRPr="00764569">
        <w:rPr>
          <w:rFonts w:ascii="Calibri" w:hAnsi="Calibri"/>
        </w:rPr>
        <w:t xml:space="preserve">CEDAW </w:t>
      </w:r>
      <w:r w:rsidR="004E5EBC" w:rsidRPr="00764569">
        <w:rPr>
          <w:rFonts w:ascii="Calibri" w:hAnsi="Calibri"/>
        </w:rPr>
        <w:t xml:space="preserve">GR No. 30 acts as a bridge between SCR 1325 and CEDAW, </w:t>
      </w:r>
      <w:r w:rsidR="002E4178" w:rsidRPr="00764569">
        <w:rPr>
          <w:rFonts w:ascii="Calibri" w:hAnsi="Calibri"/>
        </w:rPr>
        <w:t>containing</w:t>
      </w:r>
      <w:r w:rsidR="004E5EBC" w:rsidRPr="00764569">
        <w:rPr>
          <w:rFonts w:ascii="Calibri" w:hAnsi="Calibri"/>
        </w:rPr>
        <w:t xml:space="preserve"> a comprehensive package of </w:t>
      </w:r>
      <w:r w:rsidR="002E4178" w:rsidRPr="00764569">
        <w:rPr>
          <w:rFonts w:ascii="Calibri" w:hAnsi="Calibri"/>
        </w:rPr>
        <w:t>protections</w:t>
      </w:r>
      <w:r w:rsidR="004E5EBC" w:rsidRPr="00764569">
        <w:rPr>
          <w:rFonts w:ascii="Calibri" w:hAnsi="Calibri"/>
        </w:rPr>
        <w:t xml:space="preserve"> </w:t>
      </w:r>
      <w:r w:rsidR="001B6F53" w:rsidRPr="00764569">
        <w:rPr>
          <w:rFonts w:ascii="Calibri" w:hAnsi="Calibri"/>
        </w:rPr>
        <w:t>that provide for transformative equality</w:t>
      </w:r>
      <w:r w:rsidR="00143162" w:rsidRPr="00764569">
        <w:rPr>
          <w:rFonts w:ascii="Calibri" w:hAnsi="Calibri"/>
        </w:rPr>
        <w:t xml:space="preserve"> and that go beyond the language of the resolutions on women, peace and security</w:t>
      </w:r>
      <w:r w:rsidR="004E5EBC" w:rsidRPr="00764569">
        <w:rPr>
          <w:rFonts w:ascii="Calibri" w:hAnsi="Calibri"/>
        </w:rPr>
        <w:t xml:space="preserve">. </w:t>
      </w:r>
      <w:r w:rsidR="00725F72" w:rsidRPr="00764569">
        <w:rPr>
          <w:rFonts w:ascii="Calibri" w:hAnsi="Calibri"/>
        </w:rPr>
        <w:t>This submission agrees with the CEDAW Committee’s integrated approach</w:t>
      </w:r>
      <w:r w:rsidR="00D50014" w:rsidRPr="00764569">
        <w:rPr>
          <w:rFonts w:ascii="Calibri" w:hAnsi="Calibri"/>
        </w:rPr>
        <w:t xml:space="preserve">, outlined in </w:t>
      </w:r>
      <w:r w:rsidR="00143162" w:rsidRPr="00764569">
        <w:rPr>
          <w:rFonts w:ascii="Calibri" w:hAnsi="Calibri"/>
        </w:rPr>
        <w:t>the GR</w:t>
      </w:r>
      <w:r w:rsidR="00D50014" w:rsidRPr="00764569">
        <w:rPr>
          <w:rFonts w:ascii="Calibri" w:hAnsi="Calibri"/>
        </w:rPr>
        <w:t>, to implement</w:t>
      </w:r>
      <w:r w:rsidR="00725F72" w:rsidRPr="00764569">
        <w:rPr>
          <w:rFonts w:ascii="Calibri" w:hAnsi="Calibri"/>
        </w:rPr>
        <w:t xml:space="preserve"> the Security Council agen</w:t>
      </w:r>
      <w:r w:rsidR="00191504" w:rsidRPr="00764569">
        <w:rPr>
          <w:rFonts w:ascii="Calibri" w:hAnsi="Calibri"/>
        </w:rPr>
        <w:t>da on women, peace and security</w:t>
      </w:r>
      <w:r w:rsidR="00725F72" w:rsidRPr="00764569">
        <w:rPr>
          <w:rFonts w:ascii="Calibri" w:hAnsi="Calibri"/>
        </w:rPr>
        <w:t xml:space="preserve"> </w:t>
      </w:r>
      <w:r w:rsidR="00E01C3D" w:rsidRPr="00764569">
        <w:rPr>
          <w:rFonts w:ascii="Calibri" w:hAnsi="Calibri"/>
        </w:rPr>
        <w:t>as part of a legal</w:t>
      </w:r>
      <w:r w:rsidR="00725F72" w:rsidRPr="00764569">
        <w:rPr>
          <w:rFonts w:ascii="Calibri" w:hAnsi="Calibri"/>
        </w:rPr>
        <w:t xml:space="preserve"> </w:t>
      </w:r>
      <w:r w:rsidR="00B56133" w:rsidRPr="00764569">
        <w:rPr>
          <w:rFonts w:ascii="Calibri" w:hAnsi="Calibri"/>
        </w:rPr>
        <w:t xml:space="preserve">framework grounded in CEDAW. </w:t>
      </w:r>
      <w:r w:rsidR="004E5EBC" w:rsidRPr="00764569">
        <w:rPr>
          <w:rFonts w:ascii="Calibri" w:hAnsi="Calibri"/>
        </w:rPr>
        <w:t>This involves States Parties:</w:t>
      </w:r>
      <w:r w:rsidR="004E5EBC" w:rsidRPr="00764569">
        <w:rPr>
          <w:rStyle w:val="FootnoteReference"/>
          <w:rFonts w:ascii="Calibri" w:hAnsi="Calibri"/>
        </w:rPr>
        <w:footnoteReference w:id="76"/>
      </w:r>
    </w:p>
    <w:p w14:paraId="69D73A0D" w14:textId="77777777" w:rsidR="00E4120D" w:rsidRPr="00764569" w:rsidRDefault="00E4120D" w:rsidP="004E5EBC">
      <w:pPr>
        <w:jc w:val="both"/>
        <w:rPr>
          <w:rFonts w:ascii="Calibri" w:hAnsi="Calibri"/>
        </w:rPr>
      </w:pPr>
    </w:p>
    <w:p w14:paraId="3C396FAA" w14:textId="2B65A099" w:rsidR="00293648" w:rsidRPr="00764569" w:rsidRDefault="004E5EBC" w:rsidP="00087097">
      <w:pPr>
        <w:pStyle w:val="ListParagraph"/>
        <w:numPr>
          <w:ilvl w:val="0"/>
          <w:numId w:val="6"/>
        </w:numPr>
        <w:spacing w:line="360" w:lineRule="auto"/>
        <w:jc w:val="both"/>
        <w:rPr>
          <w:rFonts w:ascii="Calibri" w:hAnsi="Calibri"/>
        </w:rPr>
      </w:pPr>
      <w:r w:rsidRPr="00764569">
        <w:rPr>
          <w:rFonts w:ascii="Calibri" w:hAnsi="Calibri"/>
        </w:rPr>
        <w:t xml:space="preserve">Ensuring that </w:t>
      </w:r>
      <w:r w:rsidR="000D6C7D" w:rsidRPr="00764569">
        <w:rPr>
          <w:rFonts w:ascii="Calibri" w:hAnsi="Calibri"/>
          <w:b/>
          <w:color w:val="4F81BD" w:themeColor="accent1"/>
        </w:rPr>
        <w:t>N</w:t>
      </w:r>
      <w:r w:rsidR="0080751A" w:rsidRPr="00764569">
        <w:rPr>
          <w:rFonts w:ascii="Calibri" w:hAnsi="Calibri"/>
          <w:b/>
          <w:color w:val="4F81BD" w:themeColor="accent1"/>
        </w:rPr>
        <w:t>ational Action Plans (N</w:t>
      </w:r>
      <w:r w:rsidR="000D6C7D" w:rsidRPr="00764569">
        <w:rPr>
          <w:rFonts w:ascii="Calibri" w:hAnsi="Calibri"/>
          <w:b/>
          <w:color w:val="4F81BD" w:themeColor="accent1"/>
        </w:rPr>
        <w:t>APs</w:t>
      </w:r>
      <w:r w:rsidR="0080751A" w:rsidRPr="00764569">
        <w:rPr>
          <w:rFonts w:ascii="Calibri" w:hAnsi="Calibri"/>
          <w:b/>
          <w:color w:val="4F81BD" w:themeColor="accent1"/>
        </w:rPr>
        <w:t>)</w:t>
      </w:r>
      <w:r w:rsidRPr="00764569">
        <w:rPr>
          <w:rFonts w:ascii="Calibri" w:hAnsi="Calibri"/>
        </w:rPr>
        <w:t xml:space="preserve"> and strategies to implement SCR 1325 and subsequent resolution</w:t>
      </w:r>
      <w:r w:rsidR="00276BE6" w:rsidRPr="00764569">
        <w:rPr>
          <w:rFonts w:ascii="Calibri" w:hAnsi="Calibri"/>
        </w:rPr>
        <w:t>s on women, peace and security</w:t>
      </w:r>
      <w:r w:rsidRPr="00764569">
        <w:rPr>
          <w:rFonts w:ascii="Calibri" w:hAnsi="Calibri"/>
        </w:rPr>
        <w:t xml:space="preserve"> </w:t>
      </w:r>
      <w:r w:rsidRPr="00764569">
        <w:rPr>
          <w:rFonts w:ascii="Calibri" w:hAnsi="Calibri"/>
          <w:b/>
          <w:color w:val="4F81BD" w:themeColor="accent1"/>
        </w:rPr>
        <w:t>comply with CEDAW</w:t>
      </w:r>
      <w:r w:rsidRPr="00764569">
        <w:rPr>
          <w:rFonts w:ascii="Calibri" w:hAnsi="Calibri"/>
        </w:rPr>
        <w:t xml:space="preserve">, and that </w:t>
      </w:r>
      <w:r w:rsidR="00CC72DB" w:rsidRPr="00764569">
        <w:rPr>
          <w:rFonts w:ascii="Calibri" w:hAnsi="Calibri"/>
        </w:rPr>
        <w:t>there are</w:t>
      </w:r>
      <w:r w:rsidRPr="00764569">
        <w:rPr>
          <w:rFonts w:ascii="Calibri" w:hAnsi="Calibri"/>
        </w:rPr>
        <w:t xml:space="preserve"> </w:t>
      </w:r>
      <w:r w:rsidRPr="00764569">
        <w:rPr>
          <w:rFonts w:ascii="Calibri" w:hAnsi="Calibri"/>
          <w:b/>
          <w:color w:val="4F81BD" w:themeColor="accent1"/>
        </w:rPr>
        <w:t>adequate budgets</w:t>
      </w:r>
      <w:r w:rsidRPr="00764569">
        <w:rPr>
          <w:rFonts w:ascii="Calibri" w:hAnsi="Calibri"/>
        </w:rPr>
        <w:t xml:space="preserve"> to implement both NAPs and CEDAW.</w:t>
      </w:r>
    </w:p>
    <w:p w14:paraId="027DA9BF" w14:textId="0E5589DC" w:rsidR="00293648" w:rsidRPr="00764569" w:rsidRDefault="004E5EBC" w:rsidP="00087097">
      <w:pPr>
        <w:pStyle w:val="ListParagraph"/>
        <w:numPr>
          <w:ilvl w:val="0"/>
          <w:numId w:val="6"/>
        </w:numPr>
        <w:spacing w:line="360" w:lineRule="auto"/>
        <w:jc w:val="both"/>
        <w:rPr>
          <w:rFonts w:ascii="Calibri" w:hAnsi="Calibri"/>
        </w:rPr>
      </w:pPr>
      <w:r w:rsidRPr="00764569">
        <w:rPr>
          <w:rFonts w:ascii="Calibri" w:hAnsi="Calibri"/>
        </w:rPr>
        <w:t xml:space="preserve">Ensuring that the implementation of Security Council commitments reflects a model of </w:t>
      </w:r>
      <w:r w:rsidRPr="00764569">
        <w:rPr>
          <w:rFonts w:ascii="Calibri" w:hAnsi="Calibri"/>
          <w:b/>
          <w:color w:val="4F81BD" w:themeColor="accent1"/>
        </w:rPr>
        <w:t>substantive equality</w:t>
      </w:r>
      <w:r w:rsidRPr="00764569">
        <w:rPr>
          <w:rFonts w:ascii="Calibri" w:hAnsi="Calibri"/>
          <w:color w:val="4F81BD" w:themeColor="accent1"/>
        </w:rPr>
        <w:t xml:space="preserve"> </w:t>
      </w:r>
      <w:r w:rsidRPr="00764569">
        <w:rPr>
          <w:rFonts w:ascii="Calibri" w:hAnsi="Calibri"/>
        </w:rPr>
        <w:t xml:space="preserve">and takes into account the impact of conflict and post-conflict contexts on all rights in CEDAW, in addition to violations </w:t>
      </w:r>
      <w:r w:rsidR="002937FA" w:rsidRPr="00764569">
        <w:rPr>
          <w:rFonts w:ascii="Calibri" w:hAnsi="Calibri"/>
        </w:rPr>
        <w:t xml:space="preserve">involving </w:t>
      </w:r>
      <w:r w:rsidRPr="00764569">
        <w:rPr>
          <w:rFonts w:ascii="Calibri" w:hAnsi="Calibri"/>
        </w:rPr>
        <w:t xml:space="preserve">conflict-related GBV. </w:t>
      </w:r>
    </w:p>
    <w:p w14:paraId="01CFE17E" w14:textId="560D4936" w:rsidR="00293648" w:rsidRPr="00764569" w:rsidRDefault="004E5EBC" w:rsidP="00087097">
      <w:pPr>
        <w:pStyle w:val="ListParagraph"/>
        <w:numPr>
          <w:ilvl w:val="0"/>
          <w:numId w:val="6"/>
        </w:numPr>
        <w:spacing w:line="360" w:lineRule="auto"/>
        <w:jc w:val="both"/>
        <w:rPr>
          <w:rFonts w:ascii="Calibri" w:hAnsi="Calibri"/>
        </w:rPr>
      </w:pPr>
      <w:r w:rsidRPr="00764569">
        <w:rPr>
          <w:rFonts w:ascii="Calibri" w:hAnsi="Calibri"/>
        </w:rPr>
        <w:t xml:space="preserve">Cooperating with all UN networks, departments, agencies, funds and programmes throughout the </w:t>
      </w:r>
      <w:r w:rsidRPr="00764569">
        <w:rPr>
          <w:rFonts w:ascii="Calibri" w:hAnsi="Calibri"/>
          <w:b/>
          <w:color w:val="4F81BD" w:themeColor="accent1"/>
        </w:rPr>
        <w:t xml:space="preserve">conflict </w:t>
      </w:r>
      <w:r w:rsidR="0080751A" w:rsidRPr="00764569">
        <w:rPr>
          <w:rFonts w:ascii="Calibri" w:hAnsi="Calibri"/>
          <w:b/>
          <w:color w:val="4F81BD" w:themeColor="accent1"/>
        </w:rPr>
        <w:t>process</w:t>
      </w:r>
      <w:r w:rsidRPr="00764569">
        <w:rPr>
          <w:rFonts w:ascii="Calibri" w:hAnsi="Calibri"/>
          <w:b/>
          <w:color w:val="4F81BD" w:themeColor="accent1"/>
        </w:rPr>
        <w:t xml:space="preserve"> (prevention, conflict, conflict resolution and post-conflict reconstruction</w:t>
      </w:r>
      <w:r w:rsidR="001D0F5F" w:rsidRPr="00764569">
        <w:rPr>
          <w:rFonts w:ascii="Calibri" w:hAnsi="Calibri"/>
          <w:b/>
          <w:color w:val="4F81BD" w:themeColor="accent1"/>
        </w:rPr>
        <w:t xml:space="preserve"> including transitional justice situations</w:t>
      </w:r>
      <w:r w:rsidRPr="00764569">
        <w:rPr>
          <w:rFonts w:ascii="Calibri" w:hAnsi="Calibri"/>
          <w:b/>
          <w:color w:val="4F81BD" w:themeColor="accent1"/>
        </w:rPr>
        <w:t>)</w:t>
      </w:r>
      <w:r w:rsidRPr="00764569">
        <w:rPr>
          <w:rFonts w:ascii="Calibri" w:hAnsi="Calibri"/>
        </w:rPr>
        <w:t>.</w:t>
      </w:r>
    </w:p>
    <w:p w14:paraId="7DB894AD" w14:textId="77777777" w:rsidR="002937FA" w:rsidRPr="00764569" w:rsidRDefault="004E5EBC" w:rsidP="00087097">
      <w:pPr>
        <w:pStyle w:val="ListParagraph"/>
        <w:numPr>
          <w:ilvl w:val="0"/>
          <w:numId w:val="6"/>
        </w:numPr>
        <w:spacing w:line="360" w:lineRule="auto"/>
        <w:jc w:val="both"/>
        <w:rPr>
          <w:rFonts w:ascii="Calibri" w:hAnsi="Calibri"/>
        </w:rPr>
      </w:pPr>
      <w:r w:rsidRPr="00764569">
        <w:rPr>
          <w:rFonts w:ascii="Calibri" w:hAnsi="Calibri"/>
        </w:rPr>
        <w:t xml:space="preserve">Collaborating with </w:t>
      </w:r>
      <w:r w:rsidRPr="00764569">
        <w:rPr>
          <w:rFonts w:ascii="Calibri" w:hAnsi="Calibri"/>
          <w:b/>
          <w:color w:val="4F81BD" w:themeColor="accent1"/>
        </w:rPr>
        <w:t>civil society and NGOs</w:t>
      </w:r>
      <w:r w:rsidRPr="00764569">
        <w:rPr>
          <w:rFonts w:ascii="Calibri" w:hAnsi="Calibri"/>
        </w:rPr>
        <w:t xml:space="preserve"> working on the Security Council agenda on WPS.</w:t>
      </w:r>
    </w:p>
    <w:p w14:paraId="1F3A3359" w14:textId="6C3A01D3" w:rsidR="001D0F5F" w:rsidRPr="00764569" w:rsidRDefault="00CB02AD" w:rsidP="00087097">
      <w:pPr>
        <w:pStyle w:val="ListParagraph"/>
        <w:numPr>
          <w:ilvl w:val="0"/>
          <w:numId w:val="6"/>
        </w:numPr>
        <w:spacing w:line="360" w:lineRule="auto"/>
        <w:jc w:val="both"/>
        <w:rPr>
          <w:rFonts w:ascii="Calibri" w:hAnsi="Calibri"/>
        </w:rPr>
      </w:pPr>
      <w:r w:rsidRPr="00764569">
        <w:rPr>
          <w:rFonts w:ascii="Calibri" w:hAnsi="Calibri"/>
        </w:rPr>
        <w:t xml:space="preserve">Providing information on the </w:t>
      </w:r>
      <w:r w:rsidRPr="00764569">
        <w:rPr>
          <w:rFonts w:ascii="Calibri" w:hAnsi="Calibri"/>
          <w:b/>
          <w:color w:val="4F81BD" w:themeColor="accent1"/>
        </w:rPr>
        <w:t>implementation</w:t>
      </w:r>
      <w:r w:rsidRPr="00764569">
        <w:rPr>
          <w:rFonts w:ascii="Calibri" w:hAnsi="Calibri"/>
          <w:b/>
        </w:rPr>
        <w:t xml:space="preserve"> </w:t>
      </w:r>
      <w:r w:rsidRPr="00764569">
        <w:rPr>
          <w:rFonts w:ascii="Calibri" w:hAnsi="Calibri"/>
        </w:rPr>
        <w:t xml:space="preserve">of the Security Council agenda on women, peace and security, in particular </w:t>
      </w:r>
      <w:r w:rsidRPr="00764569">
        <w:rPr>
          <w:rFonts w:ascii="Calibri" w:hAnsi="Calibri"/>
          <w:b/>
          <w:color w:val="4F81BD" w:themeColor="accent1"/>
        </w:rPr>
        <w:t>SCRs 1325, 1820, 1888, 1889, 1960 and 2010</w:t>
      </w:r>
      <w:r w:rsidRPr="00764569">
        <w:rPr>
          <w:rFonts w:ascii="Calibri" w:hAnsi="Calibri"/>
        </w:rPr>
        <w:t xml:space="preserve">, including by specifically reporting on compliance with any agreed UN benchmarks or indicators developed as part of that agenda, reporting on the legal framework, policies and programmes, and collecting sex-disaggregated data. </w:t>
      </w:r>
    </w:p>
    <w:p w14:paraId="50AB076C" w14:textId="77777777" w:rsidR="00CB02AD" w:rsidRPr="00764569" w:rsidRDefault="00CB02AD" w:rsidP="00CB02AD">
      <w:pPr>
        <w:jc w:val="both"/>
        <w:rPr>
          <w:rFonts w:ascii="Calibri" w:hAnsi="Calibri"/>
        </w:rPr>
      </w:pPr>
    </w:p>
    <w:p w14:paraId="3BC07877" w14:textId="3822E56E" w:rsidR="004E5EBC" w:rsidRPr="00764569" w:rsidRDefault="004E5EBC" w:rsidP="00087097">
      <w:pPr>
        <w:spacing w:line="360" w:lineRule="auto"/>
        <w:jc w:val="both"/>
        <w:rPr>
          <w:rFonts w:ascii="Calibri" w:hAnsi="Calibri"/>
        </w:rPr>
      </w:pPr>
      <w:r w:rsidRPr="00764569">
        <w:rPr>
          <w:rFonts w:ascii="Calibri" w:hAnsi="Calibri"/>
        </w:rPr>
        <w:t>The CEDAW GR No. 30 contains several path–breaking recommendations</w:t>
      </w:r>
      <w:r w:rsidR="0037328A" w:rsidRPr="00764569">
        <w:rPr>
          <w:rFonts w:ascii="Calibri" w:hAnsi="Calibri"/>
        </w:rPr>
        <w:t xml:space="preserve"> that </w:t>
      </w:r>
      <w:r w:rsidR="00B56133" w:rsidRPr="00764569">
        <w:rPr>
          <w:rFonts w:ascii="Calibri" w:hAnsi="Calibri"/>
        </w:rPr>
        <w:t>provide for</w:t>
      </w:r>
      <w:r w:rsidR="000D6C7D" w:rsidRPr="00764569">
        <w:rPr>
          <w:rFonts w:ascii="Calibri" w:hAnsi="Calibri"/>
        </w:rPr>
        <w:t xml:space="preserve"> substantive </w:t>
      </w:r>
      <w:r w:rsidR="00B56133" w:rsidRPr="00764569">
        <w:rPr>
          <w:rFonts w:ascii="Calibri" w:hAnsi="Calibri"/>
        </w:rPr>
        <w:t>and</w:t>
      </w:r>
      <w:r w:rsidR="000D6C7D" w:rsidRPr="00764569">
        <w:rPr>
          <w:rFonts w:ascii="Calibri" w:hAnsi="Calibri"/>
        </w:rPr>
        <w:t xml:space="preserve"> </w:t>
      </w:r>
      <w:r w:rsidR="0037328A" w:rsidRPr="00764569">
        <w:rPr>
          <w:rFonts w:ascii="Calibri" w:hAnsi="Calibri"/>
        </w:rPr>
        <w:t>transformative equality</w:t>
      </w:r>
      <w:r w:rsidRPr="00764569">
        <w:rPr>
          <w:rFonts w:ascii="Calibri" w:hAnsi="Calibri"/>
        </w:rPr>
        <w:t xml:space="preserve">. </w:t>
      </w:r>
      <w:r w:rsidR="00116007" w:rsidRPr="00764569">
        <w:rPr>
          <w:rFonts w:ascii="Calibri" w:hAnsi="Calibri"/>
        </w:rPr>
        <w:t>The following</w:t>
      </w:r>
      <w:r w:rsidR="000D6C7D" w:rsidRPr="00764569">
        <w:rPr>
          <w:rFonts w:ascii="Calibri" w:hAnsi="Calibri"/>
        </w:rPr>
        <w:t xml:space="preserve"> seven key </w:t>
      </w:r>
      <w:r w:rsidR="00116007" w:rsidRPr="00764569">
        <w:rPr>
          <w:rFonts w:ascii="Calibri" w:hAnsi="Calibri"/>
        </w:rPr>
        <w:t>elements of</w:t>
      </w:r>
      <w:r w:rsidR="000D6C7D" w:rsidRPr="00764569">
        <w:rPr>
          <w:rFonts w:ascii="Calibri" w:hAnsi="Calibri"/>
        </w:rPr>
        <w:t xml:space="preserve"> GR No. 30 </w:t>
      </w:r>
      <w:r w:rsidR="00276BE6" w:rsidRPr="00764569">
        <w:rPr>
          <w:rFonts w:ascii="Calibri" w:hAnsi="Calibri"/>
        </w:rPr>
        <w:t>should be</w:t>
      </w:r>
      <w:r w:rsidR="003C2297" w:rsidRPr="00764569">
        <w:rPr>
          <w:rFonts w:ascii="Calibri" w:hAnsi="Calibri"/>
        </w:rPr>
        <w:t xml:space="preserve"> read together with SCR 1325, and</w:t>
      </w:r>
      <w:r w:rsidR="00276BE6" w:rsidRPr="00764569">
        <w:rPr>
          <w:rFonts w:ascii="Calibri" w:hAnsi="Calibri"/>
        </w:rPr>
        <w:t xml:space="preserve"> understood as complementing the protections in</w:t>
      </w:r>
      <w:r w:rsidR="000D6C7D" w:rsidRPr="00764569">
        <w:rPr>
          <w:rFonts w:ascii="Calibri" w:hAnsi="Calibri"/>
        </w:rPr>
        <w:t xml:space="preserve"> </w:t>
      </w:r>
      <w:r w:rsidR="003C2297" w:rsidRPr="00764569">
        <w:rPr>
          <w:rFonts w:ascii="Calibri" w:hAnsi="Calibri"/>
        </w:rPr>
        <w:t>the Security Council resolutions on women, peace and security</w:t>
      </w:r>
      <w:r w:rsidR="00276BE6" w:rsidRPr="00764569">
        <w:rPr>
          <w:rFonts w:ascii="Calibri" w:hAnsi="Calibri"/>
        </w:rPr>
        <w:t>.</w:t>
      </w:r>
      <w:r w:rsidRPr="00764569">
        <w:rPr>
          <w:rStyle w:val="FootnoteReference"/>
          <w:rFonts w:ascii="Calibri" w:hAnsi="Calibri"/>
        </w:rPr>
        <w:footnoteReference w:id="77"/>
      </w:r>
      <w:r w:rsidRPr="00764569">
        <w:rPr>
          <w:rFonts w:ascii="Calibri" w:hAnsi="Calibri"/>
        </w:rPr>
        <w:t xml:space="preserve">  </w:t>
      </w:r>
    </w:p>
    <w:p w14:paraId="61DA3635" w14:textId="77777777" w:rsidR="004E5EBC" w:rsidRPr="00764569" w:rsidRDefault="004E5EBC" w:rsidP="004E5EBC">
      <w:pPr>
        <w:rPr>
          <w:rFonts w:ascii="Calibri" w:hAnsi="Calibri"/>
        </w:rPr>
      </w:pPr>
    </w:p>
    <w:p w14:paraId="0B5E8C50" w14:textId="6A575ADD" w:rsidR="004E5EBC" w:rsidRPr="00764569" w:rsidRDefault="004E5EBC" w:rsidP="00087097">
      <w:pPr>
        <w:pStyle w:val="ListParagraph"/>
        <w:numPr>
          <w:ilvl w:val="0"/>
          <w:numId w:val="5"/>
        </w:numPr>
        <w:spacing w:line="360" w:lineRule="auto"/>
        <w:jc w:val="both"/>
        <w:rPr>
          <w:rFonts w:ascii="Calibri" w:hAnsi="Calibri"/>
        </w:rPr>
      </w:pPr>
      <w:r w:rsidRPr="00764569">
        <w:rPr>
          <w:rFonts w:ascii="Calibri" w:hAnsi="Calibri"/>
        </w:rPr>
        <w:t xml:space="preserve">An </w:t>
      </w:r>
      <w:r w:rsidRPr="00764569">
        <w:rPr>
          <w:rFonts w:ascii="Calibri" w:hAnsi="Calibri"/>
          <w:b/>
          <w:color w:val="4F81BD" w:themeColor="accent1"/>
        </w:rPr>
        <w:t xml:space="preserve">expanded </w:t>
      </w:r>
      <w:r w:rsidR="00791788" w:rsidRPr="00764569">
        <w:rPr>
          <w:rFonts w:ascii="Calibri" w:hAnsi="Calibri"/>
          <w:b/>
          <w:color w:val="4F81BD" w:themeColor="accent1"/>
        </w:rPr>
        <w:t>understanding of conflict and conflict-related situations</w:t>
      </w:r>
      <w:r w:rsidRPr="00764569">
        <w:rPr>
          <w:rFonts w:ascii="Calibri" w:hAnsi="Calibri"/>
        </w:rPr>
        <w:t xml:space="preserve">, which </w:t>
      </w:r>
      <w:r w:rsidR="00276BE6" w:rsidRPr="00764569">
        <w:rPr>
          <w:rFonts w:ascii="Calibri" w:hAnsi="Calibri"/>
        </w:rPr>
        <w:t>covers</w:t>
      </w:r>
      <w:r w:rsidRPr="00764569">
        <w:rPr>
          <w:rFonts w:ascii="Calibri" w:hAnsi="Calibri"/>
        </w:rPr>
        <w:t xml:space="preserve"> situations that may not be </w:t>
      </w:r>
      <w:r w:rsidR="00791788" w:rsidRPr="00764569">
        <w:rPr>
          <w:rFonts w:ascii="Calibri" w:hAnsi="Calibri"/>
        </w:rPr>
        <w:t>defined as</w:t>
      </w:r>
      <w:r w:rsidRPr="00764569">
        <w:rPr>
          <w:rFonts w:ascii="Calibri" w:hAnsi="Calibri"/>
        </w:rPr>
        <w:t xml:space="preserve"> armed conflicts under international </w:t>
      </w:r>
      <w:r w:rsidR="00791788" w:rsidRPr="00764569">
        <w:rPr>
          <w:rFonts w:ascii="Calibri" w:hAnsi="Calibri"/>
        </w:rPr>
        <w:t xml:space="preserve">law. These include: </w:t>
      </w:r>
      <w:r w:rsidRPr="00764569">
        <w:rPr>
          <w:rFonts w:ascii="Calibri" w:hAnsi="Calibri"/>
        </w:rPr>
        <w:t>international and non-international armed conflicts, si</w:t>
      </w:r>
      <w:r w:rsidR="00737F90" w:rsidRPr="00764569">
        <w:rPr>
          <w:rFonts w:ascii="Calibri" w:hAnsi="Calibri"/>
        </w:rPr>
        <w:t xml:space="preserve">tuations of foreign occupation, </w:t>
      </w:r>
      <w:r w:rsidRPr="00764569">
        <w:rPr>
          <w:rFonts w:ascii="Calibri" w:hAnsi="Calibri"/>
        </w:rPr>
        <w:t>other forms of occupation and post-conflict s</w:t>
      </w:r>
      <w:r w:rsidR="00737F90" w:rsidRPr="00764569">
        <w:rPr>
          <w:rFonts w:ascii="Calibri" w:hAnsi="Calibri"/>
        </w:rPr>
        <w:t>ituations</w:t>
      </w:r>
      <w:r w:rsidRPr="00764569">
        <w:rPr>
          <w:rFonts w:ascii="Calibri" w:hAnsi="Calibri"/>
        </w:rPr>
        <w:t>.</w:t>
      </w:r>
      <w:r w:rsidRPr="00764569">
        <w:rPr>
          <w:rStyle w:val="FootnoteReference"/>
          <w:rFonts w:ascii="Calibri" w:hAnsi="Calibri"/>
        </w:rPr>
        <w:footnoteReference w:id="78"/>
      </w:r>
      <w:r w:rsidR="00737F90" w:rsidRPr="00764569">
        <w:rPr>
          <w:rFonts w:ascii="Calibri" w:hAnsi="Calibri"/>
        </w:rPr>
        <w:t xml:space="preserve"> The</w:t>
      </w:r>
      <w:r w:rsidR="00445B87" w:rsidRPr="00764569">
        <w:rPr>
          <w:rFonts w:ascii="Calibri" w:hAnsi="Calibri"/>
        </w:rPr>
        <w:t xml:space="preserve"> </w:t>
      </w:r>
      <w:r w:rsidR="00985EAF" w:rsidRPr="00764569">
        <w:rPr>
          <w:rFonts w:ascii="Calibri" w:hAnsi="Calibri"/>
        </w:rPr>
        <w:t>wid</w:t>
      </w:r>
      <w:r w:rsidR="00B56133" w:rsidRPr="00764569">
        <w:rPr>
          <w:rFonts w:ascii="Calibri" w:hAnsi="Calibri"/>
        </w:rPr>
        <w:t>e-ranging</w:t>
      </w:r>
      <w:r w:rsidR="00737F90" w:rsidRPr="00764569">
        <w:rPr>
          <w:rFonts w:ascii="Calibri" w:hAnsi="Calibri"/>
        </w:rPr>
        <w:t xml:space="preserve"> scope of the CEDAW GR No. 30</w:t>
      </w:r>
      <w:r w:rsidR="00B56133" w:rsidRPr="00764569">
        <w:rPr>
          <w:rFonts w:ascii="Calibri" w:hAnsi="Calibri"/>
        </w:rPr>
        <w:t xml:space="preserve"> </w:t>
      </w:r>
      <w:r w:rsidR="00445B87" w:rsidRPr="00764569">
        <w:rPr>
          <w:rFonts w:ascii="Calibri" w:hAnsi="Calibri"/>
        </w:rPr>
        <w:t xml:space="preserve">allows for transformative equality if the rights of women and girls are recognised in all </w:t>
      </w:r>
      <w:r w:rsidR="00B56133" w:rsidRPr="00764569">
        <w:rPr>
          <w:rFonts w:ascii="Calibri" w:hAnsi="Calibri"/>
        </w:rPr>
        <w:t xml:space="preserve">of </w:t>
      </w:r>
      <w:r w:rsidR="00445B87" w:rsidRPr="00764569">
        <w:rPr>
          <w:rFonts w:ascii="Calibri" w:hAnsi="Calibri"/>
        </w:rPr>
        <w:t xml:space="preserve">these contexts, especially those not usually </w:t>
      </w:r>
      <w:r w:rsidR="00737F90" w:rsidRPr="00764569">
        <w:rPr>
          <w:rFonts w:ascii="Calibri" w:hAnsi="Calibri"/>
        </w:rPr>
        <w:t xml:space="preserve">covered under international law. </w:t>
      </w:r>
    </w:p>
    <w:p w14:paraId="4539929C" w14:textId="77777777" w:rsidR="004E5EBC" w:rsidRPr="00764569" w:rsidRDefault="004E5EBC" w:rsidP="004E5EBC">
      <w:pPr>
        <w:pStyle w:val="ListParagraph"/>
        <w:jc w:val="both"/>
        <w:rPr>
          <w:rFonts w:ascii="Calibri" w:hAnsi="Calibri"/>
        </w:rPr>
      </w:pPr>
    </w:p>
    <w:p w14:paraId="4CBA3154" w14:textId="4C5F5015" w:rsidR="004E5EBC" w:rsidRPr="00764569" w:rsidRDefault="004E5EBC" w:rsidP="00087097">
      <w:pPr>
        <w:pStyle w:val="ListParagraph"/>
        <w:numPr>
          <w:ilvl w:val="0"/>
          <w:numId w:val="5"/>
        </w:numPr>
        <w:spacing w:line="360" w:lineRule="auto"/>
        <w:jc w:val="both"/>
        <w:rPr>
          <w:rFonts w:ascii="Calibri" w:hAnsi="Calibri"/>
        </w:rPr>
      </w:pPr>
      <w:r w:rsidRPr="00764569">
        <w:rPr>
          <w:rFonts w:ascii="Calibri" w:hAnsi="Calibri"/>
        </w:rPr>
        <w:t xml:space="preserve">The application of </w:t>
      </w:r>
      <w:r w:rsidRPr="00764569">
        <w:rPr>
          <w:rFonts w:ascii="Calibri" w:hAnsi="Calibri"/>
          <w:b/>
          <w:color w:val="4F81BD" w:themeColor="accent1"/>
        </w:rPr>
        <w:t>extra-territorial responsibility to state and non-state actors</w:t>
      </w:r>
      <w:r w:rsidRPr="00764569">
        <w:rPr>
          <w:rFonts w:ascii="Calibri" w:hAnsi="Calibri"/>
        </w:rPr>
        <w:t xml:space="preserve">. </w:t>
      </w:r>
      <w:r w:rsidR="003976F2" w:rsidRPr="00764569">
        <w:rPr>
          <w:rFonts w:ascii="Calibri" w:hAnsi="Calibri"/>
        </w:rPr>
        <w:t>CEDAW is unique among international human rights treaties in enforcing</w:t>
      </w:r>
      <w:r w:rsidRPr="00764569">
        <w:rPr>
          <w:rFonts w:ascii="Calibri" w:hAnsi="Calibri"/>
        </w:rPr>
        <w:t xml:space="preserve"> due diligence obligations</w:t>
      </w:r>
      <w:r w:rsidR="003976F2" w:rsidRPr="00764569">
        <w:rPr>
          <w:rFonts w:ascii="Calibri" w:hAnsi="Calibri"/>
        </w:rPr>
        <w:t xml:space="preserve"> on states</w:t>
      </w:r>
      <w:r w:rsidRPr="00764569">
        <w:rPr>
          <w:rFonts w:ascii="Calibri" w:hAnsi="Calibri"/>
        </w:rPr>
        <w:t xml:space="preserve"> concerning acts of private individuals or entities that violate </w:t>
      </w:r>
      <w:r w:rsidR="003976F2" w:rsidRPr="00764569">
        <w:rPr>
          <w:rFonts w:ascii="Calibri" w:hAnsi="Calibri"/>
        </w:rPr>
        <w:t>the Convention</w:t>
      </w:r>
      <w:r w:rsidRPr="00764569">
        <w:rPr>
          <w:rFonts w:ascii="Calibri" w:hAnsi="Calibri"/>
        </w:rPr>
        <w:t>.</w:t>
      </w:r>
      <w:r w:rsidR="00445B87" w:rsidRPr="00764569">
        <w:rPr>
          <w:rFonts w:ascii="Calibri" w:hAnsi="Calibri"/>
        </w:rPr>
        <w:t xml:space="preserve"> </w:t>
      </w:r>
      <w:r w:rsidR="00985EAF" w:rsidRPr="00764569">
        <w:rPr>
          <w:rFonts w:ascii="Calibri" w:hAnsi="Calibri"/>
        </w:rPr>
        <w:t>This provides</w:t>
      </w:r>
      <w:r w:rsidR="00445B87" w:rsidRPr="00764569">
        <w:rPr>
          <w:rFonts w:ascii="Calibri" w:hAnsi="Calibri"/>
        </w:rPr>
        <w:t xml:space="preserve"> for transformative equality by enforcing accountability on non-state actors</w:t>
      </w:r>
      <w:r w:rsidR="00985EAF" w:rsidRPr="00764569">
        <w:rPr>
          <w:rFonts w:ascii="Calibri" w:hAnsi="Calibri"/>
        </w:rPr>
        <w:t xml:space="preserve"> that are  </w:t>
      </w:r>
      <w:r w:rsidR="00445B87" w:rsidRPr="00764569">
        <w:rPr>
          <w:rFonts w:ascii="Calibri" w:hAnsi="Calibri"/>
        </w:rPr>
        <w:t xml:space="preserve"> traditionally not </w:t>
      </w:r>
      <w:r w:rsidR="00985EAF" w:rsidRPr="00764569">
        <w:rPr>
          <w:rFonts w:ascii="Calibri" w:hAnsi="Calibri"/>
        </w:rPr>
        <w:t xml:space="preserve">held </w:t>
      </w:r>
      <w:r w:rsidR="00445B87" w:rsidRPr="00764569">
        <w:rPr>
          <w:rFonts w:ascii="Calibri" w:hAnsi="Calibri"/>
        </w:rPr>
        <w:t xml:space="preserve">accountable under international law e.g. officials enjoying diplomatic immunity, private security companies, </w:t>
      </w:r>
      <w:r w:rsidR="00472DA2" w:rsidRPr="00764569">
        <w:rPr>
          <w:rFonts w:ascii="Calibri" w:hAnsi="Calibri"/>
        </w:rPr>
        <w:t>and transnational</w:t>
      </w:r>
      <w:r w:rsidR="00445B87" w:rsidRPr="00764569">
        <w:rPr>
          <w:rFonts w:ascii="Calibri" w:hAnsi="Calibri"/>
        </w:rPr>
        <w:t xml:space="preserve"> corporations. </w:t>
      </w:r>
      <w:r w:rsidRPr="00764569">
        <w:rPr>
          <w:rFonts w:ascii="Calibri" w:hAnsi="Calibri"/>
        </w:rPr>
        <w:t xml:space="preserve">The Committee also recommends the comprehensive application of CEDAW and other international human rights instruments and humanitarian law in the exercise of territorial or extra-territorial jurisdiction, whether acting individually or as members of international or intergovernmental organizations and coalitions. This </w:t>
      </w:r>
      <w:r w:rsidR="00116007" w:rsidRPr="00764569">
        <w:rPr>
          <w:rFonts w:ascii="Calibri" w:hAnsi="Calibri"/>
        </w:rPr>
        <w:t xml:space="preserve">addresses </w:t>
      </w:r>
      <w:r w:rsidRPr="00764569">
        <w:rPr>
          <w:rFonts w:ascii="Calibri" w:hAnsi="Calibri"/>
        </w:rPr>
        <w:t xml:space="preserve">sexual violence against women and girls by peacekeepers, armed and non-state armed groups, </w:t>
      </w:r>
      <w:r w:rsidR="003976F2" w:rsidRPr="00764569">
        <w:rPr>
          <w:rFonts w:ascii="Calibri" w:hAnsi="Calibri"/>
        </w:rPr>
        <w:t xml:space="preserve">and </w:t>
      </w:r>
      <w:r w:rsidRPr="00764569">
        <w:rPr>
          <w:rFonts w:ascii="Calibri" w:hAnsi="Calibri"/>
        </w:rPr>
        <w:t>diplomats.</w:t>
      </w:r>
      <w:r w:rsidR="00985EAF" w:rsidRPr="00764569">
        <w:rPr>
          <w:rStyle w:val="FootnoteReference"/>
          <w:rFonts w:ascii="Calibri" w:hAnsi="Calibri"/>
        </w:rPr>
        <w:t xml:space="preserve"> </w:t>
      </w:r>
      <w:r w:rsidR="00985EAF" w:rsidRPr="00764569">
        <w:rPr>
          <w:rStyle w:val="FootnoteReference"/>
          <w:rFonts w:ascii="Calibri" w:hAnsi="Calibri"/>
        </w:rPr>
        <w:footnoteReference w:id="79"/>
      </w:r>
      <w:r w:rsidR="00985EAF" w:rsidRPr="00764569">
        <w:rPr>
          <w:rFonts w:ascii="Calibri" w:hAnsi="Calibri"/>
        </w:rPr>
        <w:t xml:space="preserve"> </w:t>
      </w:r>
      <w:r w:rsidRPr="00764569">
        <w:rPr>
          <w:rFonts w:ascii="Calibri" w:hAnsi="Calibri"/>
        </w:rPr>
        <w:t xml:space="preserve"> </w:t>
      </w:r>
    </w:p>
    <w:p w14:paraId="1E03485F" w14:textId="77777777" w:rsidR="004E5EBC" w:rsidRPr="00764569" w:rsidRDefault="004E5EBC" w:rsidP="004E5EBC">
      <w:pPr>
        <w:jc w:val="both"/>
        <w:rPr>
          <w:rFonts w:ascii="Calibri" w:hAnsi="Calibri"/>
        </w:rPr>
      </w:pPr>
    </w:p>
    <w:p w14:paraId="7EFC2AB7" w14:textId="2881C6C0" w:rsidR="004E5EBC" w:rsidRPr="00764569" w:rsidRDefault="004E5EBC" w:rsidP="00087097">
      <w:pPr>
        <w:pStyle w:val="ListParagraph"/>
        <w:numPr>
          <w:ilvl w:val="0"/>
          <w:numId w:val="5"/>
        </w:numPr>
        <w:spacing w:line="360" w:lineRule="auto"/>
        <w:jc w:val="both"/>
        <w:rPr>
          <w:rFonts w:ascii="Calibri" w:hAnsi="Calibri"/>
        </w:rPr>
      </w:pPr>
      <w:r w:rsidRPr="00764569">
        <w:rPr>
          <w:rFonts w:ascii="Calibri" w:hAnsi="Calibri"/>
        </w:rPr>
        <w:t xml:space="preserve">A preventive approach to addressing women’s roles </w:t>
      </w:r>
      <w:r w:rsidR="00592DA3" w:rsidRPr="00764569">
        <w:rPr>
          <w:rFonts w:ascii="Calibri" w:hAnsi="Calibri"/>
        </w:rPr>
        <w:t>throughout</w:t>
      </w:r>
      <w:r w:rsidRPr="00764569">
        <w:rPr>
          <w:rFonts w:ascii="Calibri" w:hAnsi="Calibri"/>
        </w:rPr>
        <w:t xml:space="preserve"> the </w:t>
      </w:r>
      <w:r w:rsidRPr="00764569">
        <w:rPr>
          <w:rFonts w:ascii="Calibri" w:hAnsi="Calibri"/>
          <w:b/>
          <w:color w:val="4F81BD" w:themeColor="accent1"/>
        </w:rPr>
        <w:t xml:space="preserve">conflict </w:t>
      </w:r>
      <w:r w:rsidR="006F6011" w:rsidRPr="00764569">
        <w:rPr>
          <w:rFonts w:ascii="Calibri" w:hAnsi="Calibri"/>
          <w:b/>
          <w:color w:val="4F81BD" w:themeColor="accent1"/>
        </w:rPr>
        <w:t>process</w:t>
      </w:r>
      <w:r w:rsidR="00445B87" w:rsidRPr="00764569">
        <w:rPr>
          <w:rFonts w:ascii="Calibri" w:hAnsi="Calibri"/>
        </w:rPr>
        <w:t xml:space="preserve">, which provides for </w:t>
      </w:r>
      <w:r w:rsidR="00592DA3" w:rsidRPr="00764569">
        <w:rPr>
          <w:rFonts w:ascii="Calibri" w:hAnsi="Calibri"/>
        </w:rPr>
        <w:t xml:space="preserve">transformative equality by requiring structural and systemic changes to society at all stages of </w:t>
      </w:r>
      <w:r w:rsidR="006F6011" w:rsidRPr="00764569">
        <w:rPr>
          <w:rFonts w:ascii="Calibri" w:hAnsi="Calibri"/>
        </w:rPr>
        <w:t>conflict</w:t>
      </w:r>
      <w:r w:rsidR="00592DA3" w:rsidRPr="00764569">
        <w:rPr>
          <w:rFonts w:ascii="Calibri" w:hAnsi="Calibri"/>
        </w:rPr>
        <w:t xml:space="preserve">. </w:t>
      </w:r>
      <w:r w:rsidRPr="00764569">
        <w:rPr>
          <w:rFonts w:ascii="Calibri" w:hAnsi="Calibri"/>
        </w:rPr>
        <w:t xml:space="preserve">This </w:t>
      </w:r>
      <w:r w:rsidR="006F6011" w:rsidRPr="00764569">
        <w:rPr>
          <w:rFonts w:ascii="Calibri" w:hAnsi="Calibri"/>
        </w:rPr>
        <w:t xml:space="preserve">approach </w:t>
      </w:r>
      <w:r w:rsidRPr="00764569">
        <w:rPr>
          <w:rFonts w:ascii="Calibri" w:hAnsi="Calibri"/>
        </w:rPr>
        <w:t xml:space="preserve">includes recommendations </w:t>
      </w:r>
      <w:r w:rsidR="006F6011" w:rsidRPr="00764569">
        <w:rPr>
          <w:rFonts w:ascii="Calibri" w:hAnsi="Calibri"/>
        </w:rPr>
        <w:t>on</w:t>
      </w:r>
      <w:r w:rsidR="00087097" w:rsidRPr="00764569">
        <w:rPr>
          <w:rFonts w:ascii="Calibri" w:hAnsi="Calibri"/>
        </w:rPr>
        <w:t xml:space="preserve"> </w:t>
      </w:r>
      <w:r w:rsidRPr="00764569">
        <w:rPr>
          <w:rFonts w:ascii="Calibri" w:hAnsi="Calibri"/>
        </w:rPr>
        <w:t xml:space="preserve">women’s participation in </w:t>
      </w:r>
      <w:r w:rsidRPr="00764569">
        <w:rPr>
          <w:rFonts w:ascii="Calibri" w:hAnsi="Calibri"/>
          <w:b/>
          <w:color w:val="4F81BD" w:themeColor="accent1"/>
        </w:rPr>
        <w:t>conflict prevention</w:t>
      </w:r>
      <w:r w:rsidRPr="00764569">
        <w:rPr>
          <w:rFonts w:ascii="Calibri" w:hAnsi="Calibri"/>
        </w:rPr>
        <w:t xml:space="preserve">, a comprehensive recognition of women’s rights during </w:t>
      </w:r>
      <w:r w:rsidRPr="00764569">
        <w:rPr>
          <w:rFonts w:ascii="Calibri" w:hAnsi="Calibri"/>
          <w:b/>
          <w:color w:val="4F81BD" w:themeColor="accent1"/>
        </w:rPr>
        <w:t>conflict</w:t>
      </w:r>
      <w:r w:rsidRPr="00764569">
        <w:rPr>
          <w:rFonts w:ascii="Calibri" w:hAnsi="Calibri"/>
        </w:rPr>
        <w:t xml:space="preserve">, and substantive recommendations on </w:t>
      </w:r>
      <w:r w:rsidRPr="00764569">
        <w:rPr>
          <w:rFonts w:ascii="Calibri" w:hAnsi="Calibri"/>
          <w:b/>
          <w:color w:val="4F81BD" w:themeColor="accent1"/>
        </w:rPr>
        <w:t>women’s substantive participation in conflict resolution, post-conflict and transitional justice</w:t>
      </w:r>
      <w:r w:rsidRPr="00764569">
        <w:rPr>
          <w:rFonts w:ascii="Calibri" w:hAnsi="Calibri"/>
        </w:rPr>
        <w:t xml:space="preserve"> settings. CEDAW obligations apply throughout the conflict </w:t>
      </w:r>
      <w:r w:rsidR="006F6011" w:rsidRPr="00764569">
        <w:rPr>
          <w:rFonts w:ascii="Calibri" w:hAnsi="Calibri"/>
        </w:rPr>
        <w:t>process</w:t>
      </w:r>
      <w:r w:rsidRPr="00764569">
        <w:rPr>
          <w:rFonts w:ascii="Calibri" w:hAnsi="Calibri"/>
        </w:rPr>
        <w:t>, from donor assistance in conflict prevention and humanitarian aid, to involvement in peace processes as third parties, to trade agreements negotiated in post-conflict contexts.</w:t>
      </w:r>
      <w:r w:rsidRPr="00764569">
        <w:rPr>
          <w:rStyle w:val="FootnoteReference"/>
          <w:rFonts w:ascii="Calibri" w:hAnsi="Calibri"/>
        </w:rPr>
        <w:t xml:space="preserve"> </w:t>
      </w:r>
      <w:r w:rsidR="003976F2" w:rsidRPr="00764569">
        <w:rPr>
          <w:rFonts w:ascii="Calibri" w:hAnsi="Calibri"/>
        </w:rPr>
        <w:t>The GR</w:t>
      </w:r>
      <w:r w:rsidR="006F6011" w:rsidRPr="00764569">
        <w:rPr>
          <w:rFonts w:ascii="Calibri" w:hAnsi="Calibri"/>
        </w:rPr>
        <w:t xml:space="preserve"> </w:t>
      </w:r>
      <w:r w:rsidR="003976F2" w:rsidRPr="00764569">
        <w:rPr>
          <w:rFonts w:ascii="Calibri" w:hAnsi="Calibri"/>
        </w:rPr>
        <w:t xml:space="preserve">even recognises the </w:t>
      </w:r>
      <w:r w:rsidR="007125C2" w:rsidRPr="00764569">
        <w:rPr>
          <w:rFonts w:ascii="Calibri" w:hAnsi="Calibri"/>
        </w:rPr>
        <w:t xml:space="preserve">displacement cycle, </w:t>
      </w:r>
      <w:r w:rsidR="006F6011" w:rsidRPr="00764569">
        <w:rPr>
          <w:rFonts w:ascii="Calibri" w:hAnsi="Calibri"/>
        </w:rPr>
        <w:t>affirming</w:t>
      </w:r>
      <w:r w:rsidR="007125C2" w:rsidRPr="00764569">
        <w:rPr>
          <w:rFonts w:ascii="Calibri" w:hAnsi="Calibri"/>
        </w:rPr>
        <w:t xml:space="preserve"> the </w:t>
      </w:r>
      <w:r w:rsidR="00A6205A" w:rsidRPr="00764569">
        <w:rPr>
          <w:rFonts w:ascii="Calibri" w:hAnsi="Calibri"/>
        </w:rPr>
        <w:t xml:space="preserve">needs of </w:t>
      </w:r>
      <w:r w:rsidR="007125C2" w:rsidRPr="00764569">
        <w:rPr>
          <w:rFonts w:ascii="Calibri" w:hAnsi="Calibri"/>
        </w:rPr>
        <w:t xml:space="preserve">refugee, IDP and stateless women </w:t>
      </w:r>
      <w:r w:rsidR="006F6011" w:rsidRPr="00764569">
        <w:rPr>
          <w:rFonts w:ascii="Calibri" w:hAnsi="Calibri"/>
        </w:rPr>
        <w:t>at all stages of conflict</w:t>
      </w:r>
      <w:r w:rsidR="003976F2" w:rsidRPr="00764569">
        <w:rPr>
          <w:rFonts w:ascii="Calibri" w:hAnsi="Calibri"/>
        </w:rPr>
        <w:t>.</w:t>
      </w:r>
      <w:r w:rsidR="002E4178" w:rsidRPr="00764569">
        <w:rPr>
          <w:rStyle w:val="FootnoteReference"/>
          <w:rFonts w:ascii="Calibri" w:hAnsi="Calibri"/>
        </w:rPr>
        <w:footnoteReference w:id="80"/>
      </w:r>
    </w:p>
    <w:p w14:paraId="2AFFB641" w14:textId="77777777" w:rsidR="004E5EBC" w:rsidRPr="00764569" w:rsidRDefault="004E5EBC" w:rsidP="004E5EBC">
      <w:pPr>
        <w:jc w:val="both"/>
        <w:rPr>
          <w:rFonts w:ascii="Calibri" w:hAnsi="Calibri"/>
        </w:rPr>
      </w:pPr>
    </w:p>
    <w:p w14:paraId="1DE4AE3C" w14:textId="5BEC9C8C" w:rsidR="004E5EBC" w:rsidRPr="00764569" w:rsidRDefault="006A5CC8" w:rsidP="00087097">
      <w:pPr>
        <w:pStyle w:val="ListParagraph"/>
        <w:numPr>
          <w:ilvl w:val="0"/>
          <w:numId w:val="5"/>
        </w:numPr>
        <w:spacing w:line="360" w:lineRule="auto"/>
        <w:jc w:val="both"/>
        <w:rPr>
          <w:rFonts w:ascii="Calibri" w:hAnsi="Calibri"/>
        </w:rPr>
      </w:pPr>
      <w:r w:rsidRPr="00764569">
        <w:rPr>
          <w:rFonts w:ascii="Calibri" w:hAnsi="Calibri"/>
        </w:rPr>
        <w:lastRenderedPageBreak/>
        <w:t xml:space="preserve">The </w:t>
      </w:r>
      <w:r w:rsidR="00985EAF" w:rsidRPr="00764569">
        <w:rPr>
          <w:rFonts w:ascii="Calibri" w:hAnsi="Calibri"/>
        </w:rPr>
        <w:t xml:space="preserve">intersectional </w:t>
      </w:r>
      <w:r w:rsidRPr="00764569">
        <w:rPr>
          <w:rFonts w:ascii="Calibri" w:hAnsi="Calibri"/>
        </w:rPr>
        <w:t>perspective</w:t>
      </w:r>
      <w:r w:rsidR="00985EAF" w:rsidRPr="00764569">
        <w:rPr>
          <w:rFonts w:ascii="Calibri" w:hAnsi="Calibri"/>
        </w:rPr>
        <w:t xml:space="preserve"> of </w:t>
      </w:r>
      <w:r w:rsidRPr="00764569">
        <w:rPr>
          <w:rFonts w:ascii="Calibri" w:hAnsi="Calibri"/>
        </w:rPr>
        <w:t>the rights of women and girls</w:t>
      </w:r>
      <w:r w:rsidR="006F6011" w:rsidRPr="00764569">
        <w:rPr>
          <w:rFonts w:ascii="Calibri" w:hAnsi="Calibri"/>
        </w:rPr>
        <w:t>, which</w:t>
      </w:r>
      <w:r w:rsidRPr="00764569">
        <w:rPr>
          <w:rFonts w:ascii="Calibri" w:hAnsi="Calibri"/>
        </w:rPr>
        <w:t xml:space="preserve"> </w:t>
      </w:r>
      <w:r w:rsidR="00985EAF" w:rsidRPr="00764569">
        <w:rPr>
          <w:rFonts w:ascii="Calibri" w:hAnsi="Calibri"/>
        </w:rPr>
        <w:t xml:space="preserve">follows </w:t>
      </w:r>
      <w:r w:rsidR="006F6011" w:rsidRPr="00764569">
        <w:rPr>
          <w:rFonts w:ascii="Calibri" w:hAnsi="Calibri"/>
        </w:rPr>
        <w:t>a transformative equality model</w:t>
      </w:r>
      <w:r w:rsidR="00985EAF" w:rsidRPr="00764569">
        <w:rPr>
          <w:rFonts w:ascii="Calibri" w:hAnsi="Calibri"/>
        </w:rPr>
        <w:t xml:space="preserve"> by addressing the multiple discriminations faced by women and girls. </w:t>
      </w:r>
      <w:r w:rsidR="004E5EBC" w:rsidRPr="00764569">
        <w:rPr>
          <w:rFonts w:ascii="Calibri" w:hAnsi="Calibri"/>
        </w:rPr>
        <w:t xml:space="preserve">The </w:t>
      </w:r>
      <w:r w:rsidRPr="00764569">
        <w:rPr>
          <w:rFonts w:ascii="Calibri" w:hAnsi="Calibri"/>
        </w:rPr>
        <w:t>Committee recognizes</w:t>
      </w:r>
      <w:r w:rsidR="004E5EBC" w:rsidRPr="00764569">
        <w:rPr>
          <w:rFonts w:ascii="Calibri" w:hAnsi="Calibri"/>
        </w:rPr>
        <w:t xml:space="preserve"> the rights</w:t>
      </w:r>
      <w:r w:rsidR="003976F2" w:rsidRPr="00764569">
        <w:rPr>
          <w:rFonts w:ascii="Calibri" w:hAnsi="Calibri"/>
        </w:rPr>
        <w:t xml:space="preserve"> of women displaced by conflict </w:t>
      </w:r>
      <w:r w:rsidR="004E5EBC" w:rsidRPr="00764569">
        <w:rPr>
          <w:rFonts w:ascii="Calibri" w:hAnsi="Calibri"/>
        </w:rPr>
        <w:t xml:space="preserve">including </w:t>
      </w:r>
      <w:r w:rsidR="004E5EBC" w:rsidRPr="00764569">
        <w:rPr>
          <w:rFonts w:ascii="Calibri" w:hAnsi="Calibri"/>
          <w:b/>
          <w:color w:val="4F81BD" w:themeColor="accent1"/>
        </w:rPr>
        <w:t>refugees, asylum seekers, internally displaced persons (IDPs) stateless persons,</w:t>
      </w:r>
      <w:r w:rsidR="004E5EBC" w:rsidRPr="00764569">
        <w:rPr>
          <w:rStyle w:val="FootnoteReference"/>
          <w:rFonts w:ascii="Calibri" w:hAnsi="Calibri"/>
          <w:color w:val="4F81BD" w:themeColor="accent1"/>
        </w:rPr>
        <w:footnoteReference w:id="81"/>
      </w:r>
      <w:r w:rsidR="004E5EBC" w:rsidRPr="00764569">
        <w:rPr>
          <w:rFonts w:ascii="Calibri" w:hAnsi="Calibri"/>
          <w:color w:val="4F81BD" w:themeColor="accent1"/>
        </w:rPr>
        <w:t xml:space="preserve"> </w:t>
      </w:r>
      <w:r w:rsidR="004E5EBC" w:rsidRPr="00764569">
        <w:rPr>
          <w:rFonts w:ascii="Calibri" w:hAnsi="Calibri"/>
          <w:b/>
          <w:color w:val="4F81BD" w:themeColor="accent1"/>
        </w:rPr>
        <w:t>and trafficked persons</w:t>
      </w:r>
      <w:r w:rsidR="00D355B8" w:rsidRPr="00764569">
        <w:rPr>
          <w:rFonts w:ascii="Calibri" w:hAnsi="Calibri"/>
        </w:rPr>
        <w:t xml:space="preserve">, including </w:t>
      </w:r>
      <w:r w:rsidR="00985EAF" w:rsidRPr="00764569">
        <w:rPr>
          <w:rFonts w:ascii="Calibri" w:hAnsi="Calibri"/>
        </w:rPr>
        <w:t>the right to be free</w:t>
      </w:r>
      <w:r w:rsidR="00D355B8" w:rsidRPr="00764569">
        <w:rPr>
          <w:rFonts w:ascii="Calibri" w:hAnsi="Calibri"/>
        </w:rPr>
        <w:t xml:space="preserve"> from GBV</w:t>
      </w:r>
      <w:r w:rsidR="002E4178" w:rsidRPr="00764569">
        <w:rPr>
          <w:rFonts w:ascii="Calibri" w:hAnsi="Calibri"/>
        </w:rPr>
        <w:t>.</w:t>
      </w:r>
      <w:r w:rsidR="004E5EBC" w:rsidRPr="00764569">
        <w:rPr>
          <w:rStyle w:val="FootnoteReference"/>
          <w:rFonts w:ascii="Calibri" w:hAnsi="Calibri"/>
        </w:rPr>
        <w:footnoteReference w:id="82"/>
      </w:r>
      <w:r w:rsidR="004E5EBC" w:rsidRPr="00764569">
        <w:rPr>
          <w:rFonts w:ascii="Calibri" w:hAnsi="Calibri"/>
        </w:rPr>
        <w:t xml:space="preserve"> Refugee, asylum seeker and IDP women are safeguarded in particular from forced and child marriage. The GR recognises intersectional </w:t>
      </w:r>
      <w:r w:rsidR="00A6205A" w:rsidRPr="00764569">
        <w:rPr>
          <w:rFonts w:ascii="Calibri" w:hAnsi="Calibri"/>
        </w:rPr>
        <w:t>identities of</w:t>
      </w:r>
      <w:r w:rsidR="004E5EBC" w:rsidRPr="00764569">
        <w:rPr>
          <w:rFonts w:ascii="Calibri" w:hAnsi="Calibri"/>
        </w:rPr>
        <w:t xml:space="preserve"> </w:t>
      </w:r>
      <w:r w:rsidR="003976F2" w:rsidRPr="00764569">
        <w:rPr>
          <w:rFonts w:ascii="Calibri" w:hAnsi="Calibri"/>
        </w:rPr>
        <w:t>r</w:t>
      </w:r>
      <w:r w:rsidR="004E5EBC" w:rsidRPr="00764569">
        <w:rPr>
          <w:rFonts w:ascii="Calibri" w:hAnsi="Calibri"/>
        </w:rPr>
        <w:t>efugee, asylum seeker and IDP women. These include: women with disabilities, older women, girls, widows, women who head households, pregnant women, women living with HIV/AIDS, rural women, indigenous women, women belonging to ethnic, national, sexual or religious minorities, and women human rights defenders.</w:t>
      </w:r>
      <w:r w:rsidR="004E5EBC" w:rsidRPr="00764569">
        <w:rPr>
          <w:rStyle w:val="FootnoteReference"/>
          <w:rFonts w:ascii="Calibri" w:hAnsi="Calibri"/>
        </w:rPr>
        <w:t xml:space="preserve"> </w:t>
      </w:r>
      <w:r w:rsidR="004E5EBC" w:rsidRPr="00764569">
        <w:rPr>
          <w:rStyle w:val="FootnoteReference"/>
          <w:rFonts w:ascii="Calibri" w:hAnsi="Calibri"/>
        </w:rPr>
        <w:footnoteReference w:id="83"/>
      </w:r>
      <w:r w:rsidR="004E5EBC" w:rsidRPr="00764569">
        <w:rPr>
          <w:rFonts w:ascii="Calibri" w:hAnsi="Calibri"/>
        </w:rPr>
        <w:t xml:space="preserve"> </w:t>
      </w:r>
    </w:p>
    <w:p w14:paraId="582DE810" w14:textId="77777777" w:rsidR="006A5CC8" w:rsidRPr="00764569" w:rsidRDefault="006A5CC8" w:rsidP="006A5CC8">
      <w:pPr>
        <w:jc w:val="both"/>
        <w:rPr>
          <w:rFonts w:ascii="Calibri" w:hAnsi="Calibri"/>
        </w:rPr>
      </w:pPr>
    </w:p>
    <w:p w14:paraId="45D0C600" w14:textId="77777777" w:rsidR="00621585" w:rsidRPr="00764569" w:rsidRDefault="004E5EBC" w:rsidP="00087097">
      <w:pPr>
        <w:pStyle w:val="ListParagraph"/>
        <w:numPr>
          <w:ilvl w:val="0"/>
          <w:numId w:val="5"/>
        </w:numPr>
        <w:spacing w:line="360" w:lineRule="auto"/>
        <w:jc w:val="both"/>
        <w:rPr>
          <w:rFonts w:ascii="Calibri" w:hAnsi="Calibri"/>
        </w:rPr>
      </w:pPr>
      <w:r w:rsidRPr="00764569">
        <w:rPr>
          <w:rFonts w:ascii="Calibri" w:hAnsi="Calibri"/>
        </w:rPr>
        <w:t xml:space="preserve">Recommendations on </w:t>
      </w:r>
      <w:r w:rsidR="001751B5" w:rsidRPr="00764569">
        <w:rPr>
          <w:rFonts w:ascii="Calibri" w:hAnsi="Calibri"/>
          <w:b/>
          <w:color w:val="4F81BD" w:themeColor="accent1"/>
        </w:rPr>
        <w:t xml:space="preserve">sexual and reproductive health </w:t>
      </w:r>
      <w:r w:rsidRPr="00764569">
        <w:rPr>
          <w:rFonts w:ascii="Calibri" w:hAnsi="Calibri"/>
          <w:b/>
          <w:color w:val="4F81BD" w:themeColor="accent1"/>
        </w:rPr>
        <w:t>including access to abortion</w:t>
      </w:r>
      <w:r w:rsidR="0017720C" w:rsidRPr="00764569">
        <w:rPr>
          <w:rFonts w:ascii="Calibri" w:hAnsi="Calibri"/>
        </w:rPr>
        <w:t xml:space="preserve"> that provide for transformative equa</w:t>
      </w:r>
      <w:r w:rsidR="002F5EDA" w:rsidRPr="00764569">
        <w:rPr>
          <w:rFonts w:ascii="Calibri" w:hAnsi="Calibri"/>
        </w:rPr>
        <w:t>lity</w:t>
      </w:r>
      <w:r w:rsidR="0017720C" w:rsidRPr="00764569">
        <w:rPr>
          <w:rFonts w:ascii="Calibri" w:hAnsi="Calibri"/>
        </w:rPr>
        <w:t>.</w:t>
      </w:r>
      <w:r w:rsidRPr="00764569">
        <w:rPr>
          <w:rFonts w:ascii="Calibri" w:hAnsi="Calibri"/>
        </w:rPr>
        <w:t xml:space="preserve"> The CEDAW Committee explicitly asks states to provide safe abortion services and post-abortion care as part of their obligation</w:t>
      </w:r>
      <w:r w:rsidR="00B22C5F" w:rsidRPr="00764569">
        <w:rPr>
          <w:rFonts w:ascii="Calibri" w:hAnsi="Calibri"/>
        </w:rPr>
        <w:t>s</w:t>
      </w:r>
      <w:r w:rsidRPr="00764569">
        <w:rPr>
          <w:rFonts w:ascii="Calibri" w:hAnsi="Calibri"/>
        </w:rPr>
        <w:t xml:space="preserve"> to provide </w:t>
      </w:r>
      <w:r w:rsidR="00B22C5F" w:rsidRPr="00764569">
        <w:rPr>
          <w:rFonts w:ascii="Calibri" w:hAnsi="Calibri"/>
        </w:rPr>
        <w:t xml:space="preserve">sexual and reproductive health </w:t>
      </w:r>
      <w:r w:rsidRPr="00764569">
        <w:rPr>
          <w:rFonts w:ascii="Calibri" w:hAnsi="Calibri"/>
        </w:rPr>
        <w:t xml:space="preserve">care, </w:t>
      </w:r>
      <w:r w:rsidR="006F6011" w:rsidRPr="00764569">
        <w:rPr>
          <w:rFonts w:ascii="Calibri" w:hAnsi="Calibri"/>
        </w:rPr>
        <w:t xml:space="preserve">going </w:t>
      </w:r>
      <w:r w:rsidR="00592DA3" w:rsidRPr="00764569">
        <w:rPr>
          <w:rFonts w:ascii="Calibri" w:hAnsi="Calibri"/>
        </w:rPr>
        <w:t>beyond</w:t>
      </w:r>
      <w:r w:rsidRPr="00764569">
        <w:rPr>
          <w:rFonts w:ascii="Calibri" w:hAnsi="Calibri"/>
        </w:rPr>
        <w:t xml:space="preserve"> SCR 2122 which only </w:t>
      </w:r>
      <w:r w:rsidR="00FA5BF7" w:rsidRPr="00764569">
        <w:rPr>
          <w:rFonts w:ascii="Calibri" w:hAnsi="Calibri"/>
        </w:rPr>
        <w:t>upholds the</w:t>
      </w:r>
      <w:r w:rsidRPr="00764569">
        <w:rPr>
          <w:rFonts w:ascii="Calibri" w:hAnsi="Calibri"/>
        </w:rPr>
        <w:t xml:space="preserve"> provision of </w:t>
      </w:r>
      <w:r w:rsidR="00FA5BF7" w:rsidRPr="00764569">
        <w:rPr>
          <w:rFonts w:ascii="Calibri" w:hAnsi="Calibri"/>
        </w:rPr>
        <w:t>the full range of sexual and reproductive health</w:t>
      </w:r>
      <w:r w:rsidRPr="00764569">
        <w:rPr>
          <w:rFonts w:ascii="Calibri" w:hAnsi="Calibri"/>
        </w:rPr>
        <w:t xml:space="preserve"> services for pregnancies resulting from rape in </w:t>
      </w:r>
      <w:r w:rsidR="00C30715" w:rsidRPr="00764569">
        <w:rPr>
          <w:rFonts w:ascii="Calibri" w:hAnsi="Calibri"/>
        </w:rPr>
        <w:t>conflict situations</w:t>
      </w:r>
      <w:r w:rsidR="00FA5BF7" w:rsidRPr="00764569">
        <w:rPr>
          <w:rFonts w:ascii="Calibri" w:hAnsi="Calibri"/>
        </w:rPr>
        <w:t>,</w:t>
      </w:r>
      <w:r w:rsidR="006F6011" w:rsidRPr="00764569">
        <w:rPr>
          <w:rFonts w:ascii="Calibri" w:hAnsi="Calibri"/>
        </w:rPr>
        <w:t xml:space="preserve"> and never mentions the word “abortion” itself</w:t>
      </w:r>
      <w:r w:rsidRPr="00764569">
        <w:rPr>
          <w:rFonts w:ascii="Calibri" w:hAnsi="Calibri"/>
        </w:rPr>
        <w:t xml:space="preserve">. The </w:t>
      </w:r>
      <w:r w:rsidR="00FA5BF7" w:rsidRPr="00764569">
        <w:rPr>
          <w:rFonts w:ascii="Calibri" w:hAnsi="Calibri"/>
        </w:rPr>
        <w:t xml:space="preserve">CEDAW </w:t>
      </w:r>
      <w:r w:rsidRPr="00764569">
        <w:rPr>
          <w:rFonts w:ascii="Calibri" w:hAnsi="Calibri"/>
        </w:rPr>
        <w:t>GR No. 30, building on</w:t>
      </w:r>
      <w:r w:rsidR="00FA5BF7" w:rsidRPr="00764569">
        <w:rPr>
          <w:rFonts w:ascii="Calibri" w:hAnsi="Calibri"/>
        </w:rPr>
        <w:t xml:space="preserve"> the comprehensive</w:t>
      </w:r>
      <w:r w:rsidRPr="00764569">
        <w:rPr>
          <w:rFonts w:ascii="Calibri" w:hAnsi="Calibri"/>
        </w:rPr>
        <w:t xml:space="preserve"> recommendations </w:t>
      </w:r>
      <w:r w:rsidR="001D6B5B" w:rsidRPr="00764569">
        <w:rPr>
          <w:rFonts w:ascii="Calibri" w:hAnsi="Calibri"/>
        </w:rPr>
        <w:t>on</w:t>
      </w:r>
      <w:r w:rsidRPr="00764569">
        <w:rPr>
          <w:rFonts w:ascii="Calibri" w:hAnsi="Calibri"/>
        </w:rPr>
        <w:t xml:space="preserve"> sexual and reproductive health services in preceding GRs including </w:t>
      </w:r>
      <w:r w:rsidR="00C30715" w:rsidRPr="00764569">
        <w:rPr>
          <w:rFonts w:ascii="Calibri" w:hAnsi="Calibri"/>
        </w:rPr>
        <w:t xml:space="preserve">the CEDAW </w:t>
      </w:r>
      <w:r w:rsidRPr="00764569">
        <w:rPr>
          <w:rFonts w:ascii="Calibri" w:hAnsi="Calibri"/>
        </w:rPr>
        <w:t>GR no. 26 on women migrant workers, recommend</w:t>
      </w:r>
      <w:r w:rsidR="00592DA3" w:rsidRPr="00764569">
        <w:rPr>
          <w:rFonts w:ascii="Calibri" w:hAnsi="Calibri"/>
        </w:rPr>
        <w:t>s</w:t>
      </w:r>
      <w:r w:rsidR="00CD274C" w:rsidRPr="00764569">
        <w:rPr>
          <w:rFonts w:ascii="Calibri" w:hAnsi="Calibri"/>
        </w:rPr>
        <w:t xml:space="preserve"> </w:t>
      </w:r>
      <w:r w:rsidRPr="00764569">
        <w:rPr>
          <w:rFonts w:ascii="Calibri" w:hAnsi="Calibri"/>
        </w:rPr>
        <w:t xml:space="preserve">access to a </w:t>
      </w:r>
      <w:r w:rsidR="00FA5BF7" w:rsidRPr="00764569">
        <w:rPr>
          <w:rFonts w:ascii="Calibri" w:hAnsi="Calibri"/>
        </w:rPr>
        <w:t xml:space="preserve">holistic </w:t>
      </w:r>
      <w:r w:rsidRPr="00764569">
        <w:rPr>
          <w:rFonts w:ascii="Calibri" w:hAnsi="Calibri"/>
        </w:rPr>
        <w:t xml:space="preserve">range of healthcare </w:t>
      </w:r>
      <w:r w:rsidR="001D6B5B" w:rsidRPr="00764569">
        <w:rPr>
          <w:rFonts w:ascii="Calibri" w:hAnsi="Calibri"/>
        </w:rPr>
        <w:t>measures</w:t>
      </w:r>
      <w:r w:rsidRPr="00764569">
        <w:rPr>
          <w:rFonts w:ascii="Calibri" w:hAnsi="Calibri"/>
        </w:rPr>
        <w:t xml:space="preserve"> including psychosocial support and maternal and obstetric services. It specifies issues </w:t>
      </w:r>
      <w:r w:rsidR="001D6B5B" w:rsidRPr="00764569">
        <w:rPr>
          <w:rFonts w:ascii="Calibri" w:hAnsi="Calibri"/>
        </w:rPr>
        <w:t>relevant</w:t>
      </w:r>
      <w:r w:rsidRPr="00764569">
        <w:rPr>
          <w:rFonts w:ascii="Calibri" w:hAnsi="Calibri"/>
        </w:rPr>
        <w:t xml:space="preserve"> to conflict </w:t>
      </w:r>
      <w:r w:rsidR="001D6B5B" w:rsidRPr="00764569">
        <w:rPr>
          <w:rFonts w:ascii="Calibri" w:hAnsi="Calibri"/>
        </w:rPr>
        <w:t>situations</w:t>
      </w:r>
      <w:r w:rsidRPr="00764569">
        <w:rPr>
          <w:rFonts w:ascii="Calibri" w:hAnsi="Calibri"/>
        </w:rPr>
        <w:t>: preventing and treating HIV/AID</w:t>
      </w:r>
      <w:r w:rsidR="001D6B5B" w:rsidRPr="00764569">
        <w:rPr>
          <w:rFonts w:ascii="Calibri" w:hAnsi="Calibri"/>
        </w:rPr>
        <w:t xml:space="preserve">S and recognizing that HIV/AIDS can be transmitted via rape as a weapon of war. </w:t>
      </w:r>
      <w:r w:rsidRPr="00764569">
        <w:rPr>
          <w:rStyle w:val="FootnoteReference"/>
          <w:rFonts w:ascii="Calibri" w:hAnsi="Calibri"/>
        </w:rPr>
        <w:footnoteReference w:id="84"/>
      </w:r>
      <w:r w:rsidRPr="00764569">
        <w:rPr>
          <w:rFonts w:ascii="Calibri" w:hAnsi="Calibri"/>
        </w:rPr>
        <w:t xml:space="preserve"> </w:t>
      </w:r>
      <w:r w:rsidR="001D6B5B" w:rsidRPr="00764569">
        <w:rPr>
          <w:rFonts w:ascii="Calibri" w:hAnsi="Calibri"/>
        </w:rPr>
        <w:t>It also recommends treating</w:t>
      </w:r>
      <w:r w:rsidRPr="00764569">
        <w:rPr>
          <w:rFonts w:ascii="Calibri" w:hAnsi="Calibri"/>
        </w:rPr>
        <w:t xml:space="preserve"> sexually transmitted illnesses, and injuries resulting from GBV including fistula.</w:t>
      </w:r>
      <w:r w:rsidR="00A85AED" w:rsidRPr="00764569">
        <w:rPr>
          <w:rFonts w:ascii="Calibri" w:hAnsi="Calibri"/>
        </w:rPr>
        <w:t xml:space="preserve"> </w:t>
      </w:r>
    </w:p>
    <w:p w14:paraId="019DB202" w14:textId="77777777" w:rsidR="00621585" w:rsidRPr="00764569" w:rsidRDefault="00621585" w:rsidP="00621585">
      <w:pPr>
        <w:pStyle w:val="ListParagraph"/>
        <w:jc w:val="both"/>
        <w:rPr>
          <w:rFonts w:ascii="Calibri" w:hAnsi="Calibri"/>
        </w:rPr>
      </w:pPr>
    </w:p>
    <w:p w14:paraId="68FD017F" w14:textId="646F8458" w:rsidR="004E5EBC" w:rsidRPr="00764569" w:rsidRDefault="0017720C" w:rsidP="00087097">
      <w:pPr>
        <w:pStyle w:val="ListParagraph"/>
        <w:spacing w:line="360" w:lineRule="auto"/>
        <w:jc w:val="both"/>
        <w:rPr>
          <w:rFonts w:ascii="Calibri" w:hAnsi="Calibri"/>
        </w:rPr>
      </w:pPr>
      <w:r w:rsidRPr="00764569">
        <w:rPr>
          <w:rFonts w:ascii="Calibri" w:hAnsi="Calibri"/>
        </w:rPr>
        <w:t>Several provisions add to states’ obligations to address GBV in SCR 1325 and related</w:t>
      </w:r>
      <w:r w:rsidR="005C41BB" w:rsidRPr="00764569">
        <w:rPr>
          <w:rFonts w:ascii="Calibri" w:hAnsi="Calibri"/>
        </w:rPr>
        <w:t xml:space="preserve"> resolutions, including the duties to:</w:t>
      </w:r>
      <w:r w:rsidRPr="00764569">
        <w:rPr>
          <w:rFonts w:ascii="Calibri" w:hAnsi="Calibri"/>
        </w:rPr>
        <w:t xml:space="preserve"> ensure women’s access to justice by adopting gender-sensitive investigation procedures to address SGBV; build the capacity of the judiciary including in transitional justice contexts; allocate adequate resources and adopting effective measures to </w:t>
      </w:r>
      <w:r w:rsidR="005C41BB" w:rsidRPr="00764569">
        <w:rPr>
          <w:rFonts w:ascii="Calibri" w:hAnsi="Calibri"/>
        </w:rPr>
        <w:t>ensure</w:t>
      </w:r>
      <w:r w:rsidRPr="00764569">
        <w:rPr>
          <w:rFonts w:ascii="Calibri" w:hAnsi="Calibri"/>
        </w:rPr>
        <w:t xml:space="preserve"> that victims of GBV especially SGBV can access comprehensive medical treatment, medical health care and psychosocial support;  and develop and disseminate standard operating procedures and referral pathways to link security actor</w:t>
      </w:r>
      <w:r w:rsidR="00621585" w:rsidRPr="00764569">
        <w:rPr>
          <w:rFonts w:ascii="Calibri" w:hAnsi="Calibri"/>
        </w:rPr>
        <w:t>s with service providers on GBV</w:t>
      </w:r>
      <w:r w:rsidRPr="00764569">
        <w:rPr>
          <w:rFonts w:ascii="Calibri" w:hAnsi="Calibri"/>
        </w:rPr>
        <w:t xml:space="preserve"> </w:t>
      </w:r>
      <w:r w:rsidR="00621585" w:rsidRPr="00764569">
        <w:rPr>
          <w:rFonts w:ascii="Calibri" w:hAnsi="Calibri"/>
        </w:rPr>
        <w:t>(</w:t>
      </w:r>
      <w:r w:rsidRPr="00764569">
        <w:rPr>
          <w:rFonts w:ascii="Calibri" w:hAnsi="Calibri"/>
        </w:rPr>
        <w:t xml:space="preserve">including one-stop shops with </w:t>
      </w:r>
      <w:r w:rsidRPr="00764569">
        <w:rPr>
          <w:rFonts w:ascii="Calibri" w:hAnsi="Calibri"/>
        </w:rPr>
        <w:lastRenderedPageBreak/>
        <w:t>medical, legal and psychosocial services for survivors, multipurpose community centres linking immediate assistance to economic and social empowerment and reintegration, and mobile clinics</w:t>
      </w:r>
      <w:r w:rsidR="00621585" w:rsidRPr="00764569">
        <w:rPr>
          <w:rFonts w:ascii="Calibri" w:hAnsi="Calibri"/>
        </w:rPr>
        <w:t>)</w:t>
      </w:r>
      <w:r w:rsidRPr="00764569">
        <w:rPr>
          <w:rFonts w:ascii="Calibri" w:hAnsi="Calibri"/>
        </w:rPr>
        <w:t>.</w:t>
      </w:r>
      <w:r w:rsidR="00C30715" w:rsidRPr="00764569">
        <w:rPr>
          <w:rStyle w:val="FootnoteReference"/>
          <w:rFonts w:ascii="Calibri" w:hAnsi="Calibri"/>
        </w:rPr>
        <w:footnoteReference w:id="85"/>
      </w:r>
    </w:p>
    <w:p w14:paraId="1941855E" w14:textId="77777777" w:rsidR="00A85AED" w:rsidRPr="00764569" w:rsidRDefault="00A85AED" w:rsidP="004E5EBC">
      <w:pPr>
        <w:jc w:val="both"/>
        <w:rPr>
          <w:rFonts w:ascii="Calibri" w:hAnsi="Calibri"/>
        </w:rPr>
      </w:pPr>
    </w:p>
    <w:p w14:paraId="19C2B465" w14:textId="77777777" w:rsidR="00621585" w:rsidRPr="00764569" w:rsidRDefault="004E5EBC" w:rsidP="00087097">
      <w:pPr>
        <w:pStyle w:val="ListParagraph"/>
        <w:numPr>
          <w:ilvl w:val="0"/>
          <w:numId w:val="5"/>
        </w:numPr>
        <w:spacing w:line="360" w:lineRule="auto"/>
        <w:jc w:val="both"/>
        <w:rPr>
          <w:rFonts w:ascii="Calibri" w:hAnsi="Calibri"/>
        </w:rPr>
      </w:pPr>
      <w:r w:rsidRPr="00764569">
        <w:rPr>
          <w:rFonts w:ascii="Calibri" w:hAnsi="Calibri"/>
          <w:b/>
          <w:color w:val="4F81BD" w:themeColor="accent1"/>
        </w:rPr>
        <w:t>Access to justice</w:t>
      </w:r>
      <w:r w:rsidRPr="00764569">
        <w:rPr>
          <w:rFonts w:ascii="Calibri" w:hAnsi="Calibri"/>
        </w:rPr>
        <w:t xml:space="preserve"> </w:t>
      </w:r>
      <w:r w:rsidR="00621585" w:rsidRPr="00764569">
        <w:rPr>
          <w:rFonts w:ascii="Calibri" w:hAnsi="Calibri"/>
        </w:rPr>
        <w:t xml:space="preserve">provisions </w:t>
      </w:r>
      <w:r w:rsidR="009A257C" w:rsidRPr="00764569">
        <w:rPr>
          <w:rFonts w:ascii="Calibri" w:hAnsi="Calibri"/>
        </w:rPr>
        <w:t>that include</w:t>
      </w:r>
      <w:r w:rsidRPr="00764569">
        <w:rPr>
          <w:rFonts w:ascii="Calibri" w:hAnsi="Calibri"/>
        </w:rPr>
        <w:t xml:space="preserve"> </w:t>
      </w:r>
      <w:r w:rsidR="0017720C" w:rsidRPr="00764569">
        <w:rPr>
          <w:rFonts w:ascii="Calibri" w:hAnsi="Calibri"/>
          <w:b/>
          <w:color w:val="4F81BD" w:themeColor="accent1"/>
        </w:rPr>
        <w:t>transformative</w:t>
      </w:r>
      <w:r w:rsidRPr="00764569">
        <w:rPr>
          <w:rFonts w:ascii="Calibri" w:hAnsi="Calibri"/>
          <w:b/>
          <w:color w:val="4F81BD" w:themeColor="accent1"/>
        </w:rPr>
        <w:t xml:space="preserve"> reparations</w:t>
      </w:r>
      <w:r w:rsidRPr="00764569">
        <w:rPr>
          <w:rFonts w:ascii="Calibri" w:hAnsi="Calibri"/>
        </w:rPr>
        <w:t xml:space="preserve">. </w:t>
      </w:r>
      <w:r w:rsidR="0017720C" w:rsidRPr="00764569">
        <w:rPr>
          <w:rFonts w:ascii="Calibri" w:hAnsi="Calibri"/>
        </w:rPr>
        <w:t xml:space="preserve">The </w:t>
      </w:r>
      <w:r w:rsidR="009A257C" w:rsidRPr="00764569">
        <w:rPr>
          <w:rFonts w:ascii="Calibri" w:hAnsi="Calibri"/>
        </w:rPr>
        <w:t>GR</w:t>
      </w:r>
      <w:r w:rsidR="0017720C" w:rsidRPr="00764569">
        <w:rPr>
          <w:rFonts w:ascii="Calibri" w:hAnsi="Calibri"/>
        </w:rPr>
        <w:t xml:space="preserve"> </w:t>
      </w:r>
      <w:r w:rsidR="009A257C" w:rsidRPr="00764569">
        <w:rPr>
          <w:rFonts w:ascii="Calibri" w:hAnsi="Calibri"/>
        </w:rPr>
        <w:t>recommends that states enforce comprehensive</w:t>
      </w:r>
      <w:r w:rsidR="0017720C" w:rsidRPr="00764569">
        <w:rPr>
          <w:rFonts w:ascii="Calibri" w:hAnsi="Calibri"/>
        </w:rPr>
        <w:t xml:space="preserve"> </w:t>
      </w:r>
      <w:r w:rsidR="009A257C" w:rsidRPr="00764569">
        <w:rPr>
          <w:rFonts w:ascii="Calibri" w:hAnsi="Calibri"/>
        </w:rPr>
        <w:t>transitional justice</w:t>
      </w:r>
      <w:r w:rsidR="009E3E6A" w:rsidRPr="00764569">
        <w:rPr>
          <w:rFonts w:ascii="Calibri" w:hAnsi="Calibri"/>
        </w:rPr>
        <w:t xml:space="preserve"> systems</w:t>
      </w:r>
      <w:r w:rsidR="0017720C" w:rsidRPr="00764569">
        <w:rPr>
          <w:rFonts w:ascii="Calibri" w:hAnsi="Calibri"/>
        </w:rPr>
        <w:t xml:space="preserve"> </w:t>
      </w:r>
      <w:r w:rsidR="009A257C" w:rsidRPr="00764569">
        <w:rPr>
          <w:rFonts w:ascii="Calibri" w:hAnsi="Calibri"/>
        </w:rPr>
        <w:t xml:space="preserve">that include judicial and non-judicial mechanisms like </w:t>
      </w:r>
      <w:r w:rsidR="0017720C" w:rsidRPr="00764569">
        <w:rPr>
          <w:rFonts w:ascii="Calibri" w:hAnsi="Calibri"/>
        </w:rPr>
        <w:t>truth commissions</w:t>
      </w:r>
      <w:r w:rsidR="009A257C" w:rsidRPr="00764569">
        <w:rPr>
          <w:rFonts w:ascii="Calibri" w:hAnsi="Calibri"/>
        </w:rPr>
        <w:t xml:space="preserve"> and reparations </w:t>
      </w:r>
      <w:r w:rsidR="009E3E6A" w:rsidRPr="00764569">
        <w:rPr>
          <w:rFonts w:ascii="Calibri" w:hAnsi="Calibri"/>
        </w:rPr>
        <w:t>that</w:t>
      </w:r>
      <w:r w:rsidR="009A257C" w:rsidRPr="00764569">
        <w:rPr>
          <w:rFonts w:ascii="Calibri" w:hAnsi="Calibri"/>
        </w:rPr>
        <w:t xml:space="preserve"> are gender-sensitive and promote women’s rights. </w:t>
      </w:r>
      <w:r w:rsidR="009E3E6A" w:rsidRPr="00764569">
        <w:rPr>
          <w:rFonts w:ascii="Calibri" w:hAnsi="Calibri"/>
        </w:rPr>
        <w:t xml:space="preserve">The GR </w:t>
      </w:r>
      <w:r w:rsidR="00592DA3" w:rsidRPr="00764569">
        <w:rPr>
          <w:rFonts w:ascii="Calibri" w:hAnsi="Calibri"/>
        </w:rPr>
        <w:t>addresses</w:t>
      </w:r>
      <w:r w:rsidR="009E3E6A" w:rsidRPr="00764569">
        <w:rPr>
          <w:rFonts w:ascii="Calibri" w:hAnsi="Calibri"/>
        </w:rPr>
        <w:t xml:space="preserve"> an expanded range of gender-based violations, including domestic and sexual enslavement, all violations of </w:t>
      </w:r>
      <w:r w:rsidR="00B22C5F" w:rsidRPr="00764569">
        <w:rPr>
          <w:rFonts w:ascii="Calibri" w:hAnsi="Calibri"/>
        </w:rPr>
        <w:t>sexual and reproductive health</w:t>
      </w:r>
      <w:r w:rsidR="009E3E6A" w:rsidRPr="00764569">
        <w:rPr>
          <w:rFonts w:ascii="Calibri" w:hAnsi="Calibri"/>
        </w:rPr>
        <w:t xml:space="preserve"> rights, forced marriage and forced displacement, in relation to GBV and violations of economic, social and cultural rights</w:t>
      </w:r>
      <w:r w:rsidR="00621585" w:rsidRPr="00764569">
        <w:rPr>
          <w:rFonts w:ascii="Calibri" w:hAnsi="Calibri"/>
        </w:rPr>
        <w:t xml:space="preserve"> (in addition to civil and political rights)</w:t>
      </w:r>
      <w:r w:rsidR="009E3E6A" w:rsidRPr="00764569">
        <w:rPr>
          <w:rFonts w:ascii="Calibri" w:hAnsi="Calibri"/>
        </w:rPr>
        <w:t xml:space="preserve">. </w:t>
      </w:r>
      <w:r w:rsidR="0017720C" w:rsidRPr="00764569">
        <w:rPr>
          <w:rFonts w:ascii="Calibri" w:hAnsi="Calibri"/>
        </w:rPr>
        <w:t xml:space="preserve"> </w:t>
      </w:r>
    </w:p>
    <w:p w14:paraId="5D88E055" w14:textId="77777777" w:rsidR="00621585" w:rsidRPr="00764569" w:rsidRDefault="00621585" w:rsidP="00621585">
      <w:pPr>
        <w:pStyle w:val="ListParagraph"/>
        <w:jc w:val="both"/>
        <w:rPr>
          <w:rFonts w:ascii="Calibri" w:hAnsi="Calibri"/>
        </w:rPr>
      </w:pPr>
    </w:p>
    <w:p w14:paraId="6D9C322B" w14:textId="4D9A1EF5" w:rsidR="009A257C" w:rsidRPr="00764569" w:rsidRDefault="00621585" w:rsidP="00087097">
      <w:pPr>
        <w:pStyle w:val="ListParagraph"/>
        <w:spacing w:line="360" w:lineRule="auto"/>
        <w:jc w:val="both"/>
        <w:rPr>
          <w:rFonts w:ascii="Calibri" w:hAnsi="Calibri"/>
        </w:rPr>
      </w:pPr>
      <w:r w:rsidRPr="00764569">
        <w:rPr>
          <w:rFonts w:ascii="Calibri" w:hAnsi="Calibri"/>
        </w:rPr>
        <w:t>Under the CEDAW GR No. 30, a</w:t>
      </w:r>
      <w:r w:rsidR="009A257C" w:rsidRPr="00764569">
        <w:rPr>
          <w:rFonts w:ascii="Calibri" w:hAnsi="Calibri"/>
        </w:rPr>
        <w:t xml:space="preserve">ccess to justice includes substantive guarantees against amnesties for gender-based violations and to ensure compliance with the decisions of </w:t>
      </w:r>
      <w:r w:rsidR="009E3E6A" w:rsidRPr="00764569">
        <w:rPr>
          <w:rFonts w:ascii="Calibri" w:hAnsi="Calibri"/>
        </w:rPr>
        <w:t xml:space="preserve">transitional justice mechanisms. It also prohibits discrimination against women when re-establishing the rule of law, and ensures that women take part in the design, operation and monitoring of transitional justice mechanisms to include their experience of conflict, to meet their needs and priorities, to address their violations, and ensure that they participate in designing reparations programmes. </w:t>
      </w:r>
      <w:r w:rsidRPr="00764569">
        <w:rPr>
          <w:rFonts w:ascii="Calibri" w:hAnsi="Calibri"/>
        </w:rPr>
        <w:t>A</w:t>
      </w:r>
      <w:r w:rsidR="009E3E6A" w:rsidRPr="00764569">
        <w:rPr>
          <w:rFonts w:ascii="Calibri" w:hAnsi="Calibri"/>
        </w:rPr>
        <w:t xml:space="preserve">ccess justice </w:t>
      </w:r>
      <w:r w:rsidRPr="00764569">
        <w:rPr>
          <w:rFonts w:ascii="Calibri" w:hAnsi="Calibri"/>
        </w:rPr>
        <w:t xml:space="preserve">also </w:t>
      </w:r>
      <w:r w:rsidR="009E3E6A" w:rsidRPr="00764569">
        <w:rPr>
          <w:rFonts w:ascii="Calibri" w:hAnsi="Calibri"/>
        </w:rPr>
        <w:t>includes the provision of legal aid, the creation of special courts like domestic and family violence courts and mobile courts for camps and settlements and remote areas, and the provision of shelters. Transformative equality also requires special criminal-procedure protections that protect identity during public hearings and require testimonies to be taken by female professionals</w:t>
      </w:r>
      <w:r w:rsidR="004E5EBC" w:rsidRPr="00764569">
        <w:rPr>
          <w:rFonts w:ascii="Calibri" w:hAnsi="Calibri"/>
        </w:rPr>
        <w:t xml:space="preserve">. </w:t>
      </w:r>
      <w:r w:rsidR="009E3E6A" w:rsidRPr="00764569">
        <w:rPr>
          <w:rFonts w:ascii="Calibri" w:hAnsi="Calibri"/>
        </w:rPr>
        <w:t xml:space="preserve">Justice systems must have gender-sensitive procedures that avoid revictimization and stigmatization, create special protection units and gender desks in police stations, undertake confidential and sensitive investigations, and ensure that the testimony of women and girls is equally weight in relation to men. Criminal accountability is enhanced by strengthening the capacity not only </w:t>
      </w:r>
      <w:r w:rsidRPr="00764569">
        <w:rPr>
          <w:rFonts w:ascii="Calibri" w:hAnsi="Calibri"/>
        </w:rPr>
        <w:t>of the judiciary but also of</w:t>
      </w:r>
      <w:r w:rsidR="009E3E6A" w:rsidRPr="00764569">
        <w:rPr>
          <w:rFonts w:ascii="Calibri" w:hAnsi="Calibri"/>
        </w:rPr>
        <w:t xml:space="preserve"> security, medical and judicial personnel dealing with forensic evidence related to SGBV</w:t>
      </w:r>
      <w:r w:rsidR="00262E65" w:rsidRPr="00764569">
        <w:rPr>
          <w:rFonts w:ascii="Calibri" w:hAnsi="Calibri"/>
        </w:rPr>
        <w:t xml:space="preserve"> in conflict and post-conflict </w:t>
      </w:r>
      <w:r w:rsidR="00592DA3" w:rsidRPr="00764569">
        <w:rPr>
          <w:rFonts w:ascii="Calibri" w:hAnsi="Calibri"/>
        </w:rPr>
        <w:t>situation</w:t>
      </w:r>
      <w:r w:rsidR="00262E65" w:rsidRPr="00764569">
        <w:rPr>
          <w:rFonts w:ascii="Calibri" w:hAnsi="Calibri"/>
        </w:rPr>
        <w:t>s</w:t>
      </w:r>
      <w:r w:rsidR="009E3E6A" w:rsidRPr="00764569">
        <w:rPr>
          <w:rFonts w:ascii="Calibri" w:hAnsi="Calibri"/>
        </w:rPr>
        <w:t>.</w:t>
      </w:r>
      <w:r w:rsidR="009E3E6A" w:rsidRPr="00764569">
        <w:rPr>
          <w:rStyle w:val="FootnoteReference"/>
          <w:rFonts w:ascii="Calibri" w:hAnsi="Calibri"/>
        </w:rPr>
        <w:footnoteReference w:id="86"/>
      </w:r>
    </w:p>
    <w:p w14:paraId="1C3D990E" w14:textId="77777777" w:rsidR="009A257C" w:rsidRPr="00764569" w:rsidRDefault="009A257C" w:rsidP="009A257C">
      <w:pPr>
        <w:spacing w:line="120" w:lineRule="exact"/>
      </w:pPr>
    </w:p>
    <w:p w14:paraId="1D0E4F68" w14:textId="77777777" w:rsidR="009A257C" w:rsidRPr="00764569" w:rsidRDefault="009A257C" w:rsidP="004E5EBC">
      <w:pPr>
        <w:jc w:val="both"/>
        <w:rPr>
          <w:rFonts w:ascii="Calibri" w:hAnsi="Calibri"/>
        </w:rPr>
      </w:pPr>
    </w:p>
    <w:p w14:paraId="3A8F4B46" w14:textId="2E4F6555" w:rsidR="00293648" w:rsidRPr="00764569" w:rsidRDefault="004E5EBC" w:rsidP="00087097">
      <w:pPr>
        <w:pStyle w:val="ListParagraph"/>
        <w:numPr>
          <w:ilvl w:val="0"/>
          <w:numId w:val="5"/>
        </w:numPr>
        <w:spacing w:line="360" w:lineRule="auto"/>
        <w:jc w:val="both"/>
        <w:rPr>
          <w:rFonts w:ascii="Calibri" w:hAnsi="Calibri"/>
        </w:rPr>
      </w:pPr>
      <w:r w:rsidRPr="00764569">
        <w:rPr>
          <w:rFonts w:ascii="Calibri" w:hAnsi="Calibri"/>
        </w:rPr>
        <w:t xml:space="preserve">The </w:t>
      </w:r>
      <w:r w:rsidR="00592DA3" w:rsidRPr="00764569">
        <w:rPr>
          <w:rFonts w:ascii="Calibri" w:hAnsi="Calibri"/>
        </w:rPr>
        <w:t xml:space="preserve">comprehensive </w:t>
      </w:r>
      <w:r w:rsidR="0017720C" w:rsidRPr="00764569">
        <w:rPr>
          <w:rFonts w:ascii="Calibri" w:hAnsi="Calibri"/>
        </w:rPr>
        <w:t xml:space="preserve">recognition of </w:t>
      </w:r>
      <w:r w:rsidRPr="00764569">
        <w:rPr>
          <w:rFonts w:ascii="Calibri" w:hAnsi="Calibri"/>
        </w:rPr>
        <w:t>women</w:t>
      </w:r>
      <w:r w:rsidR="00592DA3" w:rsidRPr="00764569">
        <w:rPr>
          <w:rFonts w:ascii="Calibri" w:hAnsi="Calibri"/>
        </w:rPr>
        <w:t xml:space="preserve"> and girls’</w:t>
      </w:r>
      <w:r w:rsidR="009E3E6A" w:rsidRPr="00764569">
        <w:rPr>
          <w:rFonts w:ascii="Calibri" w:hAnsi="Calibri"/>
        </w:rPr>
        <w:t xml:space="preserve"> human rights including</w:t>
      </w:r>
      <w:r w:rsidRPr="00764569">
        <w:rPr>
          <w:rFonts w:ascii="Calibri" w:hAnsi="Calibri"/>
        </w:rPr>
        <w:t xml:space="preserve"> </w:t>
      </w:r>
      <w:r w:rsidRPr="00764569">
        <w:rPr>
          <w:rFonts w:ascii="Calibri" w:hAnsi="Calibri"/>
          <w:b/>
          <w:color w:val="4F81BD" w:themeColor="accent1"/>
        </w:rPr>
        <w:t>economic, social and cultural rights</w:t>
      </w:r>
      <w:r w:rsidR="009E3E6A" w:rsidRPr="00764569">
        <w:rPr>
          <w:rFonts w:ascii="Calibri" w:hAnsi="Calibri"/>
        </w:rPr>
        <w:t xml:space="preserve">. </w:t>
      </w:r>
      <w:r w:rsidRPr="00764569">
        <w:rPr>
          <w:rFonts w:ascii="Calibri" w:hAnsi="Calibri"/>
        </w:rPr>
        <w:t xml:space="preserve">Whereas SCR 1325 focuses almost exclusively on women’s civil and political rights, and related resolutions </w:t>
      </w:r>
      <w:r w:rsidR="00116007" w:rsidRPr="00764569">
        <w:rPr>
          <w:rFonts w:ascii="Calibri" w:hAnsi="Calibri"/>
        </w:rPr>
        <w:t xml:space="preserve">briefly </w:t>
      </w:r>
      <w:r w:rsidR="00592DA3" w:rsidRPr="00764569">
        <w:rPr>
          <w:rFonts w:ascii="Calibri" w:hAnsi="Calibri"/>
        </w:rPr>
        <w:t>touch upon</w:t>
      </w:r>
      <w:r w:rsidR="00116007" w:rsidRPr="00764569">
        <w:rPr>
          <w:rFonts w:ascii="Calibri" w:hAnsi="Calibri"/>
        </w:rPr>
        <w:t xml:space="preserve"> economic, social and cultural rights</w:t>
      </w:r>
      <w:r w:rsidR="00621585" w:rsidRPr="00764569">
        <w:rPr>
          <w:rFonts w:ascii="Calibri" w:hAnsi="Calibri"/>
        </w:rPr>
        <w:t>, the CEDAW GR No. 30</w:t>
      </w:r>
      <w:r w:rsidR="009E3E6A" w:rsidRPr="00764569">
        <w:rPr>
          <w:rFonts w:ascii="Calibri" w:hAnsi="Calibri"/>
        </w:rPr>
        <w:t xml:space="preserve"> affirms tra</w:t>
      </w:r>
      <w:r w:rsidR="00592DA3" w:rsidRPr="00764569">
        <w:rPr>
          <w:rFonts w:ascii="Calibri" w:hAnsi="Calibri"/>
        </w:rPr>
        <w:t>nsformative equality through</w:t>
      </w:r>
      <w:r w:rsidR="009E3E6A" w:rsidRPr="00764569">
        <w:rPr>
          <w:rFonts w:ascii="Calibri" w:hAnsi="Calibri"/>
        </w:rPr>
        <w:t xml:space="preserve"> comprehensive </w:t>
      </w:r>
      <w:r w:rsidRPr="00764569">
        <w:rPr>
          <w:rFonts w:ascii="Calibri" w:hAnsi="Calibri"/>
        </w:rPr>
        <w:t>recommendations that</w:t>
      </w:r>
      <w:r w:rsidR="00592DA3" w:rsidRPr="00764569">
        <w:rPr>
          <w:rFonts w:ascii="Calibri" w:hAnsi="Calibri"/>
        </w:rPr>
        <w:t xml:space="preserve">: girls have access </w:t>
      </w:r>
      <w:r w:rsidR="00592DA3" w:rsidRPr="00764569">
        <w:rPr>
          <w:rFonts w:ascii="Calibri" w:hAnsi="Calibri"/>
        </w:rPr>
        <w:lastRenderedPageBreak/>
        <w:t xml:space="preserve">to education; </w:t>
      </w:r>
      <w:r w:rsidRPr="00764569">
        <w:rPr>
          <w:rFonts w:ascii="Calibri" w:hAnsi="Calibri"/>
        </w:rPr>
        <w:t>women and girls have adequate healthca</w:t>
      </w:r>
      <w:r w:rsidR="00592DA3" w:rsidRPr="00764569">
        <w:rPr>
          <w:rFonts w:ascii="Calibri" w:hAnsi="Calibri"/>
        </w:rPr>
        <w:t>re and employment opportunities;</w:t>
      </w:r>
      <w:r w:rsidRPr="00764569">
        <w:rPr>
          <w:rFonts w:ascii="Calibri" w:hAnsi="Calibri"/>
        </w:rPr>
        <w:t xml:space="preserve"> and rural women</w:t>
      </w:r>
      <w:r w:rsidR="00592DA3" w:rsidRPr="00764569">
        <w:rPr>
          <w:rFonts w:ascii="Calibri" w:hAnsi="Calibri"/>
        </w:rPr>
        <w:t xml:space="preserve"> are also empowered</w:t>
      </w:r>
      <w:r w:rsidRPr="00764569">
        <w:rPr>
          <w:rFonts w:ascii="Calibri" w:hAnsi="Calibri"/>
        </w:rPr>
        <w:t>. States are encouraged to end discrimination against women in marriage and family life, including addressing women’s access to land and property,</w:t>
      </w:r>
      <w:r w:rsidRPr="00764569">
        <w:rPr>
          <w:rStyle w:val="FootnoteReference"/>
          <w:rFonts w:ascii="Calibri" w:hAnsi="Calibri"/>
        </w:rPr>
        <w:footnoteReference w:id="87"/>
      </w:r>
      <w:r w:rsidRPr="00764569">
        <w:rPr>
          <w:rFonts w:ascii="Calibri" w:hAnsi="Calibri"/>
        </w:rPr>
        <w:t xml:space="preserve"> as these discriminations are compounded by the impacts of conflicts on women and girls. </w:t>
      </w:r>
      <w:r w:rsidRPr="00764569">
        <w:rPr>
          <w:rStyle w:val="FootnoteReference"/>
          <w:rFonts w:ascii="Calibri" w:hAnsi="Calibri"/>
        </w:rPr>
        <w:footnoteReference w:id="88"/>
      </w:r>
      <w:r w:rsidR="00265C8E" w:rsidRPr="00764569">
        <w:rPr>
          <w:rFonts w:ascii="Calibri" w:hAnsi="Calibri"/>
        </w:rPr>
        <w:t xml:space="preserve"> </w:t>
      </w:r>
    </w:p>
    <w:p w14:paraId="2D4CA309" w14:textId="301F0775" w:rsidR="00E4120D" w:rsidRPr="00764569" w:rsidRDefault="00764569" w:rsidP="00764569">
      <w:pPr>
        <w:rPr>
          <w:rFonts w:ascii="Calibri" w:hAnsi="Calibri"/>
        </w:rPr>
      </w:pPr>
      <w:r>
        <w:rPr>
          <w:rFonts w:ascii="Calibri" w:hAnsi="Calibri"/>
        </w:rPr>
        <w:br w:type="page"/>
      </w:r>
    </w:p>
    <w:p w14:paraId="7A172EC9" w14:textId="7CBA8F7A" w:rsidR="003B55B0" w:rsidRPr="000E78A5" w:rsidRDefault="003B55B0" w:rsidP="003B55B0">
      <w:pPr>
        <w:pStyle w:val="Heading3"/>
        <w:keepLines/>
        <w:spacing w:before="20" w:after="0"/>
        <w:jc w:val="center"/>
        <w:rPr>
          <w:b w:val="0"/>
          <w:color w:val="1F497D" w:themeColor="text2"/>
          <w:spacing w:val="14"/>
          <w:sz w:val="32"/>
          <w:szCs w:val="32"/>
          <w:lang w:val="en-GB"/>
        </w:rPr>
      </w:pPr>
      <w:bookmarkStart w:id="6" w:name="_Toc416867084"/>
      <w:r>
        <w:rPr>
          <w:b w:val="0"/>
          <w:color w:val="1F497D" w:themeColor="text2"/>
          <w:spacing w:val="14"/>
          <w:sz w:val="32"/>
          <w:szCs w:val="32"/>
          <w:lang w:val="en-GB"/>
        </w:rPr>
        <w:lastRenderedPageBreak/>
        <w:t>BEYOND CEDAW: SCR 1325 AND ‘SOFT LAW’ IN THE WIDER LEGAL FRAMEWORK</w:t>
      </w:r>
      <w:bookmarkEnd w:id="6"/>
    </w:p>
    <w:p w14:paraId="4B0B6994" w14:textId="77777777" w:rsidR="004E5EBC" w:rsidRDefault="004E5EBC" w:rsidP="004E5EBC">
      <w:pPr>
        <w:jc w:val="both"/>
        <w:rPr>
          <w:rFonts w:ascii="Calibri" w:hAnsi="Calibri"/>
        </w:rPr>
      </w:pPr>
    </w:p>
    <w:p w14:paraId="0FDE36F3" w14:textId="5B8AEC04" w:rsidR="004E5EBC" w:rsidRPr="00C72733" w:rsidRDefault="008B328E" w:rsidP="00087097">
      <w:pPr>
        <w:spacing w:line="360" w:lineRule="auto"/>
        <w:jc w:val="both"/>
        <w:rPr>
          <w:rFonts w:ascii="Calibri" w:hAnsi="Calibri"/>
        </w:rPr>
      </w:pPr>
      <w:r>
        <w:rPr>
          <w:rFonts w:ascii="Calibri" w:hAnsi="Calibri"/>
        </w:rPr>
        <w:t xml:space="preserve">While </w:t>
      </w:r>
      <w:r w:rsidR="004E5EBC">
        <w:rPr>
          <w:rFonts w:ascii="Calibri" w:hAnsi="Calibri"/>
        </w:rPr>
        <w:t>SCR 1325</w:t>
      </w:r>
      <w:r w:rsidR="00A6225E">
        <w:rPr>
          <w:rFonts w:ascii="Calibri" w:hAnsi="Calibri"/>
        </w:rPr>
        <w:t xml:space="preserve"> and its related resolutions should be read together with CEDAW and its GR No. 30, an integrated understanding of SCR 1325 does not end with CEDAW. </w:t>
      </w:r>
      <w:r w:rsidR="00415DA2">
        <w:rPr>
          <w:rFonts w:ascii="Calibri" w:hAnsi="Calibri"/>
        </w:rPr>
        <w:t>T</w:t>
      </w:r>
      <w:r w:rsidR="00F3615E">
        <w:rPr>
          <w:rFonts w:ascii="Calibri" w:hAnsi="Calibri"/>
        </w:rPr>
        <w:t>his submission argues that other elements of the</w:t>
      </w:r>
      <w:r>
        <w:rPr>
          <w:rFonts w:ascii="Calibri" w:hAnsi="Calibri"/>
        </w:rPr>
        <w:t xml:space="preserve"> legal</w:t>
      </w:r>
      <w:r w:rsidR="00F3615E">
        <w:rPr>
          <w:rFonts w:ascii="Calibri" w:hAnsi="Calibri"/>
        </w:rPr>
        <w:t xml:space="preserve"> framework must also be </w:t>
      </w:r>
      <w:r w:rsidR="00B22C5F">
        <w:rPr>
          <w:rFonts w:ascii="Calibri" w:hAnsi="Calibri"/>
        </w:rPr>
        <w:t>read together with the Security Council resolutions on women, peace and security, and CEDAW</w:t>
      </w:r>
      <w:r w:rsidR="00F3615E">
        <w:rPr>
          <w:rFonts w:ascii="Calibri" w:hAnsi="Calibri"/>
        </w:rPr>
        <w:t xml:space="preserve">, where they extend </w:t>
      </w:r>
      <w:r w:rsidR="00415DA2">
        <w:rPr>
          <w:rFonts w:ascii="Calibri" w:hAnsi="Calibri"/>
        </w:rPr>
        <w:t xml:space="preserve">and expand upon </w:t>
      </w:r>
      <w:r w:rsidR="00F3615E">
        <w:rPr>
          <w:rFonts w:ascii="Calibri" w:hAnsi="Calibri"/>
        </w:rPr>
        <w:t xml:space="preserve">the protections in </w:t>
      </w:r>
      <w:r w:rsidR="00B22C5F">
        <w:rPr>
          <w:rFonts w:ascii="Calibri" w:hAnsi="Calibri"/>
        </w:rPr>
        <w:t>these documents</w:t>
      </w:r>
      <w:r w:rsidR="00F3615E">
        <w:rPr>
          <w:rFonts w:ascii="Calibri" w:hAnsi="Calibri"/>
        </w:rPr>
        <w:t xml:space="preserve">. These include </w:t>
      </w:r>
      <w:r w:rsidR="00415DA2">
        <w:rPr>
          <w:rFonts w:ascii="Calibri" w:hAnsi="Calibri"/>
        </w:rPr>
        <w:t>three core documents</w:t>
      </w:r>
      <w:r w:rsidR="00B22C5F">
        <w:rPr>
          <w:rFonts w:ascii="Calibri" w:hAnsi="Calibri"/>
        </w:rPr>
        <w:t xml:space="preserve"> that are </w:t>
      </w:r>
      <w:r w:rsidR="003B55B0">
        <w:rPr>
          <w:rFonts w:ascii="Calibri" w:hAnsi="Calibri"/>
        </w:rPr>
        <w:t>‘</w:t>
      </w:r>
      <w:r w:rsidR="00B22C5F">
        <w:rPr>
          <w:rFonts w:ascii="Calibri" w:hAnsi="Calibri"/>
        </w:rPr>
        <w:t>soft law</w:t>
      </w:r>
      <w:r w:rsidR="003B55B0">
        <w:rPr>
          <w:rFonts w:ascii="Calibri" w:hAnsi="Calibri"/>
        </w:rPr>
        <w:t>’</w:t>
      </w:r>
      <w:r w:rsidR="00B22C5F">
        <w:rPr>
          <w:rFonts w:ascii="Calibri" w:hAnsi="Calibri"/>
        </w:rPr>
        <w:t xml:space="preserve"> but that provide blueprints for action</w:t>
      </w:r>
      <w:r w:rsidR="00621585">
        <w:rPr>
          <w:rFonts w:ascii="Calibri" w:hAnsi="Calibri"/>
        </w:rPr>
        <w:t xml:space="preserve"> that are </w:t>
      </w:r>
      <w:r w:rsidR="00B22C5F">
        <w:rPr>
          <w:rFonts w:ascii="Calibri" w:hAnsi="Calibri"/>
        </w:rPr>
        <w:t xml:space="preserve">supported by state practice. These are </w:t>
      </w:r>
      <w:r w:rsidR="00F3615E">
        <w:rPr>
          <w:rFonts w:ascii="Calibri" w:hAnsi="Calibri"/>
        </w:rPr>
        <w:t xml:space="preserve">the </w:t>
      </w:r>
      <w:r w:rsidR="00B22C5F">
        <w:rPr>
          <w:rFonts w:ascii="Calibri" w:hAnsi="Calibri"/>
        </w:rPr>
        <w:t>BPfA</w:t>
      </w:r>
      <w:r w:rsidR="00F3615E">
        <w:rPr>
          <w:rFonts w:ascii="Calibri" w:hAnsi="Calibri"/>
        </w:rPr>
        <w:t xml:space="preserve"> and </w:t>
      </w:r>
      <w:r w:rsidR="004E5EBC">
        <w:rPr>
          <w:rFonts w:ascii="Calibri" w:hAnsi="Calibri"/>
        </w:rPr>
        <w:t xml:space="preserve">the UNGA Outcome Document </w:t>
      </w:r>
      <w:r w:rsidR="00F3615E">
        <w:rPr>
          <w:rFonts w:ascii="Calibri" w:hAnsi="Calibri"/>
        </w:rPr>
        <w:t>(directly referenced in SCR 1325</w:t>
      </w:r>
      <w:r w:rsidR="007125C2">
        <w:rPr>
          <w:rFonts w:ascii="Calibri" w:hAnsi="Calibri"/>
        </w:rPr>
        <w:t xml:space="preserve"> and subsequent resolutions on WPS</w:t>
      </w:r>
      <w:r w:rsidR="00F3615E">
        <w:rPr>
          <w:rFonts w:ascii="Calibri" w:hAnsi="Calibri"/>
        </w:rPr>
        <w:t>)</w:t>
      </w:r>
      <w:r w:rsidR="004E5EBC">
        <w:rPr>
          <w:rFonts w:ascii="Calibri" w:hAnsi="Calibri"/>
        </w:rPr>
        <w:t xml:space="preserve"> and the </w:t>
      </w:r>
      <w:r w:rsidR="00B22C5F">
        <w:rPr>
          <w:rFonts w:ascii="Calibri" w:hAnsi="Calibri"/>
        </w:rPr>
        <w:t xml:space="preserve">CSW Agreed Conclusions 2013 (which, like the CEDAW GR No. 30, were </w:t>
      </w:r>
      <w:r w:rsidR="00621585">
        <w:rPr>
          <w:rFonts w:ascii="Calibri" w:hAnsi="Calibri"/>
        </w:rPr>
        <w:t>concluded</w:t>
      </w:r>
      <w:r w:rsidR="00B22C5F">
        <w:rPr>
          <w:rFonts w:ascii="Calibri" w:hAnsi="Calibri"/>
        </w:rPr>
        <w:t xml:space="preserve"> after the</w:t>
      </w:r>
      <w:r w:rsidR="00621585">
        <w:rPr>
          <w:rFonts w:ascii="Calibri" w:hAnsi="Calibri"/>
        </w:rPr>
        <w:t xml:space="preserve"> adoption of</w:t>
      </w:r>
      <w:r w:rsidR="00B22C5F">
        <w:rPr>
          <w:rFonts w:ascii="Calibri" w:hAnsi="Calibri"/>
        </w:rPr>
        <w:t xml:space="preserve"> SCR 1325</w:t>
      </w:r>
      <w:r w:rsidR="00415DA2">
        <w:rPr>
          <w:rFonts w:ascii="Calibri" w:hAnsi="Calibri"/>
        </w:rPr>
        <w:t>, and so are not referenced in the resolutions</w:t>
      </w:r>
      <w:r w:rsidR="00B22C5F">
        <w:rPr>
          <w:rFonts w:ascii="Calibri" w:hAnsi="Calibri"/>
        </w:rPr>
        <w:t>).</w:t>
      </w:r>
      <w:r w:rsidR="004E5EBC" w:rsidRPr="00797ECA">
        <w:rPr>
          <w:rFonts w:ascii="Calibri" w:hAnsi="Calibri"/>
        </w:rPr>
        <w:t xml:space="preserve"> </w:t>
      </w:r>
    </w:p>
    <w:p w14:paraId="5AEEB622" w14:textId="77777777" w:rsidR="004E5EBC" w:rsidRDefault="004E5EBC" w:rsidP="004E5EBC">
      <w:pPr>
        <w:jc w:val="both"/>
        <w:rPr>
          <w:rFonts w:ascii="Calibri" w:hAnsi="Calibri"/>
        </w:rPr>
      </w:pPr>
    </w:p>
    <w:p w14:paraId="12CE167D" w14:textId="7C807995" w:rsidR="004E5EBC" w:rsidRPr="00B27D2A" w:rsidRDefault="004E5EBC" w:rsidP="004E5EBC">
      <w:pPr>
        <w:rPr>
          <w:rFonts w:ascii="Calibri" w:hAnsi="Calibri"/>
          <w:b/>
          <w:color w:val="1F497D" w:themeColor="text2"/>
          <w:u w:val="single"/>
        </w:rPr>
      </w:pPr>
      <w:r w:rsidRPr="00B27D2A">
        <w:rPr>
          <w:rFonts w:ascii="Calibri" w:hAnsi="Calibri"/>
          <w:b/>
          <w:color w:val="1F497D" w:themeColor="text2"/>
          <w:u w:val="single"/>
        </w:rPr>
        <w:t>The Beijing Platform for Action</w:t>
      </w:r>
      <w:r w:rsidR="000813FB" w:rsidRPr="00B27D2A">
        <w:rPr>
          <w:rFonts w:ascii="Calibri" w:hAnsi="Calibri"/>
          <w:b/>
          <w:color w:val="1F497D" w:themeColor="text2"/>
          <w:u w:val="single"/>
        </w:rPr>
        <w:t>, 1995</w:t>
      </w:r>
      <w:r w:rsidRPr="00B27D2A">
        <w:rPr>
          <w:rFonts w:ascii="Calibri" w:hAnsi="Calibri"/>
          <w:b/>
          <w:color w:val="1F497D" w:themeColor="text2"/>
          <w:u w:val="single"/>
        </w:rPr>
        <w:t xml:space="preserve">: Critical Areas of Concern on Women in Armed Conflict and Violence against Women </w:t>
      </w:r>
    </w:p>
    <w:p w14:paraId="07416E9D" w14:textId="77777777" w:rsidR="004E5EBC" w:rsidRDefault="004E5EBC" w:rsidP="004E5EBC">
      <w:pPr>
        <w:jc w:val="both"/>
        <w:rPr>
          <w:rFonts w:ascii="Calibri" w:hAnsi="Calibri"/>
        </w:rPr>
      </w:pPr>
    </w:p>
    <w:p w14:paraId="4679E8B3" w14:textId="1A3DA8F2" w:rsidR="004E5EBC" w:rsidRDefault="004E5EBC" w:rsidP="00B27D2A">
      <w:pPr>
        <w:spacing w:line="360" w:lineRule="auto"/>
        <w:jc w:val="both"/>
        <w:rPr>
          <w:rFonts w:ascii="Calibri" w:hAnsi="Calibri"/>
        </w:rPr>
      </w:pPr>
      <w:r w:rsidRPr="00B71273">
        <w:rPr>
          <w:rFonts w:ascii="Calibri" w:hAnsi="Calibri"/>
        </w:rPr>
        <w:t>This year marks the 20</w:t>
      </w:r>
      <w:r w:rsidRPr="00B71273">
        <w:rPr>
          <w:rFonts w:ascii="Calibri" w:hAnsi="Calibri"/>
          <w:vertAlign w:val="superscript"/>
        </w:rPr>
        <w:t>th</w:t>
      </w:r>
      <w:r w:rsidRPr="00B71273">
        <w:rPr>
          <w:rFonts w:ascii="Calibri" w:hAnsi="Calibri"/>
        </w:rPr>
        <w:t xml:space="preserve"> anniversary of the </w:t>
      </w:r>
      <w:r w:rsidR="00B22C5F">
        <w:rPr>
          <w:rFonts w:ascii="Calibri" w:hAnsi="Calibri"/>
        </w:rPr>
        <w:t xml:space="preserve">BPfA, </w:t>
      </w:r>
      <w:r w:rsidR="00415DA2">
        <w:rPr>
          <w:rFonts w:ascii="Calibri" w:hAnsi="Calibri"/>
        </w:rPr>
        <w:t>which</w:t>
      </w:r>
      <w:r w:rsidR="00723F4F">
        <w:rPr>
          <w:rFonts w:ascii="Calibri" w:hAnsi="Calibri"/>
        </w:rPr>
        <w:t xml:space="preserve"> </w:t>
      </w:r>
      <w:r w:rsidR="000813FB">
        <w:rPr>
          <w:rFonts w:ascii="Calibri" w:hAnsi="Calibri"/>
        </w:rPr>
        <w:t>focused attention on</w:t>
      </w:r>
      <w:r w:rsidR="00B22C5F">
        <w:rPr>
          <w:rFonts w:ascii="Calibri" w:hAnsi="Calibri"/>
        </w:rPr>
        <w:t xml:space="preserve"> the women, peace and security agenda at the UN</w:t>
      </w:r>
      <w:r w:rsidR="00FF355E">
        <w:rPr>
          <w:rFonts w:ascii="Calibri" w:hAnsi="Calibri"/>
        </w:rPr>
        <w:t xml:space="preserve"> five years before the adoption of SCR 1325</w:t>
      </w:r>
      <w:r w:rsidR="001751B5">
        <w:rPr>
          <w:rFonts w:ascii="Calibri" w:hAnsi="Calibri"/>
        </w:rPr>
        <w:t xml:space="preserve">. </w:t>
      </w:r>
      <w:r w:rsidRPr="00B71273">
        <w:rPr>
          <w:rStyle w:val="FootnoteReference"/>
          <w:rFonts w:ascii="Calibri" w:hAnsi="Calibri"/>
        </w:rPr>
        <w:footnoteReference w:id="89"/>
      </w:r>
      <w:r w:rsidRPr="00B71273">
        <w:rPr>
          <w:rFonts w:ascii="Calibri" w:hAnsi="Calibri"/>
        </w:rPr>
        <w:t xml:space="preserve"> </w:t>
      </w:r>
      <w:r w:rsidR="00166E4C">
        <w:rPr>
          <w:rFonts w:ascii="Calibri" w:hAnsi="Calibri"/>
        </w:rPr>
        <w:t xml:space="preserve"> </w:t>
      </w:r>
      <w:r w:rsidR="00415DA2">
        <w:rPr>
          <w:rFonts w:ascii="Calibri" w:hAnsi="Calibri"/>
        </w:rPr>
        <w:t xml:space="preserve">While the </w:t>
      </w:r>
      <w:r w:rsidRPr="00B71273">
        <w:rPr>
          <w:rFonts w:ascii="Calibri" w:hAnsi="Calibri"/>
        </w:rPr>
        <w:t xml:space="preserve">SCR 1325 reasserts several </w:t>
      </w:r>
      <w:r w:rsidR="00723F4F">
        <w:rPr>
          <w:rFonts w:ascii="Calibri" w:hAnsi="Calibri"/>
        </w:rPr>
        <w:t>BPfA</w:t>
      </w:r>
      <w:r w:rsidRPr="00B71273">
        <w:rPr>
          <w:rFonts w:ascii="Calibri" w:hAnsi="Calibri"/>
        </w:rPr>
        <w:t xml:space="preserve"> goals, </w:t>
      </w:r>
      <w:r w:rsidR="00415DA2">
        <w:rPr>
          <w:rFonts w:ascii="Calibri" w:hAnsi="Calibri"/>
        </w:rPr>
        <w:t>the</w:t>
      </w:r>
      <w:r w:rsidRPr="00B71273">
        <w:rPr>
          <w:rFonts w:ascii="Calibri" w:hAnsi="Calibri"/>
        </w:rPr>
        <w:t xml:space="preserve"> BPfA </w:t>
      </w:r>
      <w:r w:rsidR="00723F4F">
        <w:rPr>
          <w:rFonts w:ascii="Calibri" w:hAnsi="Calibri"/>
        </w:rPr>
        <w:t>adds value to the legal framework by going beyond</w:t>
      </w:r>
      <w:r w:rsidR="00166E4C">
        <w:rPr>
          <w:rFonts w:ascii="Calibri" w:hAnsi="Calibri"/>
        </w:rPr>
        <w:t xml:space="preserve"> the language of SCR 1325</w:t>
      </w:r>
      <w:r w:rsidR="00C46541">
        <w:rPr>
          <w:rFonts w:ascii="Calibri" w:hAnsi="Calibri"/>
        </w:rPr>
        <w:t xml:space="preserve">. </w:t>
      </w:r>
      <w:r w:rsidRPr="00B71273">
        <w:rPr>
          <w:rFonts w:ascii="Calibri" w:hAnsi="Calibri"/>
        </w:rPr>
        <w:t>The BPfA</w:t>
      </w:r>
      <w:r w:rsidR="004722B9">
        <w:rPr>
          <w:rFonts w:ascii="Calibri" w:hAnsi="Calibri"/>
        </w:rPr>
        <w:t>, unlike</w:t>
      </w:r>
      <w:r w:rsidRPr="00B71273">
        <w:rPr>
          <w:rFonts w:ascii="Calibri" w:hAnsi="Calibri"/>
        </w:rPr>
        <w:t xml:space="preserve"> SCR 1325</w:t>
      </w:r>
      <w:r w:rsidR="00C46541">
        <w:rPr>
          <w:rFonts w:ascii="Calibri" w:hAnsi="Calibri"/>
        </w:rPr>
        <w:t>,</w:t>
      </w:r>
      <w:r w:rsidRPr="00B71273">
        <w:rPr>
          <w:rFonts w:ascii="Calibri" w:hAnsi="Calibri"/>
        </w:rPr>
        <w:t xml:space="preserve"> </w:t>
      </w:r>
      <w:r w:rsidR="004722B9">
        <w:rPr>
          <w:rFonts w:ascii="Calibri" w:hAnsi="Calibri"/>
        </w:rPr>
        <w:t xml:space="preserve">elaborates </w:t>
      </w:r>
      <w:r w:rsidR="000813FB">
        <w:rPr>
          <w:rFonts w:ascii="Calibri" w:hAnsi="Calibri"/>
        </w:rPr>
        <w:t xml:space="preserve">an </w:t>
      </w:r>
      <w:r w:rsidR="00FF355E" w:rsidRPr="00B27D2A">
        <w:rPr>
          <w:rFonts w:ascii="Calibri" w:hAnsi="Calibri"/>
          <w:b/>
          <w:color w:val="4F81BD" w:themeColor="accent1"/>
        </w:rPr>
        <w:t>intersectional</w:t>
      </w:r>
      <w:r w:rsidR="000813FB" w:rsidRPr="00B27D2A">
        <w:rPr>
          <w:rFonts w:ascii="Calibri" w:hAnsi="Calibri"/>
          <w:b/>
          <w:color w:val="4F81BD" w:themeColor="accent1"/>
        </w:rPr>
        <w:t xml:space="preserve"> view of violence</w:t>
      </w:r>
      <w:r w:rsidR="000813FB">
        <w:rPr>
          <w:rFonts w:ascii="Calibri" w:hAnsi="Calibri"/>
        </w:rPr>
        <w:t xml:space="preserve"> </w:t>
      </w:r>
      <w:r w:rsidR="00C46541">
        <w:rPr>
          <w:rFonts w:ascii="Calibri" w:hAnsi="Calibri"/>
        </w:rPr>
        <w:t xml:space="preserve">under two of its twelve critical areas of concern on </w:t>
      </w:r>
      <w:r w:rsidR="00C46541" w:rsidRPr="000813FB">
        <w:rPr>
          <w:rFonts w:ascii="Calibri" w:hAnsi="Calibri"/>
        </w:rPr>
        <w:t>women and armed conflict and violence against women</w:t>
      </w:r>
      <w:r w:rsidR="004722B9">
        <w:rPr>
          <w:rFonts w:ascii="Calibri" w:hAnsi="Calibri"/>
        </w:rPr>
        <w:t xml:space="preserve">. In doing so it </w:t>
      </w:r>
      <w:r w:rsidR="000813FB">
        <w:rPr>
          <w:rFonts w:ascii="Calibri" w:hAnsi="Calibri"/>
        </w:rPr>
        <w:t>provides</w:t>
      </w:r>
      <w:r w:rsidR="00723F4F">
        <w:rPr>
          <w:rFonts w:ascii="Calibri" w:hAnsi="Calibri"/>
        </w:rPr>
        <w:t xml:space="preserve"> for</w:t>
      </w:r>
      <w:r w:rsidR="00C46541">
        <w:rPr>
          <w:rFonts w:ascii="Calibri" w:hAnsi="Calibri"/>
        </w:rPr>
        <w:t xml:space="preserve"> transformative equality</w:t>
      </w:r>
      <w:r w:rsidRPr="00B71273">
        <w:rPr>
          <w:rFonts w:ascii="Calibri" w:hAnsi="Calibri"/>
        </w:rPr>
        <w:t xml:space="preserve">. </w:t>
      </w:r>
      <w:r w:rsidR="00C46541">
        <w:rPr>
          <w:rFonts w:ascii="Calibri" w:hAnsi="Calibri"/>
        </w:rPr>
        <w:t>Like CEDAW and the GR No. 30, the BPfA</w:t>
      </w:r>
      <w:r w:rsidRPr="00B71273">
        <w:rPr>
          <w:rFonts w:ascii="Calibri" w:hAnsi="Calibri"/>
        </w:rPr>
        <w:t xml:space="preserve"> takes a detailed, holistic vie</w:t>
      </w:r>
      <w:r w:rsidR="00C46541">
        <w:rPr>
          <w:rFonts w:ascii="Calibri" w:hAnsi="Calibri"/>
        </w:rPr>
        <w:t>w of women’s rights in conflict</w:t>
      </w:r>
      <w:r w:rsidRPr="00B71273">
        <w:rPr>
          <w:rFonts w:ascii="Calibri" w:hAnsi="Calibri"/>
        </w:rPr>
        <w:t xml:space="preserve">, </w:t>
      </w:r>
      <w:r w:rsidR="00D43CEA">
        <w:rPr>
          <w:rFonts w:ascii="Calibri" w:hAnsi="Calibri"/>
        </w:rPr>
        <w:t>engaging</w:t>
      </w:r>
      <w:r w:rsidRPr="00B71273">
        <w:rPr>
          <w:rFonts w:ascii="Calibri" w:hAnsi="Calibri"/>
        </w:rPr>
        <w:t xml:space="preserve"> with </w:t>
      </w:r>
      <w:r w:rsidR="00723F4F">
        <w:rPr>
          <w:rFonts w:ascii="Calibri" w:hAnsi="Calibri"/>
        </w:rPr>
        <w:t xml:space="preserve">the systemic and </w:t>
      </w:r>
      <w:r w:rsidRPr="00B71273">
        <w:rPr>
          <w:rFonts w:ascii="Calibri" w:hAnsi="Calibri"/>
        </w:rPr>
        <w:t xml:space="preserve">underlying social, economic, and psychological conditions that contribute to and perpetuate violence against women. </w:t>
      </w:r>
      <w:r w:rsidR="00F56849">
        <w:rPr>
          <w:rFonts w:ascii="Calibri" w:hAnsi="Calibri"/>
        </w:rPr>
        <w:t>The</w:t>
      </w:r>
      <w:r w:rsidR="008B328E">
        <w:rPr>
          <w:rFonts w:ascii="Calibri" w:hAnsi="Calibri"/>
        </w:rPr>
        <w:t xml:space="preserve"> BPfA also has </w:t>
      </w:r>
      <w:r w:rsidR="00415DA2">
        <w:rPr>
          <w:rFonts w:ascii="Calibri" w:hAnsi="Calibri"/>
        </w:rPr>
        <w:t>added value</w:t>
      </w:r>
      <w:r w:rsidR="00723F4F">
        <w:rPr>
          <w:rFonts w:ascii="Calibri" w:hAnsi="Calibri"/>
        </w:rPr>
        <w:t xml:space="preserve"> </w:t>
      </w:r>
      <w:r w:rsidR="008B328E">
        <w:rPr>
          <w:rFonts w:ascii="Calibri" w:hAnsi="Calibri"/>
        </w:rPr>
        <w:t>because of</w:t>
      </w:r>
      <w:r w:rsidR="00415DA2">
        <w:rPr>
          <w:rFonts w:ascii="Calibri" w:hAnsi="Calibri"/>
        </w:rPr>
        <w:t xml:space="preserve"> its</w:t>
      </w:r>
      <w:r w:rsidR="008B328E">
        <w:rPr>
          <w:rFonts w:ascii="Calibri" w:hAnsi="Calibri"/>
        </w:rPr>
        <w:t xml:space="preserve"> </w:t>
      </w:r>
      <w:r w:rsidR="008B328E" w:rsidRPr="00B27D2A">
        <w:rPr>
          <w:rFonts w:ascii="Calibri" w:hAnsi="Calibri"/>
          <w:b/>
          <w:color w:val="4F81BD" w:themeColor="accent1"/>
        </w:rPr>
        <w:t>appeal</w:t>
      </w:r>
      <w:r w:rsidRPr="00B27D2A">
        <w:rPr>
          <w:rFonts w:ascii="Calibri" w:hAnsi="Calibri"/>
          <w:b/>
          <w:color w:val="4F81BD" w:themeColor="accent1"/>
        </w:rPr>
        <w:t xml:space="preserve"> </w:t>
      </w:r>
      <w:r w:rsidR="00FF355E" w:rsidRPr="00B27D2A">
        <w:rPr>
          <w:rFonts w:ascii="Calibri" w:hAnsi="Calibri"/>
          <w:b/>
          <w:color w:val="4F81BD" w:themeColor="accent1"/>
        </w:rPr>
        <w:t>to a broader audience</w:t>
      </w:r>
      <w:r w:rsidR="00FF355E">
        <w:rPr>
          <w:rFonts w:ascii="Calibri" w:hAnsi="Calibri"/>
        </w:rPr>
        <w:t>, including governments and NGOS</w:t>
      </w:r>
      <w:r w:rsidRPr="00B71273">
        <w:rPr>
          <w:rFonts w:ascii="Calibri" w:hAnsi="Calibri"/>
        </w:rPr>
        <w:t xml:space="preserve"> at the community, national, regional, and international levels</w:t>
      </w:r>
      <w:r w:rsidR="00FF355E">
        <w:rPr>
          <w:rFonts w:ascii="Calibri" w:hAnsi="Calibri"/>
        </w:rPr>
        <w:t xml:space="preserve">. </w:t>
      </w:r>
      <w:r w:rsidRPr="00B71273">
        <w:rPr>
          <w:rFonts w:ascii="Calibri" w:hAnsi="Calibri"/>
        </w:rPr>
        <w:t xml:space="preserve"> </w:t>
      </w:r>
      <w:r w:rsidR="00FF355E">
        <w:rPr>
          <w:rFonts w:ascii="Calibri" w:hAnsi="Calibri"/>
        </w:rPr>
        <w:t>The</w:t>
      </w:r>
      <w:r w:rsidRPr="00B71273">
        <w:rPr>
          <w:rFonts w:ascii="Calibri" w:hAnsi="Calibri"/>
        </w:rPr>
        <w:t xml:space="preserve"> SCR 1325</w:t>
      </w:r>
      <w:r w:rsidR="00415DA2">
        <w:rPr>
          <w:rFonts w:ascii="Calibri" w:hAnsi="Calibri"/>
        </w:rPr>
        <w:t xml:space="preserve"> </w:t>
      </w:r>
      <w:r w:rsidRPr="00B71273">
        <w:rPr>
          <w:rFonts w:ascii="Calibri" w:hAnsi="Calibri"/>
        </w:rPr>
        <w:t xml:space="preserve">directs </w:t>
      </w:r>
      <w:r w:rsidR="00723F4F">
        <w:rPr>
          <w:rFonts w:ascii="Calibri" w:hAnsi="Calibri"/>
        </w:rPr>
        <w:t>its</w:t>
      </w:r>
      <w:r w:rsidRPr="00B71273">
        <w:rPr>
          <w:rFonts w:ascii="Calibri" w:hAnsi="Calibri"/>
        </w:rPr>
        <w:t xml:space="preserve"> commitments to the </w:t>
      </w:r>
      <w:r w:rsidR="00415DA2">
        <w:rPr>
          <w:rFonts w:ascii="Calibri" w:hAnsi="Calibri"/>
        </w:rPr>
        <w:t xml:space="preserve">Security </w:t>
      </w:r>
      <w:r w:rsidR="00F56849">
        <w:rPr>
          <w:rFonts w:ascii="Calibri" w:hAnsi="Calibri"/>
        </w:rPr>
        <w:t>Council,</w:t>
      </w:r>
      <w:r w:rsidRPr="00B71273">
        <w:rPr>
          <w:rFonts w:ascii="Calibri" w:hAnsi="Calibri"/>
        </w:rPr>
        <w:t xml:space="preserve"> Secretary General,</w:t>
      </w:r>
      <w:r w:rsidR="000F100C">
        <w:rPr>
          <w:rFonts w:ascii="Calibri" w:hAnsi="Calibri"/>
        </w:rPr>
        <w:t xml:space="preserve"> and Member-States</w:t>
      </w:r>
      <w:r w:rsidRPr="00B71273">
        <w:rPr>
          <w:rFonts w:ascii="Calibri" w:hAnsi="Calibri"/>
        </w:rPr>
        <w:t xml:space="preserve"> </w:t>
      </w:r>
      <w:r w:rsidR="000F100C">
        <w:rPr>
          <w:rFonts w:ascii="Calibri" w:hAnsi="Calibri"/>
        </w:rPr>
        <w:t>concerning</w:t>
      </w:r>
      <w:r w:rsidRPr="00B71273">
        <w:rPr>
          <w:rFonts w:ascii="Calibri" w:hAnsi="Calibri"/>
        </w:rPr>
        <w:t xml:space="preserve"> women’s role </w:t>
      </w:r>
      <w:r w:rsidR="000F100C">
        <w:rPr>
          <w:rFonts w:ascii="Calibri" w:hAnsi="Calibri"/>
        </w:rPr>
        <w:t>in</w:t>
      </w:r>
      <w:r w:rsidRPr="00B71273">
        <w:rPr>
          <w:rFonts w:ascii="Calibri" w:hAnsi="Calibri"/>
        </w:rPr>
        <w:t xml:space="preserve"> peace-building </w:t>
      </w:r>
      <w:r w:rsidRPr="00B71273">
        <w:rPr>
          <w:rFonts w:ascii="Calibri" w:hAnsi="Calibri"/>
          <w:i/>
        </w:rPr>
        <w:t>within</w:t>
      </w:r>
      <w:r w:rsidR="000F100C">
        <w:rPr>
          <w:rFonts w:ascii="Calibri" w:hAnsi="Calibri"/>
        </w:rPr>
        <w:t xml:space="preserve"> the UN</w:t>
      </w:r>
      <w:r w:rsidRPr="00B71273">
        <w:rPr>
          <w:rFonts w:ascii="Calibri" w:hAnsi="Calibri"/>
        </w:rPr>
        <w:t>.</w:t>
      </w:r>
      <w:r w:rsidRPr="00B71273">
        <w:rPr>
          <w:rStyle w:val="FootnoteReference"/>
          <w:rFonts w:ascii="Calibri" w:hAnsi="Calibri"/>
        </w:rPr>
        <w:footnoteReference w:id="90"/>
      </w:r>
      <w:r w:rsidRPr="00B71273">
        <w:rPr>
          <w:rFonts w:ascii="Calibri" w:hAnsi="Calibri"/>
        </w:rPr>
        <w:t xml:space="preserve"> </w:t>
      </w:r>
    </w:p>
    <w:p w14:paraId="4DE0E282" w14:textId="77777777" w:rsidR="004E5EBC" w:rsidRDefault="004E5EBC" w:rsidP="004E5EBC">
      <w:pPr>
        <w:jc w:val="both"/>
        <w:rPr>
          <w:rFonts w:ascii="Calibri" w:hAnsi="Calibri"/>
        </w:rPr>
      </w:pPr>
    </w:p>
    <w:p w14:paraId="475E7A01" w14:textId="30974126" w:rsidR="004E5EBC" w:rsidRDefault="00FF355E" w:rsidP="00B27D2A">
      <w:pPr>
        <w:spacing w:line="360" w:lineRule="auto"/>
        <w:jc w:val="both"/>
        <w:rPr>
          <w:rFonts w:ascii="Calibri" w:hAnsi="Calibri"/>
        </w:rPr>
      </w:pPr>
      <w:r>
        <w:rPr>
          <w:rFonts w:ascii="Calibri" w:hAnsi="Calibri"/>
        </w:rPr>
        <w:t>Many of the commitments in t</w:t>
      </w:r>
      <w:r w:rsidR="004E5EBC" w:rsidRPr="00B71273">
        <w:rPr>
          <w:rFonts w:ascii="Calibri" w:hAnsi="Calibri"/>
        </w:rPr>
        <w:t xml:space="preserve">he </w:t>
      </w:r>
      <w:r w:rsidR="004E5EBC">
        <w:rPr>
          <w:rFonts w:ascii="Calibri" w:hAnsi="Calibri"/>
        </w:rPr>
        <w:t>BPfA’s critical area of concern on</w:t>
      </w:r>
      <w:r w:rsidR="004E5EBC" w:rsidRPr="00B71273">
        <w:rPr>
          <w:rFonts w:ascii="Calibri" w:hAnsi="Calibri"/>
        </w:rPr>
        <w:t xml:space="preserve"> </w:t>
      </w:r>
      <w:r w:rsidRPr="00B27D2A">
        <w:rPr>
          <w:rFonts w:ascii="Calibri" w:hAnsi="Calibri"/>
          <w:b/>
          <w:color w:val="4F81BD" w:themeColor="accent1"/>
        </w:rPr>
        <w:t>women and armed conflict</w:t>
      </w:r>
      <w:r w:rsidR="004E5EBC" w:rsidRPr="00B71273">
        <w:rPr>
          <w:rFonts w:ascii="Calibri" w:hAnsi="Calibri"/>
        </w:rPr>
        <w:t xml:space="preserve"> are re-affirmed in SCR 1325: increased</w:t>
      </w:r>
      <w:r>
        <w:rPr>
          <w:rFonts w:ascii="Calibri" w:hAnsi="Calibri"/>
        </w:rPr>
        <w:t xml:space="preserve"> consideration for women’s:</w:t>
      </w:r>
      <w:r w:rsidR="004E5EBC" w:rsidRPr="00B71273">
        <w:rPr>
          <w:rFonts w:ascii="Calibri" w:hAnsi="Calibri"/>
        </w:rPr>
        <w:t xml:space="preserve"> participation in power structures and at all levels of decision-making;</w:t>
      </w:r>
      <w:r w:rsidR="004E5EBC" w:rsidRPr="00B71273">
        <w:rPr>
          <w:rStyle w:val="FootnoteReference"/>
          <w:rFonts w:ascii="Calibri" w:hAnsi="Calibri"/>
        </w:rPr>
        <w:footnoteReference w:id="91"/>
      </w:r>
      <w:r w:rsidR="004E5EBC" w:rsidRPr="00B71273">
        <w:rPr>
          <w:rFonts w:ascii="Calibri" w:hAnsi="Calibri"/>
        </w:rPr>
        <w:t xml:space="preserve"> involvement </w:t>
      </w:r>
      <w:r>
        <w:rPr>
          <w:rFonts w:ascii="Calibri" w:hAnsi="Calibri"/>
        </w:rPr>
        <w:t>in preventing and</w:t>
      </w:r>
      <w:r w:rsidR="004E5EBC" w:rsidRPr="00B71273">
        <w:rPr>
          <w:rFonts w:ascii="Calibri" w:hAnsi="Calibri"/>
        </w:rPr>
        <w:t xml:space="preserve"> </w:t>
      </w:r>
      <w:r>
        <w:rPr>
          <w:rFonts w:ascii="Calibri" w:hAnsi="Calibri"/>
        </w:rPr>
        <w:t>resolving</w:t>
      </w:r>
      <w:r w:rsidR="004E5EBC" w:rsidRPr="00B71273">
        <w:rPr>
          <w:rFonts w:ascii="Calibri" w:hAnsi="Calibri"/>
        </w:rPr>
        <w:t xml:space="preserve"> conflicts;</w:t>
      </w:r>
      <w:r w:rsidR="004E5EBC" w:rsidRPr="00B71273">
        <w:rPr>
          <w:rStyle w:val="FootnoteReference"/>
          <w:rFonts w:ascii="Calibri" w:hAnsi="Calibri"/>
        </w:rPr>
        <w:footnoteReference w:id="92"/>
      </w:r>
      <w:r w:rsidR="004E5EBC" w:rsidRPr="00B71273">
        <w:rPr>
          <w:rFonts w:ascii="Calibri" w:hAnsi="Calibri"/>
        </w:rPr>
        <w:t xml:space="preserve"> </w:t>
      </w:r>
      <w:r>
        <w:rPr>
          <w:rFonts w:ascii="Calibri" w:hAnsi="Calibri"/>
        </w:rPr>
        <w:t>protection</w:t>
      </w:r>
      <w:r w:rsidR="004E5EBC" w:rsidRPr="00B71273">
        <w:rPr>
          <w:rFonts w:ascii="Calibri" w:hAnsi="Calibri"/>
        </w:rPr>
        <w:t xml:space="preserve"> in situations of </w:t>
      </w:r>
      <w:r w:rsidR="004E5EBC" w:rsidRPr="00B71273">
        <w:rPr>
          <w:rFonts w:ascii="Calibri" w:hAnsi="Calibri"/>
        </w:rPr>
        <w:lastRenderedPageBreak/>
        <w:t>armed conflict;</w:t>
      </w:r>
      <w:r w:rsidR="004E5EBC" w:rsidRPr="00B71273">
        <w:rPr>
          <w:rStyle w:val="FootnoteReference"/>
          <w:rFonts w:ascii="Calibri" w:hAnsi="Calibri"/>
        </w:rPr>
        <w:footnoteReference w:id="93"/>
      </w:r>
      <w:r w:rsidR="004E5EBC" w:rsidRPr="00B71273">
        <w:rPr>
          <w:rFonts w:ascii="Calibri" w:hAnsi="Calibri"/>
        </w:rPr>
        <w:t xml:space="preserve"> </w:t>
      </w:r>
      <w:r>
        <w:rPr>
          <w:rFonts w:ascii="Calibri" w:hAnsi="Calibri"/>
        </w:rPr>
        <w:t xml:space="preserve">and </w:t>
      </w:r>
      <w:r w:rsidR="005135B6">
        <w:rPr>
          <w:rFonts w:ascii="Calibri" w:hAnsi="Calibri"/>
        </w:rPr>
        <w:t>protecting</w:t>
      </w:r>
      <w:r>
        <w:rPr>
          <w:rFonts w:ascii="Calibri" w:hAnsi="Calibri"/>
        </w:rPr>
        <w:t xml:space="preserve"> refugees</w:t>
      </w:r>
      <w:r w:rsidR="004E5EBC" w:rsidRPr="00B71273">
        <w:rPr>
          <w:rFonts w:ascii="Calibri" w:hAnsi="Calibri"/>
        </w:rPr>
        <w:t>.</w:t>
      </w:r>
      <w:r w:rsidR="004E5EBC" w:rsidRPr="00B71273">
        <w:rPr>
          <w:rStyle w:val="FootnoteReference"/>
          <w:rFonts w:ascii="Calibri" w:hAnsi="Calibri"/>
        </w:rPr>
        <w:footnoteReference w:id="94"/>
      </w:r>
      <w:r w:rsidR="004E5EBC" w:rsidRPr="00B71273">
        <w:rPr>
          <w:rFonts w:ascii="Calibri" w:hAnsi="Calibri"/>
        </w:rPr>
        <w:t xml:space="preserve"> However, the BPfA also prioritizes </w:t>
      </w:r>
      <w:r w:rsidR="00415DA2">
        <w:rPr>
          <w:rFonts w:ascii="Calibri" w:hAnsi="Calibri"/>
        </w:rPr>
        <w:t>prevent</w:t>
      </w:r>
      <w:r>
        <w:rPr>
          <w:rFonts w:ascii="Calibri" w:hAnsi="Calibri"/>
        </w:rPr>
        <w:t>ing</w:t>
      </w:r>
      <w:r w:rsidR="004E5EBC" w:rsidRPr="00B71273">
        <w:rPr>
          <w:rFonts w:ascii="Calibri" w:hAnsi="Calibri"/>
        </w:rPr>
        <w:t xml:space="preserve"> conflict and demilitarisation by calling for a reduction of excessive military spending, and control of </w:t>
      </w:r>
      <w:r>
        <w:rPr>
          <w:rFonts w:ascii="Calibri" w:hAnsi="Calibri"/>
        </w:rPr>
        <w:t>the arms trade</w:t>
      </w:r>
      <w:r w:rsidR="004E5EBC" w:rsidRPr="00B71273">
        <w:rPr>
          <w:rFonts w:ascii="Calibri" w:hAnsi="Calibri"/>
        </w:rPr>
        <w:t>.</w:t>
      </w:r>
      <w:r w:rsidR="004E5EBC" w:rsidRPr="00B71273">
        <w:rPr>
          <w:rStyle w:val="FootnoteReference"/>
          <w:rFonts w:ascii="Calibri" w:hAnsi="Calibri"/>
        </w:rPr>
        <w:footnoteReference w:id="95"/>
      </w:r>
      <w:r w:rsidR="004E5EBC" w:rsidRPr="00B71273">
        <w:rPr>
          <w:rFonts w:ascii="Calibri" w:hAnsi="Calibri"/>
        </w:rPr>
        <w:t xml:space="preserve"> Conversely, SCR 1325 focuses on </w:t>
      </w:r>
      <w:r w:rsidR="00D43CEA">
        <w:rPr>
          <w:rFonts w:ascii="Calibri" w:hAnsi="Calibri"/>
        </w:rPr>
        <w:t>making</w:t>
      </w:r>
      <w:r w:rsidR="004E5EBC" w:rsidRPr="00B71273">
        <w:rPr>
          <w:rFonts w:ascii="Calibri" w:hAnsi="Calibri"/>
        </w:rPr>
        <w:t xml:space="preserve"> conflict safer for women</w:t>
      </w:r>
      <w:r>
        <w:rPr>
          <w:rFonts w:ascii="Calibri" w:hAnsi="Calibri"/>
        </w:rPr>
        <w:t>, rather than considering the links between arms</w:t>
      </w:r>
      <w:r w:rsidR="00D43CEA">
        <w:rPr>
          <w:rFonts w:ascii="Calibri" w:hAnsi="Calibri"/>
        </w:rPr>
        <w:t xml:space="preserve"> trading</w:t>
      </w:r>
      <w:r>
        <w:rPr>
          <w:rFonts w:ascii="Calibri" w:hAnsi="Calibri"/>
        </w:rPr>
        <w:t>, militarization and conflict.</w:t>
      </w:r>
      <w:r w:rsidR="004E5EBC" w:rsidRPr="00B71273">
        <w:rPr>
          <w:rStyle w:val="FootnoteReference"/>
          <w:rFonts w:ascii="Calibri" w:hAnsi="Calibri"/>
        </w:rPr>
        <w:footnoteReference w:id="96"/>
      </w:r>
      <w:r w:rsidR="004E5EBC" w:rsidRPr="00B71273">
        <w:rPr>
          <w:rFonts w:ascii="Calibri" w:hAnsi="Calibri"/>
        </w:rPr>
        <w:t xml:space="preserve"> </w:t>
      </w:r>
    </w:p>
    <w:p w14:paraId="0E7B5DF8" w14:textId="77777777" w:rsidR="004E5EBC" w:rsidRDefault="004E5EBC" w:rsidP="004E5EBC">
      <w:pPr>
        <w:jc w:val="both"/>
        <w:rPr>
          <w:rFonts w:ascii="Calibri" w:hAnsi="Calibri"/>
        </w:rPr>
      </w:pPr>
    </w:p>
    <w:p w14:paraId="2DD0B242" w14:textId="48A463BB" w:rsidR="004E5EBC" w:rsidRDefault="004E5EBC" w:rsidP="00B27D2A">
      <w:pPr>
        <w:spacing w:line="360" w:lineRule="auto"/>
        <w:jc w:val="both"/>
        <w:rPr>
          <w:rFonts w:ascii="Calibri" w:hAnsi="Calibri"/>
        </w:rPr>
      </w:pPr>
      <w:r w:rsidRPr="00B71273">
        <w:rPr>
          <w:rFonts w:ascii="Calibri" w:hAnsi="Calibri"/>
        </w:rPr>
        <w:t>The BPfA</w:t>
      </w:r>
      <w:r w:rsidR="005135B6">
        <w:rPr>
          <w:rFonts w:ascii="Calibri" w:hAnsi="Calibri"/>
        </w:rPr>
        <w:t>’s</w:t>
      </w:r>
      <w:r w:rsidRPr="00B71273">
        <w:rPr>
          <w:rFonts w:ascii="Calibri" w:hAnsi="Calibri"/>
        </w:rPr>
        <w:t xml:space="preserve"> </w:t>
      </w:r>
      <w:r>
        <w:rPr>
          <w:rFonts w:ascii="Calibri" w:hAnsi="Calibri"/>
        </w:rPr>
        <w:t xml:space="preserve">critical area of concern </w:t>
      </w:r>
      <w:r w:rsidRPr="00B71273">
        <w:rPr>
          <w:rFonts w:ascii="Calibri" w:hAnsi="Calibri"/>
        </w:rPr>
        <w:t xml:space="preserve">on </w:t>
      </w:r>
      <w:r w:rsidR="00FF355E" w:rsidRPr="00B27D2A">
        <w:rPr>
          <w:rFonts w:ascii="Calibri" w:hAnsi="Calibri"/>
          <w:b/>
          <w:color w:val="4F81BD" w:themeColor="accent1"/>
        </w:rPr>
        <w:t>violence against women</w:t>
      </w:r>
      <w:r w:rsidRPr="00B71273">
        <w:rPr>
          <w:rFonts w:ascii="Calibri" w:hAnsi="Calibri"/>
        </w:rPr>
        <w:t xml:space="preserve"> establishes similarly ambitious objectives</w:t>
      </w:r>
      <w:r w:rsidR="00FF355E">
        <w:rPr>
          <w:rFonts w:ascii="Calibri" w:hAnsi="Calibri"/>
        </w:rPr>
        <w:t xml:space="preserve"> to prevent</w:t>
      </w:r>
      <w:r w:rsidRPr="00B71273">
        <w:rPr>
          <w:rFonts w:ascii="Calibri" w:hAnsi="Calibri"/>
        </w:rPr>
        <w:t xml:space="preserve"> and elim</w:t>
      </w:r>
      <w:r w:rsidR="00FF355E">
        <w:rPr>
          <w:rFonts w:ascii="Calibri" w:hAnsi="Calibri"/>
        </w:rPr>
        <w:t xml:space="preserve">inate </w:t>
      </w:r>
      <w:r>
        <w:rPr>
          <w:rFonts w:ascii="Calibri" w:hAnsi="Calibri"/>
        </w:rPr>
        <w:t xml:space="preserve">violence against women </w:t>
      </w:r>
      <w:r w:rsidRPr="00B71273">
        <w:rPr>
          <w:rFonts w:ascii="Calibri" w:hAnsi="Calibri"/>
        </w:rPr>
        <w:t xml:space="preserve">in conflict and non-conflict </w:t>
      </w:r>
      <w:r>
        <w:rPr>
          <w:rFonts w:ascii="Calibri" w:hAnsi="Calibri"/>
        </w:rPr>
        <w:t>setting</w:t>
      </w:r>
      <w:r w:rsidRPr="00B71273">
        <w:rPr>
          <w:rFonts w:ascii="Calibri" w:hAnsi="Calibri"/>
        </w:rPr>
        <w:t xml:space="preserve">s. </w:t>
      </w:r>
      <w:r w:rsidR="00262E65">
        <w:rPr>
          <w:rFonts w:ascii="Calibri" w:hAnsi="Calibri"/>
        </w:rPr>
        <w:t>T</w:t>
      </w:r>
      <w:r w:rsidRPr="00B71273">
        <w:rPr>
          <w:rFonts w:ascii="Calibri" w:hAnsi="Calibri"/>
        </w:rPr>
        <w:t xml:space="preserve">he BPfA articulates a much deeper, more expansive set of goals </w:t>
      </w:r>
      <w:r w:rsidR="00262E65">
        <w:rPr>
          <w:rFonts w:ascii="Calibri" w:hAnsi="Calibri"/>
        </w:rPr>
        <w:t>than SCR 1325</w:t>
      </w:r>
      <w:r w:rsidR="00FF355E">
        <w:rPr>
          <w:rFonts w:ascii="Calibri" w:hAnsi="Calibri"/>
        </w:rPr>
        <w:t xml:space="preserve"> regarding violence</w:t>
      </w:r>
      <w:r w:rsidRPr="00B71273">
        <w:rPr>
          <w:rFonts w:ascii="Calibri" w:hAnsi="Calibri"/>
        </w:rPr>
        <w:t xml:space="preserve">. </w:t>
      </w:r>
      <w:r w:rsidR="00FF355E">
        <w:rPr>
          <w:rFonts w:ascii="Calibri" w:hAnsi="Calibri"/>
        </w:rPr>
        <w:t>Reflecting the CEDAW GR No. 19</w:t>
      </w:r>
      <w:r w:rsidR="00D43CEA">
        <w:rPr>
          <w:rFonts w:ascii="Calibri" w:hAnsi="Calibri"/>
        </w:rPr>
        <w:t xml:space="preserve">, the BPfA </w:t>
      </w:r>
      <w:r w:rsidRPr="00B71273">
        <w:rPr>
          <w:rFonts w:ascii="Calibri" w:hAnsi="Calibri"/>
        </w:rPr>
        <w:t>defines violence very broadly, to include any gender-based act of violence that results (or can result) in harm to women, be it physical, sexual, or psychological, including threats of such acts.</w:t>
      </w:r>
      <w:r w:rsidRPr="00B71273">
        <w:rPr>
          <w:rStyle w:val="FootnoteReference"/>
          <w:rFonts w:ascii="Calibri" w:hAnsi="Calibri"/>
        </w:rPr>
        <w:footnoteReference w:id="97"/>
      </w:r>
      <w:r w:rsidRPr="00B71273">
        <w:rPr>
          <w:rFonts w:ascii="Calibri" w:hAnsi="Calibri"/>
        </w:rPr>
        <w:t xml:space="preserve"> </w:t>
      </w:r>
      <w:r w:rsidR="00071BFC">
        <w:rPr>
          <w:rFonts w:ascii="Calibri" w:hAnsi="Calibri"/>
        </w:rPr>
        <w:t xml:space="preserve">The BPfA </w:t>
      </w:r>
      <w:r w:rsidRPr="00B71273">
        <w:rPr>
          <w:rFonts w:ascii="Calibri" w:hAnsi="Calibri"/>
        </w:rPr>
        <w:t xml:space="preserve">sets out three nuanced strategic objectives for all levels of government, NGOs, international organizations, and the mass media, to eliminate </w:t>
      </w:r>
      <w:r w:rsidR="00262E65">
        <w:rPr>
          <w:rFonts w:ascii="Calibri" w:hAnsi="Calibri"/>
        </w:rPr>
        <w:t xml:space="preserve">violence, </w:t>
      </w:r>
      <w:r w:rsidRPr="00B71273">
        <w:rPr>
          <w:rFonts w:ascii="Calibri" w:hAnsi="Calibri"/>
        </w:rPr>
        <w:t>namely: 1) the adoption by governments of integrated measures to prevent and eliminate violence against women;</w:t>
      </w:r>
      <w:r w:rsidRPr="00B71273">
        <w:rPr>
          <w:rStyle w:val="FootnoteReference"/>
          <w:rFonts w:ascii="Calibri" w:hAnsi="Calibri"/>
        </w:rPr>
        <w:footnoteReference w:id="98"/>
      </w:r>
      <w:r w:rsidRPr="00B71273">
        <w:rPr>
          <w:rFonts w:ascii="Calibri" w:hAnsi="Calibri"/>
        </w:rPr>
        <w:t xml:space="preserve"> 2) the study of the causes and consequences of violence against women and the effectiveness of preventive measures;</w:t>
      </w:r>
      <w:r w:rsidRPr="00B71273">
        <w:rPr>
          <w:rStyle w:val="FootnoteReference"/>
          <w:rFonts w:ascii="Calibri" w:hAnsi="Calibri"/>
        </w:rPr>
        <w:footnoteReference w:id="99"/>
      </w:r>
      <w:r w:rsidRPr="00B71273">
        <w:rPr>
          <w:rFonts w:ascii="Calibri" w:hAnsi="Calibri"/>
        </w:rPr>
        <w:t xml:space="preserve"> and 3) the elimination of trafficking in women and assistance for victims of violence due to prostitution and trafficking.</w:t>
      </w:r>
      <w:r w:rsidRPr="00B71273">
        <w:rPr>
          <w:rStyle w:val="FootnoteReference"/>
          <w:rFonts w:ascii="Calibri" w:hAnsi="Calibri"/>
        </w:rPr>
        <w:footnoteReference w:id="100"/>
      </w:r>
      <w:r w:rsidRPr="00B71273">
        <w:rPr>
          <w:rFonts w:ascii="Calibri" w:hAnsi="Calibri"/>
        </w:rPr>
        <w:t xml:space="preserve"> </w:t>
      </w:r>
    </w:p>
    <w:p w14:paraId="3A536C89" w14:textId="77777777" w:rsidR="004E5EBC" w:rsidRPr="00A10B53" w:rsidRDefault="004E5EBC" w:rsidP="004E5EBC">
      <w:pPr>
        <w:jc w:val="both"/>
        <w:rPr>
          <w:rFonts w:ascii="Calibri" w:hAnsi="Calibri"/>
        </w:rPr>
      </w:pPr>
    </w:p>
    <w:p w14:paraId="6A02B94D" w14:textId="02EA95C6" w:rsidR="004E5CB0" w:rsidRPr="00B27D2A" w:rsidRDefault="00D43CEA" w:rsidP="004E5CB0">
      <w:pPr>
        <w:jc w:val="both"/>
        <w:rPr>
          <w:rFonts w:ascii="Calibri" w:eastAsia="Times New Roman" w:hAnsi="Calibri" w:cs="Times New Roman"/>
          <w:color w:val="1F497D" w:themeColor="text2"/>
        </w:rPr>
      </w:pPr>
      <w:r w:rsidRPr="00B27D2A">
        <w:rPr>
          <w:rFonts w:ascii="Calibri" w:eastAsia="Times New Roman" w:hAnsi="Calibri" w:cs="Times New Roman"/>
          <w:b/>
          <w:bCs/>
          <w:color w:val="1F497D" w:themeColor="text2"/>
          <w:u w:val="single"/>
        </w:rPr>
        <w:t>The UN</w:t>
      </w:r>
      <w:r w:rsidR="004E5CB0" w:rsidRPr="00B27D2A">
        <w:rPr>
          <w:rFonts w:ascii="Calibri" w:eastAsia="Times New Roman" w:hAnsi="Calibri" w:cs="Times New Roman"/>
          <w:b/>
          <w:bCs/>
          <w:color w:val="1F497D" w:themeColor="text2"/>
          <w:u w:val="single"/>
        </w:rPr>
        <w:t xml:space="preserve"> General Assembly Outcome Document on “Women, Development and Peace”</w:t>
      </w:r>
      <w:r w:rsidR="000813FB" w:rsidRPr="00B27D2A">
        <w:rPr>
          <w:rFonts w:ascii="Calibri" w:eastAsia="Times New Roman" w:hAnsi="Calibri" w:cs="Times New Roman"/>
          <w:b/>
          <w:bCs/>
          <w:color w:val="1F497D" w:themeColor="text2"/>
          <w:u w:val="single"/>
        </w:rPr>
        <w:t>, 2000</w:t>
      </w:r>
      <w:r w:rsidR="004E5CB0" w:rsidRPr="00B27D2A">
        <w:rPr>
          <w:rFonts w:ascii="Calibri" w:eastAsia="Times New Roman" w:hAnsi="Calibri" w:cs="Times New Roman"/>
          <w:b/>
          <w:bCs/>
          <w:color w:val="1F497D" w:themeColor="text2"/>
          <w:u w:val="single"/>
        </w:rPr>
        <w:t> </w:t>
      </w:r>
    </w:p>
    <w:p w14:paraId="058BA88D" w14:textId="77777777" w:rsidR="004E5CB0" w:rsidRPr="004E5CB0" w:rsidRDefault="004E5CB0" w:rsidP="004E5CB0">
      <w:pPr>
        <w:jc w:val="both"/>
        <w:rPr>
          <w:rFonts w:ascii="Calibri" w:eastAsia="Times New Roman" w:hAnsi="Calibri" w:cs="Times New Roman"/>
          <w:color w:val="000000"/>
        </w:rPr>
      </w:pPr>
    </w:p>
    <w:p w14:paraId="2A173A3C" w14:textId="3D956E91" w:rsidR="00865EA7" w:rsidRDefault="000F100C" w:rsidP="00B27D2A">
      <w:pPr>
        <w:spacing w:line="360" w:lineRule="auto"/>
        <w:jc w:val="both"/>
        <w:rPr>
          <w:rFonts w:ascii="Calibri" w:hAnsi="Calibri"/>
        </w:rPr>
      </w:pPr>
      <w:r>
        <w:rPr>
          <w:rFonts w:ascii="Calibri" w:hAnsi="Calibri"/>
        </w:rPr>
        <w:t>The UNGA Outcome Document</w:t>
      </w:r>
      <w:r w:rsidR="00071BFC">
        <w:rPr>
          <w:rStyle w:val="FootnoteReference"/>
          <w:rFonts w:ascii="Calibri" w:hAnsi="Calibri"/>
        </w:rPr>
        <w:footnoteReference w:id="101"/>
      </w:r>
      <w:r>
        <w:rPr>
          <w:rFonts w:ascii="Calibri" w:hAnsi="Calibri"/>
        </w:rPr>
        <w:t xml:space="preserve"> also provides a useful blueprint for action, </w:t>
      </w:r>
      <w:r w:rsidR="00D43CEA">
        <w:rPr>
          <w:rFonts w:ascii="Calibri" w:hAnsi="Calibri"/>
        </w:rPr>
        <w:t xml:space="preserve">which in </w:t>
      </w:r>
      <w:r w:rsidR="004E5CB0" w:rsidRPr="004E5CB0">
        <w:rPr>
          <w:rFonts w:ascii="Calibri" w:hAnsi="Calibri"/>
        </w:rPr>
        <w:t xml:space="preserve">contrast to SCR 1325, </w:t>
      </w:r>
      <w:r w:rsidR="00071BFC">
        <w:rPr>
          <w:rFonts w:ascii="Calibri" w:hAnsi="Calibri"/>
        </w:rPr>
        <w:t>contains recommendations</w:t>
      </w:r>
      <w:r w:rsidR="004E5CB0" w:rsidRPr="004E5CB0">
        <w:rPr>
          <w:rFonts w:ascii="Calibri" w:hAnsi="Calibri"/>
        </w:rPr>
        <w:t xml:space="preserve"> on </w:t>
      </w:r>
      <w:r w:rsidR="004E5CB0" w:rsidRPr="00B27D2A">
        <w:rPr>
          <w:rFonts w:ascii="Calibri" w:hAnsi="Calibri"/>
          <w:b/>
          <w:color w:val="4F81BD" w:themeColor="accent1"/>
          <w:sz w:val="26"/>
          <w:szCs w:val="26"/>
        </w:rPr>
        <w:t>violence against women in peacetime</w:t>
      </w:r>
      <w:r w:rsidR="00865EA7" w:rsidRPr="00B27D2A">
        <w:rPr>
          <w:rFonts w:ascii="Calibri" w:hAnsi="Calibri"/>
          <w:color w:val="4F81BD" w:themeColor="accent1"/>
          <w:sz w:val="26"/>
          <w:szCs w:val="26"/>
        </w:rPr>
        <w:t xml:space="preserve"> and </w:t>
      </w:r>
      <w:r w:rsidR="00865EA7" w:rsidRPr="00B27D2A">
        <w:rPr>
          <w:rFonts w:ascii="Calibri" w:hAnsi="Calibri"/>
          <w:b/>
          <w:color w:val="4F81BD" w:themeColor="accent1"/>
          <w:sz w:val="26"/>
          <w:szCs w:val="26"/>
        </w:rPr>
        <w:t>refugees and IDPs</w:t>
      </w:r>
      <w:r w:rsidR="00D43CEA">
        <w:rPr>
          <w:rFonts w:ascii="Calibri" w:hAnsi="Calibri"/>
        </w:rPr>
        <w:t xml:space="preserve"> that should form part of an integrated understanding of the Security Council resolutions on women, peace and security.</w:t>
      </w:r>
      <w:r w:rsidR="00865EA7">
        <w:rPr>
          <w:rFonts w:ascii="Calibri" w:hAnsi="Calibri"/>
        </w:rPr>
        <w:t xml:space="preserve"> Like the BPfA, the </w:t>
      </w:r>
      <w:r w:rsidR="00865EA7" w:rsidRPr="004E5CB0">
        <w:rPr>
          <w:rFonts w:ascii="Calibri" w:hAnsi="Calibri"/>
        </w:rPr>
        <w:t xml:space="preserve">Document makes several key points not </w:t>
      </w:r>
      <w:r w:rsidR="00D43CEA">
        <w:rPr>
          <w:rFonts w:ascii="Calibri" w:hAnsi="Calibri"/>
        </w:rPr>
        <w:t>addressed</w:t>
      </w:r>
      <w:r w:rsidR="00865EA7" w:rsidRPr="004E5CB0">
        <w:rPr>
          <w:rFonts w:ascii="Calibri" w:hAnsi="Calibri"/>
        </w:rPr>
        <w:t xml:space="preserve"> in SCR 1325</w:t>
      </w:r>
      <w:r w:rsidR="00865EA7">
        <w:rPr>
          <w:rFonts w:ascii="Calibri" w:hAnsi="Calibri"/>
        </w:rPr>
        <w:t xml:space="preserve"> and its related resolutions</w:t>
      </w:r>
      <w:r w:rsidR="00D43CEA">
        <w:rPr>
          <w:rFonts w:ascii="Calibri" w:hAnsi="Calibri"/>
        </w:rPr>
        <w:t xml:space="preserve">. It recognizes: the inextricable links between peace, </w:t>
      </w:r>
      <w:r w:rsidR="00865EA7" w:rsidRPr="004E5CB0">
        <w:rPr>
          <w:rFonts w:ascii="Calibri" w:hAnsi="Calibri"/>
        </w:rPr>
        <w:t>equality between women and men and development;</w:t>
      </w:r>
      <w:r w:rsidR="00865EA7" w:rsidRPr="004E5CB0">
        <w:rPr>
          <w:rStyle w:val="FootnoteReference"/>
          <w:rFonts w:ascii="Calibri" w:hAnsi="Calibri"/>
        </w:rPr>
        <w:footnoteReference w:id="102"/>
      </w:r>
      <w:r w:rsidR="00865EA7" w:rsidRPr="004E5CB0">
        <w:rPr>
          <w:rFonts w:ascii="Calibri" w:hAnsi="Calibri"/>
        </w:rPr>
        <w:t xml:space="preserve"> the impact of armed conflict on the increasing level of female-headed households;</w:t>
      </w:r>
      <w:r w:rsidR="00865EA7" w:rsidRPr="004E5CB0">
        <w:rPr>
          <w:rStyle w:val="FootnoteReference"/>
          <w:rFonts w:ascii="Calibri" w:hAnsi="Calibri"/>
        </w:rPr>
        <w:footnoteReference w:id="103"/>
      </w:r>
      <w:r w:rsidR="00865EA7" w:rsidRPr="004E5CB0">
        <w:rPr>
          <w:rFonts w:ascii="Calibri" w:hAnsi="Calibri"/>
        </w:rPr>
        <w:t xml:space="preserve"> </w:t>
      </w:r>
      <w:r w:rsidR="00865EA7" w:rsidRPr="004E5CB0">
        <w:rPr>
          <w:rFonts w:ascii="Calibri" w:hAnsi="Calibri"/>
        </w:rPr>
        <w:lastRenderedPageBreak/>
        <w:t xml:space="preserve">and </w:t>
      </w:r>
      <w:r w:rsidR="00865EA7">
        <w:rPr>
          <w:rFonts w:ascii="Calibri" w:hAnsi="Calibri"/>
        </w:rPr>
        <w:t>that</w:t>
      </w:r>
      <w:r w:rsidR="00865EA7" w:rsidRPr="004E5CB0">
        <w:rPr>
          <w:rFonts w:ascii="Calibri" w:hAnsi="Calibri"/>
        </w:rPr>
        <w:t xml:space="preserve"> excessive military expenditures detract from the social and economic development of women by diverting funds.</w:t>
      </w:r>
      <w:r w:rsidR="00865EA7" w:rsidRPr="004E5CB0">
        <w:rPr>
          <w:rStyle w:val="FootnoteReference"/>
          <w:rFonts w:ascii="Calibri" w:hAnsi="Calibri"/>
        </w:rPr>
        <w:footnoteReference w:id="104"/>
      </w:r>
      <w:r w:rsidR="00865EA7" w:rsidRPr="004E5CB0">
        <w:rPr>
          <w:rFonts w:ascii="Calibri" w:hAnsi="Calibri"/>
        </w:rPr>
        <w:t xml:space="preserve"> </w:t>
      </w:r>
    </w:p>
    <w:p w14:paraId="2854C0A8" w14:textId="77777777" w:rsidR="00865EA7" w:rsidRDefault="00865EA7" w:rsidP="004E5CB0">
      <w:pPr>
        <w:jc w:val="both"/>
        <w:rPr>
          <w:rFonts w:ascii="Calibri" w:hAnsi="Calibri"/>
        </w:rPr>
      </w:pPr>
    </w:p>
    <w:p w14:paraId="777C6EC8" w14:textId="7221756E" w:rsidR="00865EA7" w:rsidRDefault="00865EA7" w:rsidP="00B27D2A">
      <w:pPr>
        <w:spacing w:line="360" w:lineRule="auto"/>
        <w:jc w:val="both"/>
        <w:rPr>
          <w:rFonts w:ascii="Calibri" w:hAnsi="Calibri"/>
        </w:rPr>
      </w:pPr>
      <w:r>
        <w:rPr>
          <w:rFonts w:ascii="Calibri" w:hAnsi="Calibri"/>
        </w:rPr>
        <w:t>The</w:t>
      </w:r>
      <w:r w:rsidR="004E5CB0" w:rsidRPr="004E5CB0">
        <w:rPr>
          <w:rFonts w:ascii="Calibri" w:hAnsi="Calibri"/>
        </w:rPr>
        <w:t xml:space="preserve"> Document recognizes </w:t>
      </w:r>
      <w:r>
        <w:rPr>
          <w:rFonts w:ascii="Calibri" w:hAnsi="Calibri"/>
        </w:rPr>
        <w:t xml:space="preserve">progress on addressing </w:t>
      </w:r>
      <w:r w:rsidRPr="00B27D2A">
        <w:rPr>
          <w:rFonts w:ascii="Calibri" w:hAnsi="Calibri"/>
          <w:b/>
          <w:color w:val="4F81BD" w:themeColor="accent1"/>
        </w:rPr>
        <w:t>violence against women</w:t>
      </w:r>
      <w:r w:rsidR="000F100C">
        <w:rPr>
          <w:rFonts w:ascii="Calibri" w:hAnsi="Calibri"/>
        </w:rPr>
        <w:t>, notably reforms</w:t>
      </w:r>
      <w:r w:rsidR="004E5CB0" w:rsidRPr="004E5CB0">
        <w:rPr>
          <w:rFonts w:ascii="Calibri" w:hAnsi="Calibri"/>
        </w:rPr>
        <w:t xml:space="preserve"> by governments;</w:t>
      </w:r>
      <w:r w:rsidR="004E5CB0" w:rsidRPr="004E5CB0">
        <w:rPr>
          <w:rStyle w:val="FootnoteReference"/>
          <w:rFonts w:ascii="Calibri" w:hAnsi="Calibri"/>
        </w:rPr>
        <w:footnoteReference w:id="105"/>
      </w:r>
      <w:r w:rsidR="004E5CB0" w:rsidRPr="004E5CB0">
        <w:rPr>
          <w:rFonts w:ascii="Calibri" w:hAnsi="Calibri"/>
        </w:rPr>
        <w:t xml:space="preserve"> increased research and specialized studies on gender roles;</w:t>
      </w:r>
      <w:r w:rsidR="004E5CB0" w:rsidRPr="004E5CB0">
        <w:rPr>
          <w:rStyle w:val="FootnoteReference"/>
          <w:rFonts w:ascii="Calibri" w:hAnsi="Calibri"/>
        </w:rPr>
        <w:footnoteReference w:id="106"/>
      </w:r>
      <w:r w:rsidR="004E5CB0" w:rsidRPr="004E5CB0">
        <w:rPr>
          <w:rFonts w:ascii="Calibri" w:hAnsi="Calibri"/>
        </w:rPr>
        <w:t xml:space="preserve"> efforts </w:t>
      </w:r>
      <w:r w:rsidR="000F100C">
        <w:rPr>
          <w:rFonts w:ascii="Calibri" w:hAnsi="Calibri"/>
        </w:rPr>
        <w:t>to eradicate</w:t>
      </w:r>
      <w:r w:rsidR="004E5CB0" w:rsidRPr="004E5CB0">
        <w:rPr>
          <w:rFonts w:ascii="Calibri" w:hAnsi="Calibri"/>
        </w:rPr>
        <w:t xml:space="preserve"> harmful traditional practices, including female genital mutilation and the appointment of the Special Ambassador for the Elimination of Female Genital Mutilation by the United Nations Population Fund.</w:t>
      </w:r>
      <w:r w:rsidR="004E5CB0" w:rsidRPr="004E5CB0">
        <w:rPr>
          <w:rStyle w:val="FootnoteReference"/>
          <w:rFonts w:ascii="Calibri" w:hAnsi="Calibri"/>
        </w:rPr>
        <w:footnoteReference w:id="107"/>
      </w:r>
      <w:r w:rsidR="004E5CB0" w:rsidRPr="004E5CB0">
        <w:rPr>
          <w:rFonts w:ascii="Calibri" w:hAnsi="Calibri"/>
        </w:rPr>
        <w:t xml:space="preserve"> The many forms that violence can take are </w:t>
      </w:r>
      <w:r w:rsidR="00FF355E">
        <w:rPr>
          <w:rFonts w:ascii="Calibri" w:hAnsi="Calibri"/>
        </w:rPr>
        <w:t>elaborated on,</w:t>
      </w:r>
      <w:r w:rsidR="004E5CB0" w:rsidRPr="004E5CB0">
        <w:rPr>
          <w:rFonts w:ascii="Calibri" w:hAnsi="Calibri"/>
        </w:rPr>
        <w:t xml:space="preserve"> such as “physical, sexual and psychological violence occurring in the family, including battering, sexual abuse of female children in the household, dowry-related violence, marital rape, female genital mutilation and other traditional practices harmful to women, non-spousal violence and violence related to exploitation.”</w:t>
      </w:r>
      <w:r w:rsidR="004E5CB0" w:rsidRPr="004E5CB0">
        <w:rPr>
          <w:rStyle w:val="FootnoteReference"/>
          <w:rFonts w:ascii="Calibri" w:hAnsi="Calibri"/>
        </w:rPr>
        <w:footnoteReference w:id="108"/>
      </w:r>
      <w:r w:rsidR="004E5CB0" w:rsidRPr="004E5CB0">
        <w:rPr>
          <w:rFonts w:ascii="Calibri" w:hAnsi="Calibri"/>
        </w:rPr>
        <w:t xml:space="preserve"> </w:t>
      </w:r>
      <w:r w:rsidR="00071BFC">
        <w:rPr>
          <w:rFonts w:ascii="Calibri" w:hAnsi="Calibri"/>
        </w:rPr>
        <w:t>The Document notes problems</w:t>
      </w:r>
      <w:r w:rsidR="004E5CB0" w:rsidRPr="004E5CB0">
        <w:rPr>
          <w:rFonts w:ascii="Calibri" w:hAnsi="Calibri"/>
        </w:rPr>
        <w:t xml:space="preserve"> </w:t>
      </w:r>
      <w:r w:rsidR="000F100C">
        <w:rPr>
          <w:rFonts w:ascii="Calibri" w:hAnsi="Calibri"/>
        </w:rPr>
        <w:t>concerning</w:t>
      </w:r>
      <w:r w:rsidR="004E5CB0" w:rsidRPr="004E5CB0">
        <w:rPr>
          <w:rFonts w:ascii="Calibri" w:hAnsi="Calibri"/>
        </w:rPr>
        <w:t xml:space="preserve"> the use of new information and communication technologies for trafficking in women and children and for economic and sexual exploitation.</w:t>
      </w:r>
      <w:r w:rsidR="004E5CB0" w:rsidRPr="004E5CB0">
        <w:rPr>
          <w:rStyle w:val="FootnoteReference"/>
          <w:rFonts w:ascii="Calibri" w:hAnsi="Calibri"/>
        </w:rPr>
        <w:footnoteReference w:id="109"/>
      </w:r>
      <w:r w:rsidR="004E5CB0" w:rsidRPr="004E5CB0">
        <w:rPr>
          <w:rFonts w:ascii="Calibri" w:hAnsi="Calibri"/>
        </w:rPr>
        <w:t xml:space="preserve">  </w:t>
      </w:r>
    </w:p>
    <w:p w14:paraId="16ED48DA" w14:textId="77777777" w:rsidR="00865EA7" w:rsidRDefault="00865EA7" w:rsidP="004E5CB0">
      <w:pPr>
        <w:jc w:val="both"/>
        <w:rPr>
          <w:rFonts w:ascii="Calibri" w:hAnsi="Calibri"/>
        </w:rPr>
      </w:pPr>
    </w:p>
    <w:p w14:paraId="15140FEC" w14:textId="7BB2D6F4" w:rsidR="004E5CB0" w:rsidRPr="004E5CB0" w:rsidRDefault="000F100C" w:rsidP="00B27D2A">
      <w:pPr>
        <w:spacing w:line="360" w:lineRule="auto"/>
        <w:jc w:val="both"/>
        <w:rPr>
          <w:rFonts w:ascii="Calibri" w:hAnsi="Calibri"/>
        </w:rPr>
      </w:pPr>
      <w:r>
        <w:rPr>
          <w:rFonts w:ascii="Calibri" w:hAnsi="Calibri"/>
        </w:rPr>
        <w:t>The</w:t>
      </w:r>
      <w:r w:rsidR="004E5CB0" w:rsidRPr="004E5CB0">
        <w:rPr>
          <w:rFonts w:ascii="Calibri" w:hAnsi="Calibri"/>
        </w:rPr>
        <w:t xml:space="preserve"> Document</w:t>
      </w:r>
      <w:r w:rsidR="00865EA7">
        <w:rPr>
          <w:rFonts w:ascii="Calibri" w:hAnsi="Calibri"/>
        </w:rPr>
        <w:t xml:space="preserve"> </w:t>
      </w:r>
      <w:r w:rsidR="004E5CB0" w:rsidRPr="004E5CB0">
        <w:rPr>
          <w:rFonts w:ascii="Calibri" w:hAnsi="Calibri"/>
        </w:rPr>
        <w:t xml:space="preserve">dedicates significant </w:t>
      </w:r>
      <w:r w:rsidR="00262E65">
        <w:rPr>
          <w:rFonts w:ascii="Calibri" w:hAnsi="Calibri"/>
        </w:rPr>
        <w:t>attention</w:t>
      </w:r>
      <w:r w:rsidR="004E5CB0" w:rsidRPr="004E5CB0">
        <w:rPr>
          <w:rFonts w:ascii="Calibri" w:hAnsi="Calibri"/>
        </w:rPr>
        <w:t xml:space="preserve"> to </w:t>
      </w:r>
      <w:r w:rsidRPr="00B27D2A">
        <w:rPr>
          <w:rFonts w:ascii="Calibri" w:hAnsi="Calibri"/>
          <w:b/>
          <w:color w:val="4F81BD" w:themeColor="accent1"/>
        </w:rPr>
        <w:t>refugees</w:t>
      </w:r>
      <w:r w:rsidR="00262E65" w:rsidRPr="00B27D2A">
        <w:rPr>
          <w:rFonts w:ascii="Calibri" w:hAnsi="Calibri"/>
          <w:b/>
          <w:color w:val="4F81BD" w:themeColor="accent1"/>
        </w:rPr>
        <w:t xml:space="preserve"> and IDPs</w:t>
      </w:r>
      <w:r w:rsidR="004E5CB0" w:rsidRPr="004E5CB0">
        <w:rPr>
          <w:rFonts w:ascii="Calibri" w:hAnsi="Calibri"/>
        </w:rPr>
        <w:t xml:space="preserve">. </w:t>
      </w:r>
      <w:r w:rsidR="00865EA7">
        <w:rPr>
          <w:rFonts w:ascii="Calibri" w:hAnsi="Calibri"/>
        </w:rPr>
        <w:t>Progress on</w:t>
      </w:r>
      <w:r w:rsidR="004E5CB0" w:rsidRPr="004E5CB0">
        <w:rPr>
          <w:rFonts w:ascii="Calibri" w:hAnsi="Calibri"/>
        </w:rPr>
        <w:t xml:space="preserve"> </w:t>
      </w:r>
      <w:r w:rsidR="00865EA7">
        <w:rPr>
          <w:rFonts w:ascii="Calibri" w:hAnsi="Calibri"/>
        </w:rPr>
        <w:t>disseminating and implementing</w:t>
      </w:r>
      <w:r w:rsidR="004E5CB0" w:rsidRPr="004E5CB0">
        <w:rPr>
          <w:rFonts w:ascii="Calibri" w:hAnsi="Calibri"/>
        </w:rPr>
        <w:t xml:space="preserve"> guidelines for the protection of refugee women, and in addressing the needs of displaced women</w:t>
      </w:r>
      <w:r w:rsidR="00865EA7">
        <w:rPr>
          <w:rFonts w:ascii="Calibri" w:hAnsi="Calibri"/>
        </w:rPr>
        <w:t>, is noted</w:t>
      </w:r>
      <w:r w:rsidR="004E5CB0" w:rsidRPr="004E5CB0">
        <w:rPr>
          <w:rFonts w:ascii="Calibri" w:hAnsi="Calibri"/>
        </w:rPr>
        <w:t>.</w:t>
      </w:r>
      <w:r w:rsidR="004E5CB0" w:rsidRPr="004E5CB0">
        <w:rPr>
          <w:rStyle w:val="FootnoteReference"/>
          <w:rFonts w:ascii="Calibri" w:hAnsi="Calibri"/>
        </w:rPr>
        <w:footnoteReference w:id="110"/>
      </w:r>
      <w:r w:rsidR="004E5CB0" w:rsidRPr="004E5CB0">
        <w:rPr>
          <w:rFonts w:ascii="Calibri" w:hAnsi="Calibri"/>
        </w:rPr>
        <w:t xml:space="preserve"> However </w:t>
      </w:r>
      <w:r w:rsidR="00865EA7">
        <w:rPr>
          <w:rFonts w:ascii="Calibri" w:hAnsi="Calibri"/>
        </w:rPr>
        <w:t>the Document also highlights</w:t>
      </w:r>
      <w:r w:rsidR="004E5CB0" w:rsidRPr="004E5CB0">
        <w:rPr>
          <w:rFonts w:ascii="Calibri" w:hAnsi="Calibri"/>
        </w:rPr>
        <w:t xml:space="preserve"> the shortcomings of international assistance with respect to the increasing number of refugees.</w:t>
      </w:r>
      <w:r w:rsidR="004E5CB0" w:rsidRPr="004E5CB0">
        <w:rPr>
          <w:rStyle w:val="FootnoteReference"/>
          <w:rFonts w:ascii="Calibri" w:hAnsi="Calibri"/>
        </w:rPr>
        <w:footnoteReference w:id="111"/>
      </w:r>
      <w:r w:rsidR="004E5CB0">
        <w:rPr>
          <w:rFonts w:ascii="Calibri" w:hAnsi="Calibri"/>
        </w:rPr>
        <w:t xml:space="preserve"> </w:t>
      </w:r>
    </w:p>
    <w:p w14:paraId="3DB394FF" w14:textId="77777777" w:rsidR="004E5CB0" w:rsidRPr="004E5CB0" w:rsidRDefault="004E5CB0" w:rsidP="004E5CB0">
      <w:pPr>
        <w:jc w:val="both"/>
        <w:rPr>
          <w:rFonts w:ascii="Calibri" w:eastAsia="Times New Roman" w:hAnsi="Calibri" w:cs="Times New Roman"/>
          <w:color w:val="000000"/>
        </w:rPr>
      </w:pPr>
    </w:p>
    <w:p w14:paraId="2D67C052" w14:textId="422B1FE3" w:rsidR="004E5CB0" w:rsidRPr="00B27D2A" w:rsidRDefault="00C90972" w:rsidP="004E5CB0">
      <w:pPr>
        <w:jc w:val="both"/>
        <w:rPr>
          <w:rFonts w:ascii="Calibri" w:eastAsia="Times New Roman" w:hAnsi="Calibri" w:cs="Times New Roman"/>
          <w:color w:val="1F497D" w:themeColor="text2"/>
        </w:rPr>
      </w:pPr>
      <w:r w:rsidRPr="00B27D2A">
        <w:rPr>
          <w:rFonts w:ascii="Calibri" w:eastAsia="Times New Roman" w:hAnsi="Calibri" w:cs="Times New Roman"/>
          <w:b/>
          <w:bCs/>
          <w:color w:val="1F497D" w:themeColor="text2"/>
          <w:u w:val="single"/>
        </w:rPr>
        <w:t>The Agreed Conclusions</w:t>
      </w:r>
      <w:r w:rsidR="00D43CEA" w:rsidRPr="00B27D2A">
        <w:rPr>
          <w:rFonts w:ascii="Calibri" w:eastAsia="Times New Roman" w:hAnsi="Calibri" w:cs="Times New Roman"/>
          <w:b/>
          <w:bCs/>
          <w:color w:val="1F497D" w:themeColor="text2"/>
          <w:u w:val="single"/>
        </w:rPr>
        <w:t xml:space="preserve"> of the Commission on the Status of Women,</w:t>
      </w:r>
      <w:r w:rsidRPr="00B27D2A">
        <w:rPr>
          <w:rFonts w:ascii="Calibri" w:eastAsia="Times New Roman" w:hAnsi="Calibri" w:cs="Times New Roman"/>
          <w:b/>
          <w:bCs/>
          <w:color w:val="1F497D" w:themeColor="text2"/>
          <w:u w:val="single"/>
        </w:rPr>
        <w:t xml:space="preserve"> 2013</w:t>
      </w:r>
    </w:p>
    <w:p w14:paraId="75C2994E" w14:textId="77777777" w:rsidR="002D0031" w:rsidRDefault="002D0031" w:rsidP="004E5CB0">
      <w:pPr>
        <w:jc w:val="both"/>
        <w:rPr>
          <w:rFonts w:ascii="Calibri" w:hAnsi="Calibri"/>
        </w:rPr>
      </w:pPr>
    </w:p>
    <w:p w14:paraId="0049E0C9" w14:textId="6631A023" w:rsidR="004E5CB0" w:rsidRDefault="00865EA7" w:rsidP="00B27D2A">
      <w:pPr>
        <w:spacing w:line="360" w:lineRule="auto"/>
        <w:jc w:val="both"/>
        <w:rPr>
          <w:rFonts w:ascii="Calibri" w:hAnsi="Calibri"/>
        </w:rPr>
      </w:pPr>
      <w:r>
        <w:rPr>
          <w:rFonts w:ascii="Calibri" w:hAnsi="Calibri"/>
        </w:rPr>
        <w:t xml:space="preserve">The </w:t>
      </w:r>
      <w:r w:rsidR="002D1918">
        <w:rPr>
          <w:rFonts w:ascii="Calibri" w:hAnsi="Calibri"/>
        </w:rPr>
        <w:t xml:space="preserve">CSW </w:t>
      </w:r>
      <w:r>
        <w:rPr>
          <w:rFonts w:ascii="Calibri" w:hAnsi="Calibri"/>
        </w:rPr>
        <w:t xml:space="preserve">Agreed Conclusions </w:t>
      </w:r>
      <w:r w:rsidR="002D1918">
        <w:rPr>
          <w:rFonts w:ascii="Calibri" w:hAnsi="Calibri"/>
        </w:rPr>
        <w:t>2013</w:t>
      </w:r>
      <w:r w:rsidR="00071BFC">
        <w:rPr>
          <w:rStyle w:val="FootnoteReference"/>
          <w:rFonts w:ascii="Calibri" w:hAnsi="Calibri"/>
        </w:rPr>
        <w:footnoteReference w:id="112"/>
      </w:r>
      <w:r>
        <w:rPr>
          <w:rFonts w:ascii="Calibri" w:hAnsi="Calibri"/>
        </w:rPr>
        <w:t xml:space="preserve"> </w:t>
      </w:r>
      <w:r w:rsidR="00483893">
        <w:rPr>
          <w:rFonts w:ascii="Calibri" w:hAnsi="Calibri"/>
        </w:rPr>
        <w:t xml:space="preserve">build on </w:t>
      </w:r>
      <w:r w:rsidR="005253A3">
        <w:rPr>
          <w:rFonts w:ascii="Calibri" w:hAnsi="Calibri"/>
        </w:rPr>
        <w:t xml:space="preserve">the language of SCR 1325 and </w:t>
      </w:r>
      <w:r w:rsidR="00483893">
        <w:rPr>
          <w:rFonts w:ascii="Calibri" w:hAnsi="Calibri"/>
        </w:rPr>
        <w:t>other elements of the legal framework</w:t>
      </w:r>
      <w:r w:rsidR="00A6225E">
        <w:rPr>
          <w:rFonts w:ascii="Calibri" w:hAnsi="Calibri"/>
        </w:rPr>
        <w:t xml:space="preserve"> via their commitments </w:t>
      </w:r>
      <w:r w:rsidR="00C01F67">
        <w:rPr>
          <w:rFonts w:ascii="Calibri" w:hAnsi="Calibri"/>
        </w:rPr>
        <w:t>to</w:t>
      </w:r>
      <w:r w:rsidR="002D1918" w:rsidRPr="00764569">
        <w:rPr>
          <w:rFonts w:ascii="Calibri" w:hAnsi="Calibri"/>
        </w:rPr>
        <w:t>:</w:t>
      </w:r>
      <w:r w:rsidR="00D43CEA" w:rsidRPr="00764569">
        <w:rPr>
          <w:rFonts w:ascii="Calibri" w:hAnsi="Calibri"/>
        </w:rPr>
        <w:t xml:space="preserve"> </w:t>
      </w:r>
      <w:r w:rsidR="000813FB" w:rsidRPr="00764569">
        <w:rPr>
          <w:rFonts w:ascii="Calibri" w:hAnsi="Calibri"/>
          <w:b/>
          <w:color w:val="4F81BD" w:themeColor="accent1"/>
        </w:rPr>
        <w:t>comprehensively</w:t>
      </w:r>
      <w:r w:rsidR="000813FB" w:rsidRPr="00764569">
        <w:rPr>
          <w:rFonts w:ascii="Calibri" w:hAnsi="Calibri"/>
          <w:color w:val="4F81BD" w:themeColor="accent1"/>
        </w:rPr>
        <w:t xml:space="preserve"> </w:t>
      </w:r>
      <w:r w:rsidR="00A6225E" w:rsidRPr="00764569">
        <w:rPr>
          <w:rFonts w:ascii="Calibri" w:hAnsi="Calibri"/>
          <w:b/>
          <w:color w:val="4F81BD" w:themeColor="accent1"/>
        </w:rPr>
        <w:t>eliminate</w:t>
      </w:r>
      <w:r w:rsidR="00C01F67" w:rsidRPr="00764569">
        <w:rPr>
          <w:rFonts w:ascii="Calibri" w:hAnsi="Calibri"/>
          <w:b/>
          <w:color w:val="4F81BD" w:themeColor="accent1"/>
        </w:rPr>
        <w:t xml:space="preserve"> violence against all women and girls in public and private </w:t>
      </w:r>
      <w:r w:rsidR="00241F68" w:rsidRPr="00764569">
        <w:rPr>
          <w:rFonts w:ascii="Calibri" w:hAnsi="Calibri"/>
          <w:b/>
          <w:color w:val="4F81BD" w:themeColor="accent1"/>
        </w:rPr>
        <w:t>spheres</w:t>
      </w:r>
      <w:r w:rsidR="000813FB" w:rsidRPr="00764569">
        <w:rPr>
          <w:rFonts w:ascii="Calibri" w:hAnsi="Calibri"/>
          <w:b/>
          <w:color w:val="4F81BD" w:themeColor="accent1"/>
        </w:rPr>
        <w:t>, via short- and long-term measures</w:t>
      </w:r>
      <w:r w:rsidR="00C01F67">
        <w:rPr>
          <w:rFonts w:ascii="Calibri" w:hAnsi="Calibri"/>
        </w:rPr>
        <w:t xml:space="preserve">; </w:t>
      </w:r>
      <w:r w:rsidR="00721BD0">
        <w:rPr>
          <w:rFonts w:ascii="Calibri" w:hAnsi="Calibri"/>
        </w:rPr>
        <w:t>progres</w:t>
      </w:r>
      <w:r w:rsidR="00A6225E">
        <w:rPr>
          <w:rFonts w:ascii="Calibri" w:hAnsi="Calibri"/>
        </w:rPr>
        <w:t>s</w:t>
      </w:r>
      <w:r w:rsidR="00E1423B">
        <w:rPr>
          <w:rFonts w:ascii="Calibri" w:hAnsi="Calibri"/>
        </w:rPr>
        <w:t xml:space="preserve"> the </w:t>
      </w:r>
      <w:r w:rsidR="00E1423B" w:rsidRPr="00B27D2A">
        <w:rPr>
          <w:rFonts w:ascii="Calibri" w:hAnsi="Calibri"/>
          <w:b/>
          <w:color w:val="4F81BD" w:themeColor="accent1"/>
        </w:rPr>
        <w:t>Millennium Development Goals</w:t>
      </w:r>
      <w:r w:rsidR="00E1423B">
        <w:rPr>
          <w:rFonts w:ascii="Calibri" w:hAnsi="Calibri"/>
        </w:rPr>
        <w:t xml:space="preserve"> (MDGs) for women and girls in conflict and post-conflict situations;</w:t>
      </w:r>
      <w:r w:rsidR="002D1918">
        <w:rPr>
          <w:rFonts w:ascii="Calibri" w:hAnsi="Calibri"/>
        </w:rPr>
        <w:t xml:space="preserve"> and</w:t>
      </w:r>
      <w:r w:rsidR="00721BD0">
        <w:rPr>
          <w:rFonts w:ascii="Calibri" w:hAnsi="Calibri"/>
        </w:rPr>
        <w:t xml:space="preserve"> provid</w:t>
      </w:r>
      <w:r w:rsidR="00A6225E">
        <w:rPr>
          <w:rFonts w:ascii="Calibri" w:hAnsi="Calibri"/>
        </w:rPr>
        <w:t>e</w:t>
      </w:r>
      <w:r w:rsidR="002D1918">
        <w:rPr>
          <w:rFonts w:ascii="Calibri" w:hAnsi="Calibri"/>
        </w:rPr>
        <w:t xml:space="preserve"> </w:t>
      </w:r>
      <w:r w:rsidR="002D1918" w:rsidRPr="00B27D2A">
        <w:rPr>
          <w:rFonts w:ascii="Calibri" w:hAnsi="Calibri"/>
          <w:b/>
          <w:color w:val="4F81BD" w:themeColor="accent1"/>
        </w:rPr>
        <w:t>effective remedies</w:t>
      </w:r>
      <w:r w:rsidR="002D1918">
        <w:rPr>
          <w:rFonts w:ascii="Calibri" w:hAnsi="Calibri"/>
        </w:rPr>
        <w:t xml:space="preserve"> for victims</w:t>
      </w:r>
      <w:r w:rsidR="00A6225E">
        <w:rPr>
          <w:rFonts w:ascii="Calibri" w:hAnsi="Calibri"/>
        </w:rPr>
        <w:t xml:space="preserve"> based on an understanding of </w:t>
      </w:r>
      <w:r w:rsidR="00A6225E" w:rsidRPr="00764569">
        <w:rPr>
          <w:rFonts w:ascii="Calibri" w:hAnsi="Calibri"/>
          <w:b/>
          <w:color w:val="4F81BD" w:themeColor="accent1"/>
        </w:rPr>
        <w:t>the s</w:t>
      </w:r>
      <w:r w:rsidR="00A6225E" w:rsidRPr="00B27D2A">
        <w:rPr>
          <w:rFonts w:ascii="Calibri" w:hAnsi="Calibri"/>
          <w:b/>
          <w:color w:val="4F81BD" w:themeColor="accent1"/>
        </w:rPr>
        <w:t>ystemic impacts</w:t>
      </w:r>
      <w:r w:rsidR="002D1918" w:rsidRPr="00B27D2A">
        <w:rPr>
          <w:rFonts w:ascii="Calibri" w:hAnsi="Calibri"/>
          <w:color w:val="4F81BD" w:themeColor="accent1"/>
        </w:rPr>
        <w:t xml:space="preserve"> </w:t>
      </w:r>
      <w:r w:rsidR="00E1423B" w:rsidRPr="00B27D2A">
        <w:rPr>
          <w:rFonts w:ascii="Calibri" w:hAnsi="Calibri"/>
          <w:b/>
          <w:color w:val="4F81BD" w:themeColor="accent1"/>
        </w:rPr>
        <w:t xml:space="preserve">of </w:t>
      </w:r>
      <w:r w:rsidR="00004535" w:rsidRPr="00B27D2A">
        <w:rPr>
          <w:rFonts w:ascii="Calibri" w:hAnsi="Calibri"/>
          <w:b/>
          <w:color w:val="4F81BD" w:themeColor="accent1"/>
        </w:rPr>
        <w:t>violence</w:t>
      </w:r>
      <w:r w:rsidR="00004535">
        <w:rPr>
          <w:rFonts w:ascii="Calibri" w:hAnsi="Calibri"/>
        </w:rPr>
        <w:t>. The Agreed Conclusions recall SCR 1325, the other resolutions on WPS (adopted in 2008-2010) as well as resolutions on children and armed conflict and on armed conflict and post-conflict situations</w:t>
      </w:r>
      <w:r w:rsidR="002D1918">
        <w:rPr>
          <w:rFonts w:ascii="Calibri" w:hAnsi="Calibri"/>
        </w:rPr>
        <w:t>.</w:t>
      </w:r>
      <w:r w:rsidR="002D1918">
        <w:rPr>
          <w:rStyle w:val="FootnoteReference"/>
          <w:rFonts w:ascii="Calibri" w:hAnsi="Calibri"/>
        </w:rPr>
        <w:footnoteReference w:id="113"/>
      </w:r>
      <w:r w:rsidR="002D1918">
        <w:rPr>
          <w:rFonts w:ascii="Calibri" w:hAnsi="Calibri"/>
        </w:rPr>
        <w:t xml:space="preserve"> </w:t>
      </w:r>
    </w:p>
    <w:p w14:paraId="27603D15" w14:textId="77777777" w:rsidR="00004535" w:rsidRDefault="00004535" w:rsidP="004E5CB0">
      <w:pPr>
        <w:jc w:val="both"/>
        <w:rPr>
          <w:rFonts w:ascii="Calibri" w:hAnsi="Calibri"/>
        </w:rPr>
      </w:pPr>
    </w:p>
    <w:p w14:paraId="3F7ED541" w14:textId="5C70240F" w:rsidR="00221D3D" w:rsidRDefault="00721BD0" w:rsidP="00B27D2A">
      <w:pPr>
        <w:spacing w:line="360" w:lineRule="auto"/>
        <w:jc w:val="both"/>
        <w:rPr>
          <w:rFonts w:ascii="Calibri" w:hAnsi="Calibri"/>
        </w:rPr>
      </w:pPr>
      <w:r>
        <w:rPr>
          <w:rFonts w:ascii="Calibri" w:hAnsi="Calibri"/>
        </w:rPr>
        <w:t>The Agreed Conclusions</w:t>
      </w:r>
      <w:r w:rsidR="00B73AFD">
        <w:rPr>
          <w:rFonts w:ascii="Calibri" w:hAnsi="Calibri"/>
        </w:rPr>
        <w:t xml:space="preserve"> </w:t>
      </w:r>
      <w:r w:rsidR="00FA7291" w:rsidRPr="00B27D2A">
        <w:rPr>
          <w:rFonts w:ascii="Calibri" w:hAnsi="Calibri"/>
          <w:b/>
          <w:color w:val="4F81BD" w:themeColor="accent1"/>
        </w:rPr>
        <w:t>address</w:t>
      </w:r>
      <w:r w:rsidR="00483893" w:rsidRPr="00B27D2A">
        <w:rPr>
          <w:rFonts w:ascii="Calibri" w:hAnsi="Calibri"/>
          <w:b/>
          <w:color w:val="4F81BD" w:themeColor="accent1"/>
        </w:rPr>
        <w:t xml:space="preserve"> violence against women</w:t>
      </w:r>
      <w:r w:rsidR="00600491" w:rsidRPr="00B27D2A">
        <w:rPr>
          <w:rFonts w:ascii="Calibri" w:hAnsi="Calibri"/>
          <w:b/>
          <w:color w:val="4F81BD" w:themeColor="accent1"/>
        </w:rPr>
        <w:t xml:space="preserve"> and girls</w:t>
      </w:r>
      <w:r w:rsidR="00483893">
        <w:rPr>
          <w:rFonts w:ascii="Calibri" w:hAnsi="Calibri"/>
        </w:rPr>
        <w:t xml:space="preserve"> in conflict and </w:t>
      </w:r>
      <w:r w:rsidR="00FA7291">
        <w:rPr>
          <w:rFonts w:ascii="Calibri" w:hAnsi="Calibri"/>
        </w:rPr>
        <w:t>peacetime t</w:t>
      </w:r>
      <w:r w:rsidR="00241F68">
        <w:rPr>
          <w:rFonts w:ascii="Calibri" w:hAnsi="Calibri"/>
        </w:rPr>
        <w:t xml:space="preserve">hrough a </w:t>
      </w:r>
      <w:r w:rsidR="00241F68" w:rsidRPr="00B27D2A">
        <w:rPr>
          <w:rFonts w:ascii="Calibri" w:hAnsi="Calibri"/>
          <w:b/>
          <w:color w:val="4F81BD" w:themeColor="accent1"/>
        </w:rPr>
        <w:t>p</w:t>
      </w:r>
      <w:r w:rsidR="00B73AFD" w:rsidRPr="00B27D2A">
        <w:rPr>
          <w:rFonts w:ascii="Calibri" w:hAnsi="Calibri"/>
          <w:b/>
          <w:color w:val="4F81BD" w:themeColor="accent1"/>
        </w:rPr>
        <w:t>reventive and comprehensive approach</w:t>
      </w:r>
      <w:r w:rsidR="00241F68">
        <w:rPr>
          <w:rFonts w:ascii="Calibri" w:hAnsi="Calibri"/>
        </w:rPr>
        <w:t xml:space="preserve"> i</w:t>
      </w:r>
      <w:r w:rsidR="00B73AFD">
        <w:rPr>
          <w:rFonts w:ascii="Calibri" w:hAnsi="Calibri"/>
        </w:rPr>
        <w:t>nvolving coordinated, interdisc</w:t>
      </w:r>
      <w:r w:rsidR="00241F68">
        <w:rPr>
          <w:rFonts w:ascii="Calibri" w:hAnsi="Calibri"/>
        </w:rPr>
        <w:t xml:space="preserve">iplinary, accessible and sustained multi-sectoral services, programmes and responses at all levels, and </w:t>
      </w:r>
      <w:r w:rsidR="00600491">
        <w:rPr>
          <w:rFonts w:ascii="Calibri" w:hAnsi="Calibri"/>
        </w:rPr>
        <w:t xml:space="preserve">using </w:t>
      </w:r>
      <w:r w:rsidR="00241F68">
        <w:rPr>
          <w:rFonts w:ascii="Calibri" w:hAnsi="Calibri"/>
        </w:rPr>
        <w:t xml:space="preserve">all available technologies, for all victims and survivors. </w:t>
      </w:r>
      <w:r w:rsidR="002A1C0D">
        <w:rPr>
          <w:rFonts w:ascii="Calibri" w:hAnsi="Calibri"/>
        </w:rPr>
        <w:t xml:space="preserve"> </w:t>
      </w:r>
      <w:r w:rsidR="00221D3D">
        <w:rPr>
          <w:rFonts w:ascii="Calibri" w:hAnsi="Calibri"/>
        </w:rPr>
        <w:t>This approach is based on the</w:t>
      </w:r>
      <w:r w:rsidR="002A1C0D">
        <w:rPr>
          <w:rFonts w:ascii="Calibri" w:hAnsi="Calibri"/>
        </w:rPr>
        <w:t xml:space="preserve"> in</w:t>
      </w:r>
      <w:r w:rsidR="00221D3D">
        <w:rPr>
          <w:rFonts w:ascii="Calibri" w:hAnsi="Calibri"/>
        </w:rPr>
        <w:t xml:space="preserve">tersectional </w:t>
      </w:r>
      <w:r w:rsidR="002A1C0D">
        <w:rPr>
          <w:rFonts w:ascii="Calibri" w:hAnsi="Calibri"/>
        </w:rPr>
        <w:t xml:space="preserve">understanding of violence that </w:t>
      </w:r>
      <w:r w:rsidR="00221D3D">
        <w:rPr>
          <w:rFonts w:ascii="Calibri" w:hAnsi="Calibri"/>
        </w:rPr>
        <w:t>is also evident in</w:t>
      </w:r>
      <w:r w:rsidR="002A1C0D">
        <w:rPr>
          <w:rFonts w:ascii="Calibri" w:hAnsi="Calibri"/>
        </w:rPr>
        <w:t xml:space="preserve"> CEDAW and its GR No. 30, the BPfA and the UNGA Ou</w:t>
      </w:r>
      <w:r w:rsidR="005253A3">
        <w:rPr>
          <w:rFonts w:ascii="Calibri" w:hAnsi="Calibri"/>
        </w:rPr>
        <w:t>tcome Document. The intersectional approach</w:t>
      </w:r>
      <w:r w:rsidR="00D22D0E">
        <w:rPr>
          <w:rFonts w:ascii="Calibri" w:hAnsi="Calibri"/>
        </w:rPr>
        <w:t xml:space="preserve"> in the Conclusions</w:t>
      </w:r>
      <w:r w:rsidR="005253A3">
        <w:rPr>
          <w:rFonts w:ascii="Calibri" w:hAnsi="Calibri"/>
        </w:rPr>
        <w:t xml:space="preserve"> recognizes</w:t>
      </w:r>
      <w:r w:rsidR="002A1C0D">
        <w:rPr>
          <w:rFonts w:ascii="Calibri" w:hAnsi="Calibri"/>
        </w:rPr>
        <w:t xml:space="preserve"> the economic, social, and political causes and impacts of violence against women and girls, including in public spaces</w:t>
      </w:r>
      <w:r w:rsidR="00A6225E">
        <w:rPr>
          <w:rFonts w:ascii="Calibri" w:hAnsi="Calibri"/>
        </w:rPr>
        <w:t xml:space="preserve"> and cities</w:t>
      </w:r>
      <w:r w:rsidR="002A1C0D">
        <w:rPr>
          <w:rFonts w:ascii="Calibri" w:hAnsi="Calibri"/>
        </w:rPr>
        <w:t xml:space="preserve">, and acknowledges the vulnerability of specific groups including older and indigenous women and girls. </w:t>
      </w:r>
      <w:r w:rsidR="00221D3D">
        <w:rPr>
          <w:rFonts w:ascii="Calibri" w:hAnsi="Calibri"/>
        </w:rPr>
        <w:t>The Conclusions also affirm a universal understanding of human rights, stressing their interdependence, interrelated nature and indivisibility, despite cultural, religious and historical differences.</w:t>
      </w:r>
      <w:r w:rsidR="00221D3D">
        <w:rPr>
          <w:rStyle w:val="FootnoteReference"/>
          <w:rFonts w:ascii="Calibri" w:hAnsi="Calibri"/>
        </w:rPr>
        <w:footnoteReference w:id="114"/>
      </w:r>
      <w:r w:rsidR="00221D3D">
        <w:rPr>
          <w:rFonts w:ascii="Calibri" w:hAnsi="Calibri"/>
        </w:rPr>
        <w:t xml:space="preserve"> </w:t>
      </w:r>
    </w:p>
    <w:p w14:paraId="373F988B" w14:textId="77777777" w:rsidR="00221D3D" w:rsidRDefault="00221D3D" w:rsidP="004E5CB0">
      <w:pPr>
        <w:jc w:val="both"/>
        <w:rPr>
          <w:rFonts w:ascii="Calibri" w:hAnsi="Calibri"/>
        </w:rPr>
      </w:pPr>
    </w:p>
    <w:p w14:paraId="150035F4" w14:textId="388FA55C" w:rsidR="00A0415C" w:rsidRDefault="002A1C0D" w:rsidP="00A66D34">
      <w:pPr>
        <w:spacing w:line="360" w:lineRule="auto"/>
        <w:jc w:val="both"/>
        <w:rPr>
          <w:rFonts w:ascii="Calibri" w:hAnsi="Calibri"/>
        </w:rPr>
      </w:pPr>
      <w:r>
        <w:rPr>
          <w:rFonts w:ascii="Calibri" w:hAnsi="Calibri"/>
        </w:rPr>
        <w:t>The</w:t>
      </w:r>
      <w:r w:rsidR="00221D3D">
        <w:rPr>
          <w:rFonts w:ascii="Calibri" w:hAnsi="Calibri"/>
        </w:rPr>
        <w:t xml:space="preserve"> </w:t>
      </w:r>
      <w:r w:rsidR="00E84DE6">
        <w:rPr>
          <w:rFonts w:ascii="Calibri" w:hAnsi="Calibri"/>
        </w:rPr>
        <w:t>Agreed Conclusions</w:t>
      </w:r>
      <w:r w:rsidR="00510B56">
        <w:rPr>
          <w:rFonts w:ascii="Calibri" w:hAnsi="Calibri"/>
        </w:rPr>
        <w:t xml:space="preserve"> incorporate the services mentioned in SCR 1325 and other elements of the framework</w:t>
      </w:r>
      <w:r w:rsidR="00221D3D">
        <w:rPr>
          <w:rFonts w:ascii="Calibri" w:hAnsi="Calibri"/>
        </w:rPr>
        <w:t xml:space="preserve"> </w:t>
      </w:r>
      <w:r w:rsidR="00510B56">
        <w:rPr>
          <w:rFonts w:ascii="Calibri" w:hAnsi="Calibri"/>
        </w:rPr>
        <w:t>in regards to</w:t>
      </w:r>
      <w:r w:rsidR="00221D3D">
        <w:rPr>
          <w:rFonts w:ascii="Calibri" w:hAnsi="Calibri"/>
        </w:rPr>
        <w:t xml:space="preserve"> addressing violence via </w:t>
      </w:r>
      <w:r w:rsidR="00221D3D" w:rsidRPr="00A66D34">
        <w:rPr>
          <w:rFonts w:ascii="Calibri" w:hAnsi="Calibri"/>
          <w:b/>
          <w:color w:val="4F81BD" w:themeColor="accent1"/>
        </w:rPr>
        <w:t>immediate and short-term measures</w:t>
      </w:r>
      <w:r w:rsidR="00221D3D">
        <w:rPr>
          <w:rFonts w:ascii="Calibri" w:hAnsi="Calibri"/>
        </w:rPr>
        <w:t xml:space="preserve"> </w:t>
      </w:r>
      <w:r w:rsidR="00241F68">
        <w:rPr>
          <w:rFonts w:ascii="Calibri" w:hAnsi="Calibri"/>
        </w:rPr>
        <w:t>(the police and justice sector, legal aid services, health care including sexual and reproductive health services, medical, psychological and counselling services)</w:t>
      </w:r>
      <w:r w:rsidR="00510B56">
        <w:rPr>
          <w:rFonts w:ascii="Calibri" w:hAnsi="Calibri"/>
        </w:rPr>
        <w:t>. They also add</w:t>
      </w:r>
      <w:r w:rsidR="00221D3D">
        <w:rPr>
          <w:rFonts w:ascii="Calibri" w:hAnsi="Calibri"/>
        </w:rPr>
        <w:t xml:space="preserve"> services </w:t>
      </w:r>
      <w:r w:rsidR="00510B56">
        <w:rPr>
          <w:rFonts w:ascii="Calibri" w:hAnsi="Calibri"/>
        </w:rPr>
        <w:t>only mentioned in the CEDAW GR No. 30</w:t>
      </w:r>
      <w:r w:rsidR="00221D3D">
        <w:rPr>
          <w:rFonts w:ascii="Calibri" w:hAnsi="Calibri"/>
        </w:rPr>
        <w:t>, including</w:t>
      </w:r>
      <w:r w:rsidR="00241F68">
        <w:rPr>
          <w:rFonts w:ascii="Calibri" w:hAnsi="Calibri"/>
        </w:rPr>
        <w:t xml:space="preserve"> </w:t>
      </w:r>
      <w:r w:rsidR="00A0415C">
        <w:rPr>
          <w:rFonts w:ascii="Calibri" w:hAnsi="Calibri"/>
        </w:rPr>
        <w:t>government</w:t>
      </w:r>
      <w:r w:rsidR="00241F68">
        <w:rPr>
          <w:rFonts w:ascii="Calibri" w:hAnsi="Calibri"/>
        </w:rPr>
        <w:t xml:space="preserve"> and independent women’s shelt</w:t>
      </w:r>
      <w:r w:rsidR="00B73AFD">
        <w:rPr>
          <w:rFonts w:ascii="Calibri" w:hAnsi="Calibri"/>
        </w:rPr>
        <w:t>ers and counselling centres, 24-</w:t>
      </w:r>
      <w:r w:rsidR="00241F68">
        <w:rPr>
          <w:rFonts w:ascii="Calibri" w:hAnsi="Calibri"/>
        </w:rPr>
        <w:t xml:space="preserve">hour hotlines, social aid services, one-stop crisis centre, immigration services, child services </w:t>
      </w:r>
      <w:r w:rsidR="00B73AFD">
        <w:rPr>
          <w:rFonts w:ascii="Calibri" w:hAnsi="Calibri"/>
        </w:rPr>
        <w:t>and public housing services. There is an emphasis on women and children’s access</w:t>
      </w:r>
      <w:r w:rsidR="00600491">
        <w:rPr>
          <w:rFonts w:ascii="Calibri" w:hAnsi="Calibri"/>
        </w:rPr>
        <w:t xml:space="preserve"> to justice, with </w:t>
      </w:r>
      <w:r w:rsidR="00E84DE6">
        <w:rPr>
          <w:rFonts w:ascii="Calibri" w:hAnsi="Calibri"/>
        </w:rPr>
        <w:t>the requirement</w:t>
      </w:r>
      <w:r w:rsidR="00600491">
        <w:rPr>
          <w:rFonts w:ascii="Calibri" w:hAnsi="Calibri"/>
        </w:rPr>
        <w:t xml:space="preserve"> that these </w:t>
      </w:r>
      <w:r w:rsidR="00B73AFD">
        <w:rPr>
          <w:rFonts w:ascii="Calibri" w:hAnsi="Calibri"/>
        </w:rPr>
        <w:t xml:space="preserve">anti-violence measures </w:t>
      </w:r>
      <w:r w:rsidR="00600491">
        <w:rPr>
          <w:rFonts w:ascii="Calibri" w:hAnsi="Calibri"/>
        </w:rPr>
        <w:t>must be</w:t>
      </w:r>
      <w:r w:rsidR="00B73AFD">
        <w:rPr>
          <w:rFonts w:ascii="Calibri" w:hAnsi="Calibri"/>
        </w:rPr>
        <w:t xml:space="preserve"> safe and easy to reach.</w:t>
      </w:r>
      <w:r w:rsidR="00A0415C">
        <w:rPr>
          <w:rStyle w:val="FootnoteReference"/>
          <w:rFonts w:ascii="Calibri" w:hAnsi="Calibri"/>
        </w:rPr>
        <w:footnoteReference w:id="115"/>
      </w:r>
      <w:r w:rsidR="00B73AFD">
        <w:rPr>
          <w:rFonts w:ascii="Calibri" w:hAnsi="Calibri"/>
        </w:rPr>
        <w:t xml:space="preserve"> </w:t>
      </w:r>
    </w:p>
    <w:p w14:paraId="7B62412E" w14:textId="77777777" w:rsidR="00A0415C" w:rsidRDefault="00A0415C" w:rsidP="004E5CB0">
      <w:pPr>
        <w:jc w:val="both"/>
        <w:rPr>
          <w:rFonts w:ascii="Calibri" w:hAnsi="Calibri"/>
        </w:rPr>
      </w:pPr>
    </w:p>
    <w:p w14:paraId="7DB8AD5A" w14:textId="7DE789DF" w:rsidR="002A1C0D" w:rsidRDefault="00B73AFD" w:rsidP="00A66D34">
      <w:pPr>
        <w:spacing w:line="360" w:lineRule="auto"/>
        <w:jc w:val="both"/>
        <w:rPr>
          <w:rFonts w:ascii="Calibri" w:hAnsi="Calibri"/>
        </w:rPr>
      </w:pPr>
      <w:r>
        <w:rPr>
          <w:rFonts w:ascii="Calibri" w:hAnsi="Calibri"/>
        </w:rPr>
        <w:t xml:space="preserve">Short-term relief services are supplemented by </w:t>
      </w:r>
      <w:r w:rsidRPr="00764569">
        <w:rPr>
          <w:rFonts w:ascii="Calibri" w:hAnsi="Calibri"/>
          <w:b/>
          <w:color w:val="4F81BD" w:themeColor="accent1"/>
        </w:rPr>
        <w:t>long-term measures</w:t>
      </w:r>
      <w:r w:rsidR="00C65BD6" w:rsidRPr="00764569">
        <w:rPr>
          <w:rFonts w:ascii="Calibri" w:hAnsi="Calibri"/>
          <w:b/>
          <w:color w:val="4F81BD" w:themeColor="accent1"/>
        </w:rPr>
        <w:t xml:space="preserve"> to target violence against women</w:t>
      </w:r>
      <w:r>
        <w:rPr>
          <w:rFonts w:ascii="Calibri" w:hAnsi="Calibri"/>
        </w:rPr>
        <w:t>. The Conclusions recommend access to</w:t>
      </w:r>
      <w:r w:rsidRPr="00A66D34">
        <w:rPr>
          <w:rFonts w:ascii="Calibri" w:hAnsi="Calibri"/>
          <w:color w:val="4F81BD" w:themeColor="accent1"/>
        </w:rPr>
        <w:t xml:space="preserve"> </w:t>
      </w:r>
      <w:r w:rsidRPr="00A66D34">
        <w:rPr>
          <w:rFonts w:ascii="Calibri" w:hAnsi="Calibri"/>
          <w:b/>
          <w:color w:val="4F81BD" w:themeColor="accent1"/>
        </w:rPr>
        <w:t>long-term accommodation, education, employment and economic opportunities</w:t>
      </w:r>
      <w:r>
        <w:rPr>
          <w:rFonts w:ascii="Calibri" w:hAnsi="Calibri"/>
        </w:rPr>
        <w:t xml:space="preserve">, remind states of the obligation to consider the best interests of the child when dealing with child victims, and ask states to ensure the safety and security of health-care workers and service providers </w:t>
      </w:r>
      <w:r w:rsidR="00C65BD6">
        <w:rPr>
          <w:rFonts w:ascii="Calibri" w:hAnsi="Calibri"/>
        </w:rPr>
        <w:t>dealing</w:t>
      </w:r>
      <w:r>
        <w:rPr>
          <w:rFonts w:ascii="Calibri" w:hAnsi="Calibri"/>
        </w:rPr>
        <w:t xml:space="preserve"> with victims. </w:t>
      </w:r>
      <w:r w:rsidR="00041345">
        <w:rPr>
          <w:rFonts w:ascii="Calibri" w:hAnsi="Calibri"/>
        </w:rPr>
        <w:t xml:space="preserve">The </w:t>
      </w:r>
      <w:r w:rsidR="00C65BD6">
        <w:rPr>
          <w:rFonts w:ascii="Calibri" w:hAnsi="Calibri"/>
        </w:rPr>
        <w:t>Conclusions affirm</w:t>
      </w:r>
      <w:r w:rsidR="00041345">
        <w:rPr>
          <w:rFonts w:ascii="Calibri" w:hAnsi="Calibri"/>
        </w:rPr>
        <w:t xml:space="preserve"> that </w:t>
      </w:r>
      <w:r w:rsidRPr="00A66D34">
        <w:rPr>
          <w:rFonts w:ascii="Calibri" w:hAnsi="Calibri"/>
          <w:b/>
          <w:color w:val="4F81BD" w:themeColor="accent1"/>
        </w:rPr>
        <w:t>national women’s machineries</w:t>
      </w:r>
      <w:r w:rsidR="00041345">
        <w:rPr>
          <w:rFonts w:ascii="Calibri" w:hAnsi="Calibri"/>
          <w:b/>
        </w:rPr>
        <w:t xml:space="preserve"> </w:t>
      </w:r>
      <w:r w:rsidR="00041345">
        <w:rPr>
          <w:rFonts w:ascii="Calibri" w:hAnsi="Calibri"/>
        </w:rPr>
        <w:t>should be strategically positioned</w:t>
      </w:r>
      <w:r>
        <w:rPr>
          <w:rFonts w:ascii="Calibri" w:hAnsi="Calibri"/>
        </w:rPr>
        <w:t xml:space="preserve"> at the high</w:t>
      </w:r>
      <w:r w:rsidR="00600491">
        <w:rPr>
          <w:rFonts w:ascii="Calibri" w:hAnsi="Calibri"/>
        </w:rPr>
        <w:t>est levels of government, and</w:t>
      </w:r>
      <w:r>
        <w:rPr>
          <w:rFonts w:ascii="Calibri" w:hAnsi="Calibri"/>
        </w:rPr>
        <w:t xml:space="preserve"> </w:t>
      </w:r>
      <w:r w:rsidR="00041345">
        <w:rPr>
          <w:rFonts w:ascii="Calibri" w:hAnsi="Calibri"/>
        </w:rPr>
        <w:t xml:space="preserve">endowed </w:t>
      </w:r>
      <w:r>
        <w:rPr>
          <w:rFonts w:ascii="Calibri" w:hAnsi="Calibri"/>
        </w:rPr>
        <w:t>with</w:t>
      </w:r>
      <w:r w:rsidR="00041345">
        <w:rPr>
          <w:rFonts w:ascii="Calibri" w:hAnsi="Calibri"/>
        </w:rPr>
        <w:t xml:space="preserve"> the necessary</w:t>
      </w:r>
      <w:r>
        <w:rPr>
          <w:rFonts w:ascii="Calibri" w:hAnsi="Calibri"/>
        </w:rPr>
        <w:t xml:space="preserve"> financial and human resources</w:t>
      </w:r>
      <w:r w:rsidR="00600491">
        <w:rPr>
          <w:rFonts w:ascii="Calibri" w:hAnsi="Calibri"/>
        </w:rPr>
        <w:t xml:space="preserve"> to prevent and eliminate violence and discrimination</w:t>
      </w:r>
      <w:r w:rsidR="00041345">
        <w:rPr>
          <w:rFonts w:ascii="Calibri" w:hAnsi="Calibri"/>
        </w:rPr>
        <w:t>. The role of national human rights institutions is also acknowledged in the effort to prevent and eliminate violence against women and girls</w:t>
      </w:r>
      <w:r w:rsidR="00353635">
        <w:rPr>
          <w:rFonts w:ascii="Calibri" w:hAnsi="Calibri"/>
        </w:rPr>
        <w:t>.</w:t>
      </w:r>
      <w:r w:rsidR="002A1C0D">
        <w:rPr>
          <w:rFonts w:ascii="Calibri" w:hAnsi="Calibri"/>
        </w:rPr>
        <w:t xml:space="preserve"> The </w:t>
      </w:r>
      <w:r w:rsidR="00C65BD6">
        <w:rPr>
          <w:rFonts w:ascii="Calibri" w:hAnsi="Calibri"/>
        </w:rPr>
        <w:t>Agreed Conclusions also affirm</w:t>
      </w:r>
      <w:r w:rsidR="002A1C0D">
        <w:rPr>
          <w:rFonts w:ascii="Calibri" w:hAnsi="Calibri"/>
        </w:rPr>
        <w:t xml:space="preserve"> </w:t>
      </w:r>
      <w:r w:rsidR="002A1C0D" w:rsidRPr="00764569">
        <w:rPr>
          <w:rFonts w:ascii="Calibri" w:hAnsi="Calibri"/>
          <w:b/>
          <w:color w:val="4F81BD" w:themeColor="accent1"/>
        </w:rPr>
        <w:t>the important role of the community, especially men and boys, as well as civil society including women’s and youth organizations</w:t>
      </w:r>
      <w:r w:rsidR="002A1C0D" w:rsidRPr="00764569">
        <w:rPr>
          <w:rFonts w:ascii="Calibri" w:hAnsi="Calibri"/>
        </w:rPr>
        <w:t>,</w:t>
      </w:r>
      <w:r w:rsidR="002A1C0D">
        <w:rPr>
          <w:rFonts w:ascii="Calibri" w:hAnsi="Calibri"/>
        </w:rPr>
        <w:t xml:space="preserve"> </w:t>
      </w:r>
      <w:r w:rsidR="00221D3D">
        <w:rPr>
          <w:rFonts w:ascii="Calibri" w:hAnsi="Calibri"/>
        </w:rPr>
        <w:t>in eliminating</w:t>
      </w:r>
      <w:r w:rsidR="002A1C0D">
        <w:rPr>
          <w:rFonts w:ascii="Calibri" w:hAnsi="Calibri"/>
        </w:rPr>
        <w:t xml:space="preserve"> </w:t>
      </w:r>
      <w:r w:rsidR="00221D3D">
        <w:rPr>
          <w:rFonts w:ascii="Calibri" w:hAnsi="Calibri"/>
        </w:rPr>
        <w:t>v</w:t>
      </w:r>
      <w:r w:rsidR="002A1C0D">
        <w:rPr>
          <w:rFonts w:ascii="Calibri" w:hAnsi="Calibri"/>
        </w:rPr>
        <w:t>iolence against women.</w:t>
      </w:r>
      <w:r>
        <w:rPr>
          <w:rStyle w:val="FootnoteReference"/>
          <w:rFonts w:ascii="Calibri" w:hAnsi="Calibri"/>
        </w:rPr>
        <w:footnoteReference w:id="116"/>
      </w:r>
      <w:r>
        <w:rPr>
          <w:rFonts w:ascii="Calibri" w:hAnsi="Calibri"/>
        </w:rPr>
        <w:t xml:space="preserve"> </w:t>
      </w:r>
    </w:p>
    <w:p w14:paraId="6A535DF2" w14:textId="77777777" w:rsidR="002A1C0D" w:rsidRDefault="002A1C0D" w:rsidP="004E5CB0">
      <w:pPr>
        <w:jc w:val="both"/>
        <w:rPr>
          <w:rFonts w:ascii="Calibri" w:hAnsi="Calibri"/>
        </w:rPr>
      </w:pPr>
    </w:p>
    <w:p w14:paraId="57BD9007" w14:textId="5D5F6266" w:rsidR="00041345" w:rsidRPr="00041345" w:rsidRDefault="00C304E3" w:rsidP="00A66D34">
      <w:pPr>
        <w:spacing w:line="360" w:lineRule="auto"/>
        <w:jc w:val="both"/>
        <w:rPr>
          <w:rFonts w:ascii="Calibri" w:hAnsi="Calibri"/>
        </w:rPr>
      </w:pPr>
      <w:r>
        <w:rPr>
          <w:rFonts w:ascii="Calibri" w:hAnsi="Calibri"/>
        </w:rPr>
        <w:lastRenderedPageBreak/>
        <w:t xml:space="preserve">Like the BPfA and the UNGA Outcome Document, the Conclusions link </w:t>
      </w:r>
      <w:r w:rsidR="00905F75">
        <w:rPr>
          <w:rFonts w:ascii="Calibri" w:hAnsi="Calibri"/>
        </w:rPr>
        <w:t>the women, peace and security agenda</w:t>
      </w:r>
      <w:r>
        <w:rPr>
          <w:rFonts w:ascii="Calibri" w:hAnsi="Calibri"/>
        </w:rPr>
        <w:t xml:space="preserve"> to the </w:t>
      </w:r>
      <w:r w:rsidRPr="00A66D34">
        <w:rPr>
          <w:rFonts w:ascii="Calibri" w:hAnsi="Calibri"/>
          <w:b/>
          <w:color w:val="4F81BD" w:themeColor="accent1"/>
        </w:rPr>
        <w:t>overall development agenda</w:t>
      </w:r>
      <w:r>
        <w:rPr>
          <w:rFonts w:ascii="Calibri" w:hAnsi="Calibri"/>
        </w:rPr>
        <w:t xml:space="preserve">. </w:t>
      </w:r>
      <w:r w:rsidR="00041345">
        <w:rPr>
          <w:rFonts w:ascii="Calibri" w:hAnsi="Calibri"/>
        </w:rPr>
        <w:t xml:space="preserve">The </w:t>
      </w:r>
      <w:r w:rsidR="00041345" w:rsidRPr="00A66D34">
        <w:rPr>
          <w:rFonts w:ascii="Calibri" w:hAnsi="Calibri"/>
          <w:b/>
          <w:color w:val="4F81BD" w:themeColor="accent1"/>
        </w:rPr>
        <w:t>MDGs</w:t>
      </w:r>
      <w:r>
        <w:rPr>
          <w:rFonts w:ascii="Calibri" w:hAnsi="Calibri"/>
        </w:rPr>
        <w:t xml:space="preserve"> </w:t>
      </w:r>
      <w:r w:rsidR="00041345">
        <w:rPr>
          <w:rFonts w:ascii="Calibri" w:hAnsi="Calibri"/>
        </w:rPr>
        <w:t>are</w:t>
      </w:r>
      <w:r w:rsidR="00905F75">
        <w:rPr>
          <w:rFonts w:ascii="Calibri" w:hAnsi="Calibri"/>
        </w:rPr>
        <w:t xml:space="preserve"> acknowledged as</w:t>
      </w:r>
      <w:r w:rsidR="00041345">
        <w:rPr>
          <w:rFonts w:ascii="Calibri" w:hAnsi="Calibri"/>
        </w:rPr>
        <w:t xml:space="preserve"> </w:t>
      </w:r>
      <w:r>
        <w:rPr>
          <w:rFonts w:ascii="Calibri" w:hAnsi="Calibri"/>
        </w:rPr>
        <w:t>crucial</w:t>
      </w:r>
      <w:r w:rsidR="00041345">
        <w:rPr>
          <w:rFonts w:ascii="Calibri" w:hAnsi="Calibri"/>
        </w:rPr>
        <w:t xml:space="preserve"> to achieving</w:t>
      </w:r>
      <w:r>
        <w:rPr>
          <w:rFonts w:ascii="Calibri" w:hAnsi="Calibri"/>
        </w:rPr>
        <w:t xml:space="preserve"> the broader aims of</w:t>
      </w:r>
      <w:r w:rsidR="00041345">
        <w:rPr>
          <w:rFonts w:ascii="Calibri" w:hAnsi="Calibri"/>
        </w:rPr>
        <w:t xml:space="preserve"> gender equality and women’s empowerment. The Agreed Conclusions reinforce states’ commitments to strengthen</w:t>
      </w:r>
      <w:r>
        <w:rPr>
          <w:rFonts w:ascii="Calibri" w:hAnsi="Calibri"/>
        </w:rPr>
        <w:t xml:space="preserve"> national efforts and international cooperation</w:t>
      </w:r>
      <w:r w:rsidR="00041345">
        <w:rPr>
          <w:rFonts w:ascii="Calibri" w:hAnsi="Calibri"/>
        </w:rPr>
        <w:t xml:space="preserve"> to </w:t>
      </w:r>
      <w:r w:rsidR="00D22D0E">
        <w:rPr>
          <w:rFonts w:ascii="Calibri" w:hAnsi="Calibri"/>
        </w:rPr>
        <w:t xml:space="preserve">achieve the MDGs and </w:t>
      </w:r>
      <w:r>
        <w:rPr>
          <w:rFonts w:ascii="Calibri" w:hAnsi="Calibri"/>
        </w:rPr>
        <w:t>wider goals for</w:t>
      </w:r>
      <w:r w:rsidR="00041345">
        <w:rPr>
          <w:rFonts w:ascii="Calibri" w:hAnsi="Calibri"/>
        </w:rPr>
        <w:t xml:space="preserve"> women and girls affected by armed conflicts and </w:t>
      </w:r>
      <w:r>
        <w:rPr>
          <w:rFonts w:ascii="Calibri" w:hAnsi="Calibri"/>
        </w:rPr>
        <w:t>situations</w:t>
      </w:r>
      <w:r w:rsidR="00041345">
        <w:rPr>
          <w:rFonts w:ascii="Calibri" w:hAnsi="Calibri"/>
        </w:rPr>
        <w:t xml:space="preserve"> including natural disasters, trafficking in persons, terrorism and “other complex humanitarian emergencies”.</w:t>
      </w:r>
      <w:r w:rsidR="00D22D0E">
        <w:rPr>
          <w:rFonts w:ascii="Calibri" w:hAnsi="Calibri"/>
        </w:rPr>
        <w:t xml:space="preserve"> Like the CEDAW GR No. 30, </w:t>
      </w:r>
      <w:r>
        <w:rPr>
          <w:rFonts w:ascii="Calibri" w:hAnsi="Calibri"/>
        </w:rPr>
        <w:t xml:space="preserve">the Conclusions affirm the need to fully realize the rights of women and girls living under foreign occupation, in conformity with international law. </w:t>
      </w:r>
      <w:r>
        <w:rPr>
          <w:rStyle w:val="FootnoteReference"/>
          <w:rFonts w:ascii="Calibri" w:hAnsi="Calibri"/>
        </w:rPr>
        <w:footnoteReference w:id="117"/>
      </w:r>
      <w:r w:rsidR="00041345">
        <w:rPr>
          <w:rFonts w:ascii="Calibri" w:hAnsi="Calibri"/>
        </w:rPr>
        <w:t xml:space="preserve"> </w:t>
      </w:r>
    </w:p>
    <w:p w14:paraId="5666CB57" w14:textId="77777777" w:rsidR="00E1423B" w:rsidRDefault="00E1423B" w:rsidP="004E5CB0">
      <w:pPr>
        <w:jc w:val="both"/>
        <w:rPr>
          <w:rFonts w:ascii="Calibri" w:eastAsia="Times New Roman" w:hAnsi="Calibri" w:cs="Times New Roman"/>
          <w:color w:val="000000"/>
        </w:rPr>
      </w:pPr>
    </w:p>
    <w:p w14:paraId="1B51270C" w14:textId="55242A24" w:rsidR="00C304E3" w:rsidRDefault="00C304E3" w:rsidP="00A66D34">
      <w:pPr>
        <w:spacing w:line="360" w:lineRule="auto"/>
        <w:jc w:val="both"/>
        <w:rPr>
          <w:rFonts w:ascii="Calibri" w:eastAsia="Times New Roman" w:hAnsi="Calibri" w:cs="Times New Roman"/>
          <w:color w:val="000000"/>
        </w:rPr>
      </w:pPr>
      <w:r>
        <w:rPr>
          <w:rFonts w:ascii="Calibri" w:eastAsia="Times New Roman" w:hAnsi="Calibri" w:cs="Times New Roman"/>
          <w:color w:val="000000"/>
        </w:rPr>
        <w:t>Finally, t</w:t>
      </w:r>
      <w:r w:rsidR="00A6225E">
        <w:rPr>
          <w:rFonts w:ascii="Calibri" w:eastAsia="Times New Roman" w:hAnsi="Calibri" w:cs="Times New Roman"/>
          <w:color w:val="000000"/>
        </w:rPr>
        <w:t>he CS</w:t>
      </w:r>
      <w:r w:rsidR="00CC72DB">
        <w:rPr>
          <w:rFonts w:ascii="Calibri" w:eastAsia="Times New Roman" w:hAnsi="Calibri" w:cs="Times New Roman"/>
          <w:color w:val="000000"/>
        </w:rPr>
        <w:t>W Agreed Conclusions 2013 add to</w:t>
      </w:r>
      <w:r>
        <w:rPr>
          <w:rFonts w:ascii="Calibri" w:eastAsia="Times New Roman" w:hAnsi="Calibri" w:cs="Times New Roman"/>
          <w:color w:val="000000"/>
        </w:rPr>
        <w:t xml:space="preserve"> the legal framework by reinforcing the</w:t>
      </w:r>
      <w:r w:rsidR="008B328E">
        <w:rPr>
          <w:rFonts w:ascii="Calibri" w:eastAsia="Times New Roman" w:hAnsi="Calibri" w:cs="Times New Roman"/>
          <w:color w:val="000000"/>
        </w:rPr>
        <w:t xml:space="preserve"> need </w:t>
      </w:r>
      <w:r w:rsidR="00004535">
        <w:rPr>
          <w:rFonts w:ascii="Calibri" w:eastAsia="Times New Roman" w:hAnsi="Calibri" w:cs="Times New Roman"/>
          <w:color w:val="000000"/>
        </w:rPr>
        <w:t xml:space="preserve">for </w:t>
      </w:r>
      <w:r w:rsidR="00A6225E" w:rsidRPr="00764569">
        <w:rPr>
          <w:rFonts w:ascii="Calibri" w:eastAsia="Times New Roman" w:hAnsi="Calibri" w:cs="Times New Roman"/>
          <w:b/>
          <w:color w:val="4F81BD" w:themeColor="accent1"/>
        </w:rPr>
        <w:t xml:space="preserve">effective accountability, redress measures and </w:t>
      </w:r>
      <w:r w:rsidR="00004535" w:rsidRPr="00764569">
        <w:rPr>
          <w:rFonts w:ascii="Calibri" w:eastAsia="Times New Roman" w:hAnsi="Calibri" w:cs="Times New Roman"/>
          <w:b/>
          <w:color w:val="4F81BD" w:themeColor="accent1"/>
        </w:rPr>
        <w:t>effective remedies</w:t>
      </w:r>
      <w:r w:rsidR="008B328E" w:rsidRPr="00A66D34">
        <w:rPr>
          <w:rFonts w:ascii="Calibri" w:eastAsia="Times New Roman" w:hAnsi="Calibri" w:cs="Times New Roman"/>
          <w:color w:val="4F81BD" w:themeColor="accent1"/>
          <w:sz w:val="26"/>
          <w:szCs w:val="26"/>
        </w:rPr>
        <w:t xml:space="preserve"> </w:t>
      </w:r>
      <w:r w:rsidR="008B328E">
        <w:rPr>
          <w:rFonts w:ascii="Calibri" w:eastAsia="Times New Roman" w:hAnsi="Calibri" w:cs="Times New Roman"/>
          <w:color w:val="000000"/>
        </w:rPr>
        <w:t xml:space="preserve">for crimes against women and girls. </w:t>
      </w:r>
      <w:r>
        <w:rPr>
          <w:rFonts w:ascii="Calibri" w:eastAsia="Times New Roman" w:hAnsi="Calibri" w:cs="Times New Roman"/>
          <w:color w:val="000000"/>
        </w:rPr>
        <w:t xml:space="preserve"> </w:t>
      </w:r>
      <w:r w:rsidR="00004535">
        <w:rPr>
          <w:rFonts w:ascii="Calibri" w:eastAsia="Times New Roman" w:hAnsi="Calibri" w:cs="Times New Roman"/>
          <w:color w:val="000000"/>
        </w:rPr>
        <w:t xml:space="preserve">By recognising </w:t>
      </w:r>
      <w:r w:rsidR="00004535">
        <w:rPr>
          <w:rFonts w:ascii="Calibri" w:hAnsi="Calibri"/>
        </w:rPr>
        <w:t xml:space="preserve">the impact of violence on victims and survivors, families, communities and societies, and calling for effective </w:t>
      </w:r>
      <w:r w:rsidR="00A6225E">
        <w:rPr>
          <w:rFonts w:ascii="Calibri" w:hAnsi="Calibri"/>
        </w:rPr>
        <w:t xml:space="preserve">accountability and </w:t>
      </w:r>
      <w:r w:rsidR="00004535">
        <w:rPr>
          <w:rFonts w:ascii="Calibri" w:hAnsi="Calibri"/>
        </w:rPr>
        <w:t xml:space="preserve">remedies, the Conclusions support the aim of transformative equality as provided for in CEDAW and its GRs. </w:t>
      </w:r>
      <w:r w:rsidR="00A6225E">
        <w:rPr>
          <w:rFonts w:ascii="Calibri" w:hAnsi="Calibri"/>
        </w:rPr>
        <w:t>The Agreed Conclusions also call for accountability</w:t>
      </w:r>
      <w:r w:rsidR="00004535">
        <w:rPr>
          <w:rFonts w:ascii="Calibri" w:hAnsi="Calibri"/>
        </w:rPr>
        <w:t xml:space="preserve"> for the killing, maiming and targeting of women and girls, and crimes of sexual violence which are prohibited under international law. Steps must be taken to </w:t>
      </w:r>
      <w:r w:rsidR="006D4F1C">
        <w:rPr>
          <w:rFonts w:ascii="Calibri" w:hAnsi="Calibri"/>
        </w:rPr>
        <w:t>address these acts at all stages of the conflict and post-conflict resolution processes including via transitional justice mechanisms, while ensuring women’s full and effective participation in these processes.</w:t>
      </w:r>
      <w:r w:rsidR="006D4F1C" w:rsidRPr="006D4F1C">
        <w:rPr>
          <w:rStyle w:val="FootnoteReference"/>
          <w:rFonts w:ascii="Calibri" w:hAnsi="Calibri"/>
        </w:rPr>
        <w:t xml:space="preserve"> </w:t>
      </w:r>
      <w:r w:rsidR="006D4F1C">
        <w:rPr>
          <w:rStyle w:val="FootnoteReference"/>
          <w:rFonts w:ascii="Calibri" w:hAnsi="Calibri"/>
        </w:rPr>
        <w:footnoteReference w:id="118"/>
      </w:r>
    </w:p>
    <w:p w14:paraId="38F87A49" w14:textId="77777777" w:rsidR="00041345" w:rsidRDefault="00041345" w:rsidP="004E5CB0">
      <w:pPr>
        <w:jc w:val="both"/>
        <w:rPr>
          <w:rFonts w:ascii="Calibri" w:eastAsia="Times New Roman" w:hAnsi="Calibri" w:cs="Times New Roman"/>
          <w:color w:val="000000"/>
        </w:rPr>
      </w:pPr>
    </w:p>
    <w:p w14:paraId="2F781D55" w14:textId="77777777" w:rsidR="00041345" w:rsidRDefault="00041345" w:rsidP="004E5CB0">
      <w:pPr>
        <w:jc w:val="both"/>
        <w:rPr>
          <w:rFonts w:ascii="Calibri" w:eastAsia="Times New Roman" w:hAnsi="Calibri" w:cs="Times New Roman"/>
          <w:color w:val="000000"/>
        </w:rPr>
      </w:pPr>
    </w:p>
    <w:p w14:paraId="257346CD" w14:textId="77777777" w:rsidR="008E73F0" w:rsidRDefault="008E73F0" w:rsidP="008E73F0">
      <w:pPr>
        <w:jc w:val="both"/>
        <w:rPr>
          <w:rFonts w:ascii="Times New Roman" w:hAnsi="Times New Roman" w:cs="Times New Roman"/>
          <w:sz w:val="20"/>
          <w:szCs w:val="20"/>
          <w:lang w:val="en-US"/>
        </w:rPr>
      </w:pPr>
    </w:p>
    <w:p w14:paraId="6B8AC239" w14:textId="77777777" w:rsidR="002D1918" w:rsidRDefault="002D1918" w:rsidP="004E5EBC"/>
    <w:p w14:paraId="1652B3A5" w14:textId="6A5864EE" w:rsidR="00A6225E" w:rsidRDefault="004E5EBC">
      <w:r>
        <w:br w:type="page"/>
      </w:r>
    </w:p>
    <w:p w14:paraId="082878E7" w14:textId="284EC69C" w:rsidR="004E5EBC" w:rsidRPr="00764569" w:rsidRDefault="003B6A14" w:rsidP="00764569">
      <w:pPr>
        <w:pStyle w:val="Heading3"/>
        <w:keepLines/>
        <w:spacing w:before="20" w:after="0"/>
        <w:jc w:val="center"/>
        <w:rPr>
          <w:b w:val="0"/>
          <w:color w:val="1F497D" w:themeColor="text2"/>
          <w:spacing w:val="14"/>
          <w:sz w:val="32"/>
          <w:szCs w:val="32"/>
          <w:lang w:val="en-GB"/>
        </w:rPr>
      </w:pPr>
      <w:bookmarkStart w:id="7" w:name="_Toc416867085"/>
      <w:r w:rsidRPr="00764569">
        <w:rPr>
          <w:b w:val="0"/>
          <w:color w:val="1F497D" w:themeColor="text2"/>
          <w:spacing w:val="14"/>
          <w:sz w:val="32"/>
          <w:szCs w:val="32"/>
          <w:lang w:val="en-GB"/>
        </w:rPr>
        <w:lastRenderedPageBreak/>
        <w:t xml:space="preserve">SECTION 1 </w:t>
      </w:r>
      <w:r w:rsidR="00A6225E" w:rsidRPr="00764569">
        <w:rPr>
          <w:b w:val="0"/>
          <w:color w:val="1F497D" w:themeColor="text2"/>
          <w:spacing w:val="14"/>
          <w:sz w:val="32"/>
          <w:szCs w:val="32"/>
          <w:lang w:val="en-GB"/>
        </w:rPr>
        <w:t>CONCLUSION</w:t>
      </w:r>
      <w:r w:rsidRPr="00764569">
        <w:rPr>
          <w:b w:val="0"/>
          <w:color w:val="1F497D" w:themeColor="text2"/>
          <w:spacing w:val="14"/>
          <w:sz w:val="32"/>
          <w:szCs w:val="32"/>
          <w:lang w:val="en-GB"/>
        </w:rPr>
        <w:t>S</w:t>
      </w:r>
      <w:r w:rsidR="00225C4F" w:rsidRPr="00764569">
        <w:rPr>
          <w:b w:val="0"/>
          <w:color w:val="1F497D" w:themeColor="text2"/>
          <w:spacing w:val="14"/>
          <w:sz w:val="32"/>
          <w:szCs w:val="32"/>
          <w:lang w:val="en-GB"/>
        </w:rPr>
        <w:t xml:space="preserve"> AND RECOMMENDATION</w:t>
      </w:r>
      <w:bookmarkEnd w:id="7"/>
    </w:p>
    <w:p w14:paraId="4FB8BAC1" w14:textId="77777777" w:rsidR="002D1918" w:rsidRDefault="002D1918" w:rsidP="004E5EBC"/>
    <w:p w14:paraId="56FBECD2" w14:textId="6E686EC0" w:rsidR="00847B80" w:rsidRPr="00764569" w:rsidRDefault="000813FB" w:rsidP="00AE4A1C">
      <w:pPr>
        <w:spacing w:line="360" w:lineRule="auto"/>
        <w:rPr>
          <w:rFonts w:ascii="Calibri" w:hAnsi="Calibri"/>
        </w:rPr>
      </w:pPr>
      <w:r w:rsidRPr="00764569">
        <w:rPr>
          <w:rFonts w:ascii="Calibri" w:hAnsi="Calibri"/>
        </w:rPr>
        <w:t>Section 1 of this submission</w:t>
      </w:r>
      <w:r w:rsidR="00847B80" w:rsidRPr="00764569">
        <w:rPr>
          <w:rFonts w:ascii="Calibri" w:hAnsi="Calibri"/>
        </w:rPr>
        <w:t xml:space="preserve"> </w:t>
      </w:r>
      <w:r w:rsidR="0059378F" w:rsidRPr="00764569">
        <w:rPr>
          <w:rFonts w:ascii="Calibri" w:hAnsi="Calibri"/>
        </w:rPr>
        <w:t xml:space="preserve">makes the following </w:t>
      </w:r>
      <w:r w:rsidR="00764569">
        <w:rPr>
          <w:rFonts w:ascii="Calibri" w:hAnsi="Calibri"/>
        </w:rPr>
        <w:t xml:space="preserve">conclusions and recommendation: </w:t>
      </w:r>
    </w:p>
    <w:p w14:paraId="49DF61AB" w14:textId="77777777" w:rsidR="006701DA" w:rsidRPr="00764569" w:rsidRDefault="006701DA" w:rsidP="004E5EBC">
      <w:pPr>
        <w:rPr>
          <w:rFonts w:ascii="Calibri" w:hAnsi="Calibri"/>
        </w:rPr>
      </w:pPr>
    </w:p>
    <w:p w14:paraId="68AC3E45" w14:textId="4DACC75A" w:rsidR="00D21003" w:rsidRPr="00764569" w:rsidRDefault="00847B80" w:rsidP="00AE4A1C">
      <w:pPr>
        <w:pStyle w:val="ListParagraph"/>
        <w:numPr>
          <w:ilvl w:val="0"/>
          <w:numId w:val="35"/>
        </w:numPr>
        <w:spacing w:line="360" w:lineRule="auto"/>
        <w:jc w:val="both"/>
        <w:rPr>
          <w:rFonts w:ascii="Calibri" w:hAnsi="Calibri"/>
        </w:rPr>
      </w:pPr>
      <w:r w:rsidRPr="00764569">
        <w:rPr>
          <w:rFonts w:ascii="Calibri" w:hAnsi="Calibri"/>
        </w:rPr>
        <w:t xml:space="preserve">The </w:t>
      </w:r>
      <w:r w:rsidRPr="00764569">
        <w:rPr>
          <w:rFonts w:ascii="Calibri" w:hAnsi="Calibri"/>
          <w:b/>
          <w:color w:val="4F81BD" w:themeColor="accent1"/>
        </w:rPr>
        <w:t>language of SCR 1325</w:t>
      </w:r>
      <w:r w:rsidRPr="00764569">
        <w:rPr>
          <w:rFonts w:ascii="Calibri" w:hAnsi="Calibri"/>
          <w:b/>
        </w:rPr>
        <w:t xml:space="preserve"> </w:t>
      </w:r>
      <w:r w:rsidRPr="00764569">
        <w:rPr>
          <w:rFonts w:ascii="Calibri" w:hAnsi="Calibri"/>
        </w:rPr>
        <w:t xml:space="preserve">is grounded in binding </w:t>
      </w:r>
      <w:r w:rsidR="007949A5" w:rsidRPr="00764569">
        <w:rPr>
          <w:rFonts w:ascii="Calibri" w:hAnsi="Calibri"/>
        </w:rPr>
        <w:t>commitments</w:t>
      </w:r>
      <w:r w:rsidR="00247B0C" w:rsidRPr="00764569">
        <w:rPr>
          <w:rFonts w:ascii="Calibri" w:hAnsi="Calibri"/>
        </w:rPr>
        <w:t xml:space="preserve">, </w:t>
      </w:r>
      <w:r w:rsidRPr="00764569">
        <w:rPr>
          <w:rFonts w:ascii="Calibri" w:hAnsi="Calibri"/>
        </w:rPr>
        <w:t xml:space="preserve">and </w:t>
      </w:r>
      <w:r w:rsidRPr="00764569">
        <w:rPr>
          <w:rFonts w:ascii="Calibri" w:hAnsi="Calibri"/>
          <w:b/>
          <w:color w:val="4F81BD" w:themeColor="accent1"/>
        </w:rPr>
        <w:t>should be understood as</w:t>
      </w:r>
      <w:r w:rsidR="00247B0C" w:rsidRPr="00764569">
        <w:rPr>
          <w:rFonts w:ascii="Calibri" w:hAnsi="Calibri"/>
          <w:b/>
          <w:color w:val="4F81BD" w:themeColor="accent1"/>
        </w:rPr>
        <w:t xml:space="preserve"> containing </w:t>
      </w:r>
      <w:r w:rsidR="007949A5" w:rsidRPr="00764569">
        <w:rPr>
          <w:rFonts w:ascii="Calibri" w:hAnsi="Calibri"/>
          <w:b/>
          <w:color w:val="4F81BD" w:themeColor="accent1"/>
        </w:rPr>
        <w:t xml:space="preserve">states’ </w:t>
      </w:r>
      <w:r w:rsidR="00247B0C" w:rsidRPr="00764569">
        <w:rPr>
          <w:rFonts w:ascii="Calibri" w:hAnsi="Calibri"/>
          <w:b/>
          <w:color w:val="4F81BD" w:themeColor="accent1"/>
        </w:rPr>
        <w:t>legal obligations</w:t>
      </w:r>
      <w:r w:rsidRPr="00764569">
        <w:rPr>
          <w:rFonts w:ascii="Calibri" w:hAnsi="Calibri"/>
          <w:b/>
          <w:color w:val="4F81BD" w:themeColor="accent1"/>
        </w:rPr>
        <w:t xml:space="preserve"> and not mere political commitments</w:t>
      </w:r>
      <w:r w:rsidRPr="00764569">
        <w:rPr>
          <w:rFonts w:ascii="Calibri" w:hAnsi="Calibri"/>
        </w:rPr>
        <w:t xml:space="preserve">. The Resolution both expressly references and draws upon international law from treaties and custom, particularly CEDAW. </w:t>
      </w:r>
      <w:r w:rsidR="006701DA" w:rsidRPr="00764569">
        <w:rPr>
          <w:rFonts w:ascii="Calibri" w:hAnsi="Calibri"/>
        </w:rPr>
        <w:t>M</w:t>
      </w:r>
      <w:r w:rsidR="00306718" w:rsidRPr="00764569">
        <w:rPr>
          <w:rFonts w:ascii="Calibri" w:hAnsi="Calibri"/>
        </w:rPr>
        <w:t xml:space="preserve">any of the protections under </w:t>
      </w:r>
      <w:r w:rsidR="006701DA" w:rsidRPr="00764569">
        <w:rPr>
          <w:rFonts w:ascii="Calibri" w:hAnsi="Calibri"/>
        </w:rPr>
        <w:t>t</w:t>
      </w:r>
      <w:r w:rsidRPr="00764569">
        <w:rPr>
          <w:rFonts w:ascii="Calibri" w:hAnsi="Calibri"/>
        </w:rPr>
        <w:t>he four</w:t>
      </w:r>
      <w:r w:rsidR="006701DA" w:rsidRPr="00764569">
        <w:rPr>
          <w:rFonts w:ascii="Calibri" w:hAnsi="Calibri"/>
        </w:rPr>
        <w:t xml:space="preserve"> pillars of the SCR 1325 reflect com</w:t>
      </w:r>
      <w:r w:rsidR="00306718" w:rsidRPr="00764569">
        <w:rPr>
          <w:rFonts w:ascii="Calibri" w:hAnsi="Calibri"/>
        </w:rPr>
        <w:t>mitments under CEDAW and its GRs</w:t>
      </w:r>
      <w:r w:rsidR="006701DA" w:rsidRPr="00764569">
        <w:rPr>
          <w:rFonts w:ascii="Calibri" w:hAnsi="Calibri"/>
        </w:rPr>
        <w:t>,</w:t>
      </w:r>
      <w:r w:rsidRPr="00764569">
        <w:rPr>
          <w:rFonts w:ascii="Calibri" w:hAnsi="Calibri"/>
        </w:rPr>
        <w:t xml:space="preserve"> espe</w:t>
      </w:r>
      <w:r w:rsidR="006701DA" w:rsidRPr="00764569">
        <w:rPr>
          <w:rFonts w:ascii="Calibri" w:hAnsi="Calibri"/>
        </w:rPr>
        <w:t>cially its participation pillar which</w:t>
      </w:r>
      <w:r w:rsidRPr="00764569">
        <w:rPr>
          <w:rFonts w:ascii="Calibri" w:hAnsi="Calibri"/>
        </w:rPr>
        <w:t xml:space="preserve"> reflect</w:t>
      </w:r>
      <w:r w:rsidR="006701DA" w:rsidRPr="00764569">
        <w:rPr>
          <w:rFonts w:ascii="Calibri" w:hAnsi="Calibri"/>
        </w:rPr>
        <w:t>s</w:t>
      </w:r>
      <w:r w:rsidRPr="00764569">
        <w:rPr>
          <w:rFonts w:ascii="Calibri" w:hAnsi="Calibri"/>
        </w:rPr>
        <w:t xml:space="preserve"> CEDAW’s obligation of non-discrimination. </w:t>
      </w:r>
      <w:r w:rsidR="00247B0C" w:rsidRPr="00764569">
        <w:rPr>
          <w:rFonts w:ascii="Calibri" w:hAnsi="Calibri"/>
        </w:rPr>
        <w:t>Understanding</w:t>
      </w:r>
      <w:r w:rsidR="00F44A80" w:rsidRPr="00764569">
        <w:rPr>
          <w:rFonts w:ascii="Calibri" w:hAnsi="Calibri"/>
        </w:rPr>
        <w:t xml:space="preserve"> </w:t>
      </w:r>
      <w:r w:rsidR="006701DA" w:rsidRPr="00764569">
        <w:rPr>
          <w:rFonts w:ascii="Calibri" w:hAnsi="Calibri"/>
        </w:rPr>
        <w:t>that CEDAW obligations underpin</w:t>
      </w:r>
      <w:r w:rsidRPr="00764569">
        <w:rPr>
          <w:rFonts w:ascii="Calibri" w:hAnsi="Calibri"/>
        </w:rPr>
        <w:t xml:space="preserve"> SCR 1325 </w:t>
      </w:r>
      <w:r w:rsidR="00247B0C" w:rsidRPr="00764569">
        <w:rPr>
          <w:rFonts w:ascii="Calibri" w:hAnsi="Calibri"/>
        </w:rPr>
        <w:t xml:space="preserve">is crucial </w:t>
      </w:r>
      <w:r w:rsidR="00F44A80" w:rsidRPr="00764569">
        <w:rPr>
          <w:rFonts w:ascii="Calibri" w:hAnsi="Calibri"/>
        </w:rPr>
        <w:t xml:space="preserve">to uphold the rights of women and girls in </w:t>
      </w:r>
      <w:r w:rsidR="006701DA" w:rsidRPr="00764569">
        <w:rPr>
          <w:rFonts w:ascii="Calibri" w:hAnsi="Calibri"/>
        </w:rPr>
        <w:t xml:space="preserve">relation to </w:t>
      </w:r>
      <w:r w:rsidR="00F44A80" w:rsidRPr="00764569">
        <w:rPr>
          <w:rFonts w:ascii="Calibri" w:hAnsi="Calibri"/>
        </w:rPr>
        <w:t>conflict.</w:t>
      </w:r>
    </w:p>
    <w:p w14:paraId="026AA9AB" w14:textId="77777777" w:rsidR="00D21003" w:rsidRPr="00764569" w:rsidRDefault="00D21003" w:rsidP="00D21003">
      <w:pPr>
        <w:pStyle w:val="ListParagraph"/>
        <w:ind w:left="360"/>
        <w:jc w:val="both"/>
        <w:rPr>
          <w:rFonts w:ascii="Calibri" w:hAnsi="Calibri"/>
        </w:rPr>
      </w:pPr>
    </w:p>
    <w:p w14:paraId="73D79509" w14:textId="0BF812E4" w:rsidR="006701DA" w:rsidRPr="00764569" w:rsidRDefault="00F44A80" w:rsidP="00AE4A1C">
      <w:pPr>
        <w:pStyle w:val="ListParagraph"/>
        <w:numPr>
          <w:ilvl w:val="0"/>
          <w:numId w:val="35"/>
        </w:numPr>
        <w:spacing w:line="360" w:lineRule="auto"/>
        <w:jc w:val="both"/>
        <w:rPr>
          <w:rFonts w:ascii="Calibri" w:hAnsi="Calibri"/>
        </w:rPr>
      </w:pPr>
      <w:r w:rsidRPr="00764569">
        <w:rPr>
          <w:rFonts w:ascii="Calibri" w:hAnsi="Calibri"/>
        </w:rPr>
        <w:t xml:space="preserve">The </w:t>
      </w:r>
      <w:r w:rsidRPr="00764569">
        <w:rPr>
          <w:rFonts w:ascii="Calibri" w:hAnsi="Calibri"/>
          <w:b/>
          <w:color w:val="4F81BD" w:themeColor="accent1"/>
        </w:rPr>
        <w:t>Security Council resolutions</w:t>
      </w:r>
      <w:r w:rsidRPr="00764569">
        <w:rPr>
          <w:rFonts w:ascii="Calibri" w:hAnsi="Calibri"/>
        </w:rPr>
        <w:t xml:space="preserve"> on women, peace and security that follow SCR 1325 also reflect binding international </w:t>
      </w:r>
      <w:r w:rsidR="00583713">
        <w:rPr>
          <w:rFonts w:ascii="Calibri" w:hAnsi="Calibri"/>
        </w:rPr>
        <w:t>legal</w:t>
      </w:r>
      <w:r w:rsidR="00247B0C" w:rsidRPr="00764569">
        <w:rPr>
          <w:rFonts w:ascii="Calibri" w:hAnsi="Calibri"/>
        </w:rPr>
        <w:t xml:space="preserve"> obligations that go beyond SCR 1325</w:t>
      </w:r>
      <w:r w:rsidR="00C16782" w:rsidRPr="00764569">
        <w:rPr>
          <w:rFonts w:ascii="Calibri" w:hAnsi="Calibri"/>
        </w:rPr>
        <w:t xml:space="preserve">. </w:t>
      </w:r>
      <w:r w:rsidR="00247B0C" w:rsidRPr="00764569">
        <w:rPr>
          <w:rFonts w:ascii="Calibri" w:hAnsi="Calibri"/>
        </w:rPr>
        <w:t xml:space="preserve"> T</w:t>
      </w:r>
      <w:r w:rsidR="00C16782" w:rsidRPr="00764569">
        <w:rPr>
          <w:rFonts w:ascii="Calibri" w:hAnsi="Calibri"/>
        </w:rPr>
        <w:t xml:space="preserve">hey </w:t>
      </w:r>
      <w:r w:rsidR="00247B0C" w:rsidRPr="00764569">
        <w:rPr>
          <w:rFonts w:ascii="Calibri" w:hAnsi="Calibri"/>
        </w:rPr>
        <w:t xml:space="preserve">expand on: </w:t>
      </w:r>
    </w:p>
    <w:p w14:paraId="12908A6F" w14:textId="77777777" w:rsidR="00E4120D" w:rsidRPr="00764569" w:rsidRDefault="00E4120D" w:rsidP="00E4120D">
      <w:pPr>
        <w:pStyle w:val="ListParagraph"/>
        <w:rPr>
          <w:rFonts w:ascii="Calibri" w:hAnsi="Calibri"/>
        </w:rPr>
      </w:pPr>
    </w:p>
    <w:p w14:paraId="4FF53EE5" w14:textId="13DFCD64" w:rsidR="006701DA" w:rsidRPr="00764569" w:rsidRDefault="006701DA" w:rsidP="00AE4A1C">
      <w:pPr>
        <w:pStyle w:val="ListParagraph"/>
        <w:numPr>
          <w:ilvl w:val="0"/>
          <w:numId w:val="34"/>
        </w:numPr>
        <w:spacing w:line="360" w:lineRule="auto"/>
        <w:jc w:val="both"/>
        <w:rPr>
          <w:rFonts w:ascii="Calibri" w:hAnsi="Calibri"/>
        </w:rPr>
      </w:pPr>
      <w:r w:rsidRPr="00764569">
        <w:rPr>
          <w:rFonts w:ascii="Calibri" w:hAnsi="Calibri"/>
        </w:rPr>
        <w:t>Women</w:t>
      </w:r>
      <w:r w:rsidR="006E21AB">
        <w:rPr>
          <w:rFonts w:ascii="Calibri" w:hAnsi="Calibri"/>
        </w:rPr>
        <w:t>’s</w:t>
      </w:r>
      <w:r w:rsidRPr="00764569">
        <w:rPr>
          <w:rFonts w:ascii="Calibri" w:hAnsi="Calibri"/>
        </w:rPr>
        <w:t xml:space="preserve"> and girls’ </w:t>
      </w:r>
      <w:r w:rsidR="00247B0C" w:rsidRPr="00764569">
        <w:rPr>
          <w:rFonts w:ascii="Calibri" w:hAnsi="Calibri"/>
          <w:b/>
          <w:color w:val="4F81BD" w:themeColor="accent1"/>
        </w:rPr>
        <w:t>access to justice and economic, social and cultural rights</w:t>
      </w:r>
      <w:r w:rsidR="00247B0C" w:rsidRPr="00764569">
        <w:rPr>
          <w:rFonts w:ascii="Calibri" w:hAnsi="Calibri"/>
        </w:rPr>
        <w:t xml:space="preserve"> under international human rights law; </w:t>
      </w:r>
    </w:p>
    <w:p w14:paraId="19B91FD0" w14:textId="554F666C" w:rsidR="00847B80" w:rsidRPr="00764569" w:rsidRDefault="006701DA" w:rsidP="00AE4A1C">
      <w:pPr>
        <w:pStyle w:val="ListParagraph"/>
        <w:numPr>
          <w:ilvl w:val="0"/>
          <w:numId w:val="34"/>
        </w:numPr>
        <w:spacing w:line="360" w:lineRule="auto"/>
        <w:jc w:val="both"/>
        <w:rPr>
          <w:rFonts w:ascii="Calibri" w:hAnsi="Calibri"/>
        </w:rPr>
      </w:pPr>
      <w:r w:rsidRPr="00764569">
        <w:rPr>
          <w:rFonts w:ascii="Calibri" w:hAnsi="Calibri"/>
        </w:rPr>
        <w:t>T</w:t>
      </w:r>
      <w:r w:rsidR="00247B0C" w:rsidRPr="00764569">
        <w:rPr>
          <w:rFonts w:ascii="Calibri" w:hAnsi="Calibri"/>
        </w:rPr>
        <w:t xml:space="preserve">he </w:t>
      </w:r>
      <w:r w:rsidR="00247B0C" w:rsidRPr="00764569">
        <w:rPr>
          <w:rFonts w:ascii="Calibri" w:hAnsi="Calibri"/>
          <w:b/>
          <w:color w:val="4F81BD" w:themeColor="accent1"/>
        </w:rPr>
        <w:t>protection of civilians</w:t>
      </w:r>
      <w:r w:rsidR="00247B0C" w:rsidRPr="00764569">
        <w:rPr>
          <w:rFonts w:ascii="Calibri" w:hAnsi="Calibri"/>
        </w:rPr>
        <w:t>, especially</w:t>
      </w:r>
      <w:r w:rsidRPr="00764569">
        <w:rPr>
          <w:rFonts w:ascii="Calibri" w:hAnsi="Calibri"/>
        </w:rPr>
        <w:t xml:space="preserve"> women and children and including against</w:t>
      </w:r>
      <w:r w:rsidR="00247B0C" w:rsidRPr="00764569">
        <w:rPr>
          <w:rFonts w:ascii="Calibri" w:hAnsi="Calibri"/>
        </w:rPr>
        <w:t xml:space="preserve"> rape and sexual violence and war crimes and crimes against humanity, the treatment of refugees, displaced persons and abductees and individual and command responsibility under international humanitarian law; </w:t>
      </w:r>
    </w:p>
    <w:p w14:paraId="62192B9A" w14:textId="4B085E9B" w:rsidR="006701DA" w:rsidRPr="00764569" w:rsidRDefault="006701DA" w:rsidP="00AE4A1C">
      <w:pPr>
        <w:pStyle w:val="ListParagraph"/>
        <w:numPr>
          <w:ilvl w:val="0"/>
          <w:numId w:val="34"/>
        </w:numPr>
        <w:spacing w:line="360" w:lineRule="auto"/>
        <w:jc w:val="both"/>
        <w:rPr>
          <w:rFonts w:ascii="Calibri" w:hAnsi="Calibri"/>
        </w:rPr>
      </w:pPr>
      <w:r w:rsidRPr="00764569">
        <w:rPr>
          <w:rFonts w:ascii="Calibri" w:hAnsi="Calibri"/>
        </w:rPr>
        <w:t xml:space="preserve">The need to </w:t>
      </w:r>
      <w:r w:rsidRPr="00764569">
        <w:rPr>
          <w:rFonts w:ascii="Calibri" w:hAnsi="Calibri"/>
          <w:b/>
          <w:color w:val="4F81BD" w:themeColor="accent1"/>
        </w:rPr>
        <w:t>end impunity and prosecute perpetrators of war crimes and crimes against humanity committed against women and girls</w:t>
      </w:r>
      <w:r w:rsidRPr="00764569">
        <w:rPr>
          <w:rFonts w:ascii="Calibri" w:hAnsi="Calibri"/>
          <w:b/>
        </w:rPr>
        <w:t xml:space="preserve"> </w:t>
      </w:r>
      <w:r w:rsidRPr="00764569">
        <w:rPr>
          <w:rFonts w:ascii="Calibri" w:hAnsi="Calibri"/>
        </w:rPr>
        <w:t>under international criminal law.</w:t>
      </w:r>
    </w:p>
    <w:p w14:paraId="3D8A6CCC" w14:textId="77777777" w:rsidR="00247B0C" w:rsidRPr="00764569" w:rsidRDefault="00247B0C" w:rsidP="004E5EBC">
      <w:pPr>
        <w:rPr>
          <w:rFonts w:ascii="Calibri" w:hAnsi="Calibri"/>
        </w:rPr>
      </w:pPr>
    </w:p>
    <w:p w14:paraId="027CA807" w14:textId="2EB703D6" w:rsidR="00247B0C" w:rsidRPr="00764569" w:rsidRDefault="006701DA" w:rsidP="00AE4A1C">
      <w:pPr>
        <w:pStyle w:val="ListParagraph"/>
        <w:numPr>
          <w:ilvl w:val="0"/>
          <w:numId w:val="35"/>
        </w:numPr>
        <w:spacing w:line="360" w:lineRule="auto"/>
        <w:jc w:val="both"/>
        <w:rPr>
          <w:rFonts w:ascii="Calibri" w:hAnsi="Calibri"/>
        </w:rPr>
      </w:pPr>
      <w:r w:rsidRPr="00764569">
        <w:rPr>
          <w:rFonts w:ascii="Calibri" w:hAnsi="Calibri"/>
          <w:b/>
          <w:color w:val="4F81BD" w:themeColor="accent1"/>
        </w:rPr>
        <w:t>CEDAW and its GR No. 30 contain seven important differences</w:t>
      </w:r>
      <w:r w:rsidRPr="00764569">
        <w:rPr>
          <w:rFonts w:ascii="Calibri" w:hAnsi="Calibri"/>
          <w:color w:val="4F81BD" w:themeColor="accent1"/>
        </w:rPr>
        <w:t xml:space="preserve"> </w:t>
      </w:r>
      <w:r w:rsidRPr="00764569">
        <w:rPr>
          <w:rFonts w:ascii="Calibri" w:hAnsi="Calibri"/>
        </w:rPr>
        <w:t xml:space="preserve">from </w:t>
      </w:r>
      <w:r w:rsidR="00DA4512" w:rsidRPr="00764569">
        <w:rPr>
          <w:rFonts w:ascii="Calibri" w:hAnsi="Calibri"/>
        </w:rPr>
        <w:t>the Security Council Resolutions</w:t>
      </w:r>
      <w:r w:rsidR="000813FB" w:rsidRPr="00764569">
        <w:rPr>
          <w:rFonts w:ascii="Calibri" w:hAnsi="Calibri"/>
        </w:rPr>
        <w:t xml:space="preserve"> </w:t>
      </w:r>
      <w:r w:rsidRPr="00764569">
        <w:rPr>
          <w:rFonts w:ascii="Calibri" w:hAnsi="Calibri"/>
        </w:rPr>
        <w:t xml:space="preserve">that should inform an understanding of </w:t>
      </w:r>
      <w:r w:rsidR="00DA4512" w:rsidRPr="00764569">
        <w:rPr>
          <w:rFonts w:ascii="Calibri" w:hAnsi="Calibri"/>
        </w:rPr>
        <w:t>them</w:t>
      </w:r>
      <w:r w:rsidRPr="00764569">
        <w:rPr>
          <w:rFonts w:ascii="Calibri" w:hAnsi="Calibri"/>
        </w:rPr>
        <w:t xml:space="preserve">. These </w:t>
      </w:r>
      <w:r w:rsidR="00D21003" w:rsidRPr="00764569">
        <w:rPr>
          <w:rFonts w:ascii="Calibri" w:hAnsi="Calibri"/>
        </w:rPr>
        <w:t xml:space="preserve">are: an </w:t>
      </w:r>
      <w:r w:rsidR="00D21003" w:rsidRPr="00764569">
        <w:rPr>
          <w:rFonts w:ascii="Calibri" w:hAnsi="Calibri"/>
          <w:b/>
          <w:color w:val="4F81BD" w:themeColor="accent1"/>
        </w:rPr>
        <w:t xml:space="preserve">expanded </w:t>
      </w:r>
      <w:r w:rsidR="00984850" w:rsidRPr="00764569">
        <w:rPr>
          <w:rFonts w:ascii="Calibri" w:hAnsi="Calibri"/>
          <w:b/>
          <w:color w:val="4F81BD" w:themeColor="accent1"/>
        </w:rPr>
        <w:t>view</w:t>
      </w:r>
      <w:r w:rsidR="00D21003" w:rsidRPr="00764569">
        <w:rPr>
          <w:rFonts w:ascii="Calibri" w:hAnsi="Calibri"/>
          <w:b/>
          <w:color w:val="4F81BD" w:themeColor="accent1"/>
        </w:rPr>
        <w:t xml:space="preserve"> of conflict</w:t>
      </w:r>
      <w:r w:rsidR="00D21003" w:rsidRPr="00764569">
        <w:rPr>
          <w:rFonts w:ascii="Calibri" w:hAnsi="Calibri"/>
        </w:rPr>
        <w:t xml:space="preserve"> that </w:t>
      </w:r>
      <w:r w:rsidR="00DA4512" w:rsidRPr="00764569">
        <w:rPr>
          <w:rFonts w:ascii="Calibri" w:hAnsi="Calibri"/>
        </w:rPr>
        <w:t>covers</w:t>
      </w:r>
      <w:r w:rsidR="00D21003" w:rsidRPr="00764569">
        <w:rPr>
          <w:rFonts w:ascii="Calibri" w:hAnsi="Calibri"/>
        </w:rPr>
        <w:t xml:space="preserve"> foreign </w:t>
      </w:r>
      <w:r w:rsidR="00DA4512" w:rsidRPr="00764569">
        <w:rPr>
          <w:rFonts w:ascii="Calibri" w:hAnsi="Calibri"/>
        </w:rPr>
        <w:t>and</w:t>
      </w:r>
      <w:r w:rsidR="00D21003" w:rsidRPr="00764569">
        <w:rPr>
          <w:rFonts w:ascii="Calibri" w:hAnsi="Calibri"/>
        </w:rPr>
        <w:t xml:space="preserve"> other forms of occupation and post-conflict situations; the application of </w:t>
      </w:r>
      <w:r w:rsidR="00D21003" w:rsidRPr="00764569">
        <w:rPr>
          <w:rFonts w:ascii="Calibri" w:hAnsi="Calibri"/>
          <w:b/>
          <w:color w:val="4F81BD" w:themeColor="accent1"/>
        </w:rPr>
        <w:t>extra-territorial responsibility</w:t>
      </w:r>
      <w:r w:rsidR="00D21003" w:rsidRPr="00764569">
        <w:rPr>
          <w:rFonts w:ascii="Calibri" w:hAnsi="Calibri"/>
          <w:color w:val="4F81BD" w:themeColor="accent1"/>
        </w:rPr>
        <w:t xml:space="preserve"> </w:t>
      </w:r>
      <w:r w:rsidR="00D21003" w:rsidRPr="00764569">
        <w:rPr>
          <w:rFonts w:ascii="Calibri" w:hAnsi="Calibri"/>
        </w:rPr>
        <w:t xml:space="preserve">to state and non-state actors; </w:t>
      </w:r>
      <w:r w:rsidR="00D21003" w:rsidRPr="00764569">
        <w:rPr>
          <w:rFonts w:ascii="Calibri" w:hAnsi="Calibri"/>
          <w:b/>
          <w:color w:val="4F81BD" w:themeColor="accent1"/>
        </w:rPr>
        <w:t>access to justice provisions that include transformative reparations</w:t>
      </w:r>
      <w:r w:rsidR="00D21003" w:rsidRPr="00764569">
        <w:rPr>
          <w:rFonts w:ascii="Calibri" w:hAnsi="Calibri"/>
        </w:rPr>
        <w:t xml:space="preserve">, especially for women and girl victims of rape and sexual and gender-based violence; a </w:t>
      </w:r>
      <w:r w:rsidR="00D21003" w:rsidRPr="00764569">
        <w:rPr>
          <w:rFonts w:ascii="Calibri" w:hAnsi="Calibri"/>
          <w:b/>
          <w:color w:val="4F81BD" w:themeColor="accent1"/>
        </w:rPr>
        <w:t>preventive approach to addressing women’s rights</w:t>
      </w:r>
      <w:r w:rsidR="00D21003" w:rsidRPr="00764569">
        <w:rPr>
          <w:rFonts w:ascii="Calibri" w:hAnsi="Calibri"/>
          <w:color w:val="4F81BD" w:themeColor="accent1"/>
        </w:rPr>
        <w:t xml:space="preserve"> </w:t>
      </w:r>
      <w:r w:rsidR="00D21003" w:rsidRPr="00764569">
        <w:rPr>
          <w:rFonts w:ascii="Calibri" w:hAnsi="Calibri"/>
          <w:b/>
          <w:color w:val="4F81BD" w:themeColor="accent1"/>
        </w:rPr>
        <w:t xml:space="preserve">at all stages of the conflict </w:t>
      </w:r>
      <w:r w:rsidR="00984850" w:rsidRPr="00764569">
        <w:rPr>
          <w:rFonts w:ascii="Calibri" w:hAnsi="Calibri"/>
          <w:b/>
          <w:color w:val="4F81BD" w:themeColor="accent1"/>
        </w:rPr>
        <w:t>process</w:t>
      </w:r>
      <w:r w:rsidR="00D21003" w:rsidRPr="00764569">
        <w:rPr>
          <w:rFonts w:ascii="Calibri" w:hAnsi="Calibri"/>
        </w:rPr>
        <w:t xml:space="preserve">; the recognition of human rights via an </w:t>
      </w:r>
      <w:r w:rsidR="00D21003" w:rsidRPr="00764569">
        <w:rPr>
          <w:rFonts w:ascii="Calibri" w:hAnsi="Calibri"/>
          <w:b/>
          <w:color w:val="4F81BD" w:themeColor="accent1"/>
        </w:rPr>
        <w:t>intersectional perspective</w:t>
      </w:r>
      <w:r w:rsidR="00D21003" w:rsidRPr="00764569">
        <w:rPr>
          <w:rFonts w:ascii="Calibri" w:hAnsi="Calibri"/>
        </w:rPr>
        <w:t xml:space="preserve"> that affirms protections for diverse groups of women and girls; comprehensive recommendation</w:t>
      </w:r>
      <w:r w:rsidR="00984850" w:rsidRPr="00764569">
        <w:rPr>
          <w:rFonts w:ascii="Calibri" w:hAnsi="Calibri"/>
        </w:rPr>
        <w:t>s</w:t>
      </w:r>
      <w:r w:rsidR="00D21003" w:rsidRPr="00764569">
        <w:rPr>
          <w:rFonts w:ascii="Calibri" w:hAnsi="Calibri"/>
        </w:rPr>
        <w:t xml:space="preserve"> on </w:t>
      </w:r>
      <w:r w:rsidR="00D21003" w:rsidRPr="00764569">
        <w:rPr>
          <w:rFonts w:ascii="Calibri" w:hAnsi="Calibri"/>
          <w:b/>
          <w:color w:val="4F81BD" w:themeColor="accent1"/>
        </w:rPr>
        <w:t>sexual and reproductive health</w:t>
      </w:r>
      <w:r w:rsidR="00D21003" w:rsidRPr="00764569">
        <w:rPr>
          <w:rFonts w:ascii="Calibri" w:hAnsi="Calibri"/>
        </w:rPr>
        <w:t xml:space="preserve">, including access to abortion; and the </w:t>
      </w:r>
      <w:r w:rsidR="00984850" w:rsidRPr="00764569">
        <w:rPr>
          <w:rFonts w:ascii="Calibri" w:hAnsi="Calibri"/>
        </w:rPr>
        <w:t>substantive</w:t>
      </w:r>
      <w:r w:rsidR="00D21003" w:rsidRPr="00764569">
        <w:rPr>
          <w:rFonts w:ascii="Calibri" w:hAnsi="Calibri"/>
        </w:rPr>
        <w:t xml:space="preserve"> recognition of </w:t>
      </w:r>
      <w:r w:rsidR="00D21003" w:rsidRPr="00764569">
        <w:rPr>
          <w:rFonts w:ascii="Calibri" w:hAnsi="Calibri"/>
          <w:b/>
          <w:color w:val="4F81BD" w:themeColor="accent1"/>
        </w:rPr>
        <w:t>economic, social and cultural rights</w:t>
      </w:r>
      <w:r w:rsidR="00984850" w:rsidRPr="00764569">
        <w:rPr>
          <w:rFonts w:ascii="Calibri" w:hAnsi="Calibri"/>
          <w:b/>
          <w:color w:val="4F81BD" w:themeColor="accent1"/>
        </w:rPr>
        <w:t xml:space="preserve"> as indivisible from civil and political rights</w:t>
      </w:r>
      <w:r w:rsidR="00984850" w:rsidRPr="00764569">
        <w:rPr>
          <w:rFonts w:ascii="Calibri" w:hAnsi="Calibri"/>
          <w:b/>
        </w:rPr>
        <w:t>,</w:t>
      </w:r>
      <w:r w:rsidR="00D21003" w:rsidRPr="00764569">
        <w:rPr>
          <w:rFonts w:ascii="Calibri" w:hAnsi="Calibri"/>
        </w:rPr>
        <w:t xml:space="preserve"> which </w:t>
      </w:r>
      <w:r w:rsidR="00984850" w:rsidRPr="00764569">
        <w:rPr>
          <w:rFonts w:ascii="Calibri" w:hAnsi="Calibri"/>
        </w:rPr>
        <w:t xml:space="preserve">builds </w:t>
      </w:r>
      <w:r w:rsidR="00D21003" w:rsidRPr="00764569">
        <w:rPr>
          <w:rFonts w:ascii="Calibri" w:hAnsi="Calibri"/>
        </w:rPr>
        <w:t>on the reco</w:t>
      </w:r>
      <w:r w:rsidR="000813FB" w:rsidRPr="00764569">
        <w:rPr>
          <w:rFonts w:ascii="Calibri" w:hAnsi="Calibri"/>
        </w:rPr>
        <w:t>gnition of these rights in the r</w:t>
      </w:r>
      <w:r w:rsidR="00D21003" w:rsidRPr="00764569">
        <w:rPr>
          <w:rFonts w:ascii="Calibri" w:hAnsi="Calibri"/>
        </w:rPr>
        <w:t xml:space="preserve">esolutions. </w:t>
      </w:r>
    </w:p>
    <w:p w14:paraId="248C1AA8" w14:textId="77777777" w:rsidR="000813FB" w:rsidRPr="00764569" w:rsidRDefault="000813FB" w:rsidP="000813FB">
      <w:pPr>
        <w:jc w:val="both"/>
        <w:rPr>
          <w:rFonts w:ascii="Calibri" w:hAnsi="Calibri"/>
        </w:rPr>
      </w:pPr>
    </w:p>
    <w:p w14:paraId="3813881F" w14:textId="1C15B4AA" w:rsidR="00CC72DB" w:rsidRPr="00764569" w:rsidRDefault="000813FB" w:rsidP="009C1453">
      <w:pPr>
        <w:pStyle w:val="ListParagraph"/>
        <w:numPr>
          <w:ilvl w:val="0"/>
          <w:numId w:val="35"/>
        </w:numPr>
        <w:spacing w:line="360" w:lineRule="auto"/>
        <w:jc w:val="both"/>
        <w:rPr>
          <w:rFonts w:ascii="Calibri" w:hAnsi="Calibri"/>
        </w:rPr>
      </w:pPr>
      <w:r w:rsidRPr="00764569">
        <w:rPr>
          <w:rFonts w:ascii="Calibri" w:hAnsi="Calibri"/>
        </w:rPr>
        <w:lastRenderedPageBreak/>
        <w:t xml:space="preserve">The SCRs on women, peace and security, and CEDAW and its GRs, should be read together with important “soft law” elements of the legal framework on women, peace and security, which provide blueprints for action </w:t>
      </w:r>
      <w:r w:rsidR="00984850" w:rsidRPr="00764569">
        <w:rPr>
          <w:rFonts w:ascii="Calibri" w:hAnsi="Calibri"/>
        </w:rPr>
        <w:t xml:space="preserve">that are </w:t>
      </w:r>
      <w:r w:rsidRPr="00764569">
        <w:rPr>
          <w:rFonts w:ascii="Calibri" w:hAnsi="Calibri"/>
        </w:rPr>
        <w:t xml:space="preserve">supported by state practice. </w:t>
      </w:r>
    </w:p>
    <w:p w14:paraId="5D55C04F" w14:textId="77777777" w:rsidR="00984850" w:rsidRPr="00764569" w:rsidRDefault="00984850" w:rsidP="00984850">
      <w:pPr>
        <w:jc w:val="both"/>
        <w:rPr>
          <w:rFonts w:ascii="Calibri" w:hAnsi="Calibri"/>
        </w:rPr>
      </w:pPr>
    </w:p>
    <w:p w14:paraId="636A3247" w14:textId="77777777" w:rsidR="00CC72DB" w:rsidRPr="00764569" w:rsidRDefault="000813FB" w:rsidP="009C1453">
      <w:pPr>
        <w:pStyle w:val="ListParagraph"/>
        <w:numPr>
          <w:ilvl w:val="0"/>
          <w:numId w:val="37"/>
        </w:numPr>
        <w:spacing w:line="360" w:lineRule="auto"/>
        <w:jc w:val="both"/>
        <w:rPr>
          <w:rFonts w:ascii="Calibri" w:hAnsi="Calibri"/>
        </w:rPr>
      </w:pPr>
      <w:r w:rsidRPr="00764569">
        <w:rPr>
          <w:rFonts w:ascii="Calibri" w:hAnsi="Calibri"/>
        </w:rPr>
        <w:t xml:space="preserve">The </w:t>
      </w:r>
      <w:r w:rsidRPr="00764569">
        <w:rPr>
          <w:rFonts w:ascii="Calibri" w:hAnsi="Calibri"/>
          <w:b/>
          <w:color w:val="4F81BD" w:themeColor="accent1"/>
        </w:rPr>
        <w:t>BPfA</w:t>
      </w:r>
      <w:r w:rsidRPr="00764569">
        <w:rPr>
          <w:rFonts w:ascii="Calibri" w:hAnsi="Calibri"/>
          <w:b/>
        </w:rPr>
        <w:t xml:space="preserve"> </w:t>
      </w:r>
      <w:r w:rsidRPr="00764569">
        <w:rPr>
          <w:rFonts w:ascii="Calibri" w:hAnsi="Calibri"/>
        </w:rPr>
        <w:t xml:space="preserve">adds value to an understanding of SCR 1325 through its </w:t>
      </w:r>
      <w:r w:rsidRPr="00764569">
        <w:rPr>
          <w:rFonts w:ascii="Calibri" w:hAnsi="Calibri"/>
          <w:b/>
          <w:color w:val="4F81BD" w:themeColor="accent1"/>
        </w:rPr>
        <w:t>intersectional perspective on violence</w:t>
      </w:r>
      <w:r w:rsidRPr="00764569">
        <w:rPr>
          <w:rFonts w:ascii="Calibri" w:hAnsi="Calibri"/>
          <w:b/>
        </w:rPr>
        <w:t xml:space="preserve"> </w:t>
      </w:r>
      <w:r w:rsidRPr="00764569">
        <w:rPr>
          <w:rFonts w:ascii="Calibri" w:hAnsi="Calibri"/>
        </w:rPr>
        <w:t xml:space="preserve">against women, as well as its </w:t>
      </w:r>
      <w:r w:rsidRPr="00764569">
        <w:rPr>
          <w:rFonts w:ascii="Calibri" w:hAnsi="Calibri"/>
          <w:b/>
          <w:color w:val="4F81BD" w:themeColor="accent1"/>
        </w:rPr>
        <w:t>appeal to a broader audience</w:t>
      </w:r>
      <w:r w:rsidRPr="00764569">
        <w:rPr>
          <w:rFonts w:ascii="Calibri" w:hAnsi="Calibri"/>
        </w:rPr>
        <w:t xml:space="preserve"> than that of Security Council resolutions. </w:t>
      </w:r>
    </w:p>
    <w:p w14:paraId="3635991B" w14:textId="05BDCC5D" w:rsidR="00CC72DB" w:rsidRPr="00764569" w:rsidRDefault="000813FB" w:rsidP="009C1453">
      <w:pPr>
        <w:pStyle w:val="ListParagraph"/>
        <w:numPr>
          <w:ilvl w:val="0"/>
          <w:numId w:val="37"/>
        </w:numPr>
        <w:spacing w:line="360" w:lineRule="auto"/>
        <w:jc w:val="both"/>
        <w:rPr>
          <w:rFonts w:ascii="Calibri" w:hAnsi="Calibri"/>
        </w:rPr>
      </w:pPr>
      <w:r w:rsidRPr="00764569">
        <w:rPr>
          <w:rFonts w:ascii="Calibri" w:hAnsi="Calibri"/>
        </w:rPr>
        <w:t>The UNGA Outcome Document strengthens the legal fram</w:t>
      </w:r>
      <w:r w:rsidR="00984850" w:rsidRPr="00764569">
        <w:rPr>
          <w:rFonts w:ascii="Calibri" w:hAnsi="Calibri"/>
        </w:rPr>
        <w:t>ework via its focus</w:t>
      </w:r>
      <w:r w:rsidRPr="00764569">
        <w:rPr>
          <w:rFonts w:ascii="Calibri" w:hAnsi="Calibri"/>
        </w:rPr>
        <w:t xml:space="preserve"> on women in armed conflict and </w:t>
      </w:r>
      <w:r w:rsidRPr="00764569">
        <w:rPr>
          <w:rFonts w:ascii="Calibri" w:hAnsi="Calibri"/>
          <w:b/>
          <w:color w:val="4F81BD" w:themeColor="accent1"/>
        </w:rPr>
        <w:t>peacetime</w:t>
      </w:r>
      <w:r w:rsidRPr="00764569">
        <w:rPr>
          <w:rFonts w:ascii="Calibri" w:hAnsi="Calibri"/>
        </w:rPr>
        <w:t xml:space="preserve">, especially women’s role in </w:t>
      </w:r>
      <w:r w:rsidRPr="00764569">
        <w:rPr>
          <w:rFonts w:ascii="Calibri" w:hAnsi="Calibri"/>
          <w:b/>
          <w:color w:val="4F81BD" w:themeColor="accent1"/>
        </w:rPr>
        <w:t>disarmament and demilitarization</w:t>
      </w:r>
      <w:r w:rsidRPr="00764569">
        <w:rPr>
          <w:rFonts w:ascii="Calibri" w:hAnsi="Calibri"/>
        </w:rPr>
        <w:t xml:space="preserve">, and </w:t>
      </w:r>
      <w:r w:rsidR="00DA4512" w:rsidRPr="00764569">
        <w:rPr>
          <w:rFonts w:ascii="Calibri" w:hAnsi="Calibri"/>
        </w:rPr>
        <w:t xml:space="preserve">on </w:t>
      </w:r>
      <w:r w:rsidR="00DA4512" w:rsidRPr="00764569">
        <w:rPr>
          <w:rFonts w:ascii="Calibri" w:hAnsi="Calibri"/>
          <w:b/>
          <w:color w:val="4F81BD" w:themeColor="accent1"/>
        </w:rPr>
        <w:t>refugees and IDPs</w:t>
      </w:r>
      <w:r w:rsidR="00DA4512" w:rsidRPr="00764569">
        <w:rPr>
          <w:rFonts w:ascii="Calibri" w:hAnsi="Calibri"/>
        </w:rPr>
        <w:t>.</w:t>
      </w:r>
      <w:r w:rsidRPr="00764569">
        <w:rPr>
          <w:rFonts w:ascii="Calibri" w:hAnsi="Calibri"/>
        </w:rPr>
        <w:t xml:space="preserve"> </w:t>
      </w:r>
    </w:p>
    <w:p w14:paraId="3C3A0697" w14:textId="4E40F54C" w:rsidR="000813FB" w:rsidRPr="00764569" w:rsidRDefault="000813FB" w:rsidP="009C1453">
      <w:pPr>
        <w:pStyle w:val="ListParagraph"/>
        <w:numPr>
          <w:ilvl w:val="0"/>
          <w:numId w:val="37"/>
        </w:numPr>
        <w:spacing w:line="360" w:lineRule="auto"/>
        <w:jc w:val="both"/>
        <w:rPr>
          <w:rFonts w:ascii="Calibri" w:hAnsi="Calibri"/>
        </w:rPr>
      </w:pPr>
      <w:r w:rsidRPr="00764569">
        <w:rPr>
          <w:rFonts w:ascii="Calibri" w:hAnsi="Calibri"/>
        </w:rPr>
        <w:t xml:space="preserve">The CSW Agreed Conclusions 2013 </w:t>
      </w:r>
      <w:r w:rsidR="00265C8E" w:rsidRPr="00764569">
        <w:rPr>
          <w:rFonts w:ascii="Calibri" w:hAnsi="Calibri"/>
        </w:rPr>
        <w:t>add value to an</w:t>
      </w:r>
      <w:r w:rsidR="00DA4512" w:rsidRPr="00764569">
        <w:rPr>
          <w:rFonts w:ascii="Calibri" w:hAnsi="Calibri"/>
        </w:rPr>
        <w:t xml:space="preserve"> understanding SCR 1325 because of their: comprehensive short- and long-term measures to </w:t>
      </w:r>
      <w:r w:rsidR="00DA4512" w:rsidRPr="00764569">
        <w:rPr>
          <w:rFonts w:ascii="Calibri" w:hAnsi="Calibri"/>
          <w:b/>
          <w:color w:val="4F81BD" w:themeColor="accent1"/>
        </w:rPr>
        <w:t>eliminate violence against women in public and private spheres</w:t>
      </w:r>
      <w:r w:rsidR="00DA4512" w:rsidRPr="00764569">
        <w:rPr>
          <w:rFonts w:ascii="Calibri" w:hAnsi="Calibri"/>
        </w:rPr>
        <w:t xml:space="preserve">; measures to progress </w:t>
      </w:r>
      <w:r w:rsidR="00DA4512" w:rsidRPr="00764569">
        <w:rPr>
          <w:rFonts w:ascii="Calibri" w:hAnsi="Calibri"/>
          <w:b/>
          <w:color w:val="4F81BD" w:themeColor="accent1"/>
        </w:rPr>
        <w:t>development goals</w:t>
      </w:r>
      <w:r w:rsidR="00DA4512" w:rsidRPr="00764569">
        <w:rPr>
          <w:rFonts w:ascii="Calibri" w:hAnsi="Calibri"/>
        </w:rPr>
        <w:t xml:space="preserve">; and provision for </w:t>
      </w:r>
      <w:r w:rsidR="00DA4512" w:rsidRPr="00764569">
        <w:rPr>
          <w:rFonts w:ascii="Calibri" w:hAnsi="Calibri"/>
          <w:b/>
          <w:color w:val="4F81BD" w:themeColor="accent1"/>
        </w:rPr>
        <w:t>effective remedies</w:t>
      </w:r>
      <w:r w:rsidR="00DA4512" w:rsidRPr="00764569">
        <w:rPr>
          <w:rFonts w:ascii="Calibri" w:hAnsi="Calibri"/>
          <w:color w:val="4F81BD" w:themeColor="accent1"/>
        </w:rPr>
        <w:t xml:space="preserve"> </w:t>
      </w:r>
      <w:r w:rsidR="00DA4512" w:rsidRPr="00764569">
        <w:rPr>
          <w:rFonts w:ascii="Calibri" w:hAnsi="Calibri"/>
        </w:rPr>
        <w:t xml:space="preserve">for victims based on an understanding of the systemic and structural impacts of violence. </w:t>
      </w:r>
    </w:p>
    <w:p w14:paraId="7497A80B" w14:textId="77777777" w:rsidR="00DA4512" w:rsidRPr="00764569" w:rsidRDefault="00DA4512" w:rsidP="00DA4512">
      <w:pPr>
        <w:pStyle w:val="ListParagraph"/>
        <w:ind w:left="0"/>
        <w:jc w:val="both"/>
        <w:rPr>
          <w:rFonts w:ascii="Calibri" w:hAnsi="Calibri"/>
        </w:rPr>
      </w:pPr>
    </w:p>
    <w:p w14:paraId="36DBD45F" w14:textId="77777777" w:rsidR="00F7609A" w:rsidRPr="002837F4" w:rsidRDefault="00F7609A" w:rsidP="00F7609A">
      <w:pPr>
        <w:pStyle w:val="ListParagraph"/>
        <w:spacing w:after="180"/>
        <w:ind w:left="0"/>
        <w:jc w:val="both"/>
        <w:rPr>
          <w:rFonts w:ascii="Calibri" w:eastAsiaTheme="minorHAnsi" w:hAnsi="Calibri" w:cs="Times New Roman"/>
          <w:b/>
          <w:color w:val="1F497D" w:themeColor="text2"/>
          <w:u w:val="single"/>
        </w:rPr>
      </w:pPr>
      <w:r w:rsidRPr="002837F4">
        <w:rPr>
          <w:rFonts w:ascii="Calibri" w:eastAsiaTheme="minorHAnsi" w:hAnsi="Calibri" w:cs="Times New Roman"/>
          <w:b/>
          <w:color w:val="1F497D" w:themeColor="text2"/>
          <w:u w:val="single"/>
        </w:rPr>
        <w:t>Recommendation 1: Understand the obligations in SCR 1325 as an integrated part of the legal framewo</w:t>
      </w:r>
      <w:r>
        <w:rPr>
          <w:rFonts w:ascii="Calibri" w:eastAsiaTheme="minorHAnsi" w:hAnsi="Calibri" w:cs="Times New Roman"/>
          <w:b/>
          <w:color w:val="1F497D" w:themeColor="text2"/>
          <w:u w:val="single"/>
        </w:rPr>
        <w:t>rk on women, peace and security</w:t>
      </w:r>
      <w:r w:rsidRPr="002837F4">
        <w:rPr>
          <w:rFonts w:ascii="Calibri" w:eastAsiaTheme="minorHAnsi" w:hAnsi="Calibri" w:cs="Times New Roman"/>
          <w:b/>
          <w:color w:val="1F497D" w:themeColor="text2"/>
          <w:u w:val="single"/>
        </w:rPr>
        <w:t xml:space="preserve"> (</w:t>
      </w:r>
      <w:r>
        <w:rPr>
          <w:rFonts w:ascii="Calibri" w:eastAsiaTheme="minorHAnsi" w:hAnsi="Calibri" w:cs="Times New Roman"/>
          <w:b/>
          <w:color w:val="1F497D" w:themeColor="text2"/>
          <w:u w:val="single"/>
        </w:rPr>
        <w:t xml:space="preserve">the </w:t>
      </w:r>
      <w:r w:rsidRPr="002837F4">
        <w:rPr>
          <w:rFonts w:ascii="Calibri" w:eastAsiaTheme="minorHAnsi" w:hAnsi="Calibri" w:cs="Times New Roman"/>
          <w:b/>
          <w:color w:val="1F497D" w:themeColor="text2"/>
          <w:u w:val="single"/>
        </w:rPr>
        <w:t>legal framework)</w:t>
      </w:r>
    </w:p>
    <w:p w14:paraId="2A6F0380" w14:textId="77777777" w:rsidR="00F7609A" w:rsidRPr="00A45CD5" w:rsidRDefault="00F7609A" w:rsidP="00F7609A">
      <w:pPr>
        <w:pStyle w:val="ListParagraph"/>
        <w:spacing w:after="180"/>
        <w:ind w:left="0"/>
        <w:jc w:val="both"/>
        <w:rPr>
          <w:rFonts w:ascii="Calibri" w:hAnsi="Calibri" w:cs="Times New Roman"/>
        </w:rPr>
      </w:pPr>
      <w:r>
        <w:rPr>
          <w:rFonts w:ascii="Calibri" w:hAnsi="Calibri" w:cs="Times New Roman"/>
        </w:rPr>
        <w:tab/>
      </w:r>
    </w:p>
    <w:p w14:paraId="7FE607CF" w14:textId="77777777" w:rsidR="00F7609A" w:rsidRDefault="00F7609A" w:rsidP="00F7609A">
      <w:pPr>
        <w:spacing w:line="360" w:lineRule="auto"/>
        <w:jc w:val="both"/>
        <w:rPr>
          <w:rFonts w:ascii="Calibri" w:hAnsi="Calibri" w:cs="Times New Roman"/>
        </w:rPr>
      </w:pPr>
      <w:r w:rsidRPr="00520942">
        <w:rPr>
          <w:rFonts w:ascii="Calibri" w:hAnsi="Calibri" w:cs="Times New Roman"/>
        </w:rPr>
        <w:t xml:space="preserve">SCR 1325 and subsequent Security Council resolutions on </w:t>
      </w:r>
      <w:r>
        <w:rPr>
          <w:rFonts w:ascii="Calibri" w:hAnsi="Calibri" w:cs="Times New Roman"/>
        </w:rPr>
        <w:t>WPS</w:t>
      </w:r>
      <w:r w:rsidRPr="00520942">
        <w:rPr>
          <w:rFonts w:ascii="Calibri" w:hAnsi="Calibri" w:cs="Times New Roman"/>
        </w:rPr>
        <w:t xml:space="preserve"> should be understood in light of the </w:t>
      </w:r>
      <w:r>
        <w:rPr>
          <w:rFonts w:ascii="Calibri" w:hAnsi="Calibri" w:cs="Times New Roman"/>
        </w:rPr>
        <w:t>binding obligations and commitments</w:t>
      </w:r>
      <w:r w:rsidRPr="00520942">
        <w:rPr>
          <w:rFonts w:ascii="Calibri" w:hAnsi="Calibri" w:cs="Times New Roman"/>
        </w:rPr>
        <w:t xml:space="preserve"> reflected in their contents. This understanding of the Resolutions should integrate both the Security Council’s political commitment</w:t>
      </w:r>
      <w:r>
        <w:rPr>
          <w:rFonts w:ascii="Calibri" w:hAnsi="Calibri" w:cs="Times New Roman"/>
        </w:rPr>
        <w:t xml:space="preserve"> to</w:t>
      </w:r>
      <w:r w:rsidRPr="00520942">
        <w:rPr>
          <w:rFonts w:ascii="Calibri" w:hAnsi="Calibri" w:cs="Times New Roman"/>
        </w:rPr>
        <w:t xml:space="preserve"> </w:t>
      </w:r>
      <w:r>
        <w:rPr>
          <w:rFonts w:ascii="Calibri" w:hAnsi="Calibri" w:cs="Times New Roman"/>
        </w:rPr>
        <w:t>act</w:t>
      </w:r>
      <w:r w:rsidRPr="00520942">
        <w:rPr>
          <w:rFonts w:ascii="Calibri" w:hAnsi="Calibri" w:cs="Times New Roman"/>
        </w:rPr>
        <w:t xml:space="preserve"> on women’s rights in conflict, and obligations from the legal framework. The key elements of the legal framework that uphold </w:t>
      </w:r>
      <w:r>
        <w:rPr>
          <w:rFonts w:ascii="Calibri" w:hAnsi="Calibri" w:cs="Times New Roman"/>
        </w:rPr>
        <w:t>commitments</w:t>
      </w:r>
      <w:r w:rsidRPr="00520942">
        <w:rPr>
          <w:rFonts w:ascii="Calibri" w:hAnsi="Calibri" w:cs="Times New Roman"/>
        </w:rPr>
        <w:t xml:space="preserve"> </w:t>
      </w:r>
      <w:r>
        <w:rPr>
          <w:rFonts w:ascii="Calibri" w:hAnsi="Calibri" w:cs="Times New Roman"/>
        </w:rPr>
        <w:t>held by</w:t>
      </w:r>
      <w:r w:rsidRPr="00520942">
        <w:rPr>
          <w:rFonts w:ascii="Calibri" w:hAnsi="Calibri" w:cs="Times New Roman"/>
        </w:rPr>
        <w:t xml:space="preserve"> all parties involved in conflicts include:</w:t>
      </w:r>
      <w:r w:rsidRPr="00DC0E2B">
        <w:rPr>
          <w:rStyle w:val="FootnoteReference"/>
          <w:rFonts w:ascii="Calibri" w:hAnsi="Calibri" w:cs="Times New Roman"/>
        </w:rPr>
        <w:t xml:space="preserve"> </w:t>
      </w:r>
      <w:r>
        <w:rPr>
          <w:rStyle w:val="FootnoteReference"/>
          <w:rFonts w:ascii="Calibri" w:hAnsi="Calibri" w:cs="Times New Roman"/>
        </w:rPr>
        <w:footnoteReference w:id="119"/>
      </w:r>
      <w:r w:rsidRPr="00B2494C">
        <w:rPr>
          <w:rFonts w:ascii="Calibri" w:hAnsi="Calibri" w:cs="Times New Roman"/>
        </w:rPr>
        <w:t xml:space="preserve"> </w:t>
      </w:r>
      <w:r w:rsidRPr="00520942">
        <w:rPr>
          <w:rFonts w:ascii="Calibri" w:hAnsi="Calibri" w:cs="Times New Roman"/>
        </w:rPr>
        <w:t xml:space="preserve"> </w:t>
      </w:r>
    </w:p>
    <w:p w14:paraId="36C686E3" w14:textId="77777777" w:rsidR="00F7609A" w:rsidRDefault="00F7609A" w:rsidP="00F7609A">
      <w:pPr>
        <w:jc w:val="both"/>
        <w:rPr>
          <w:rFonts w:ascii="Calibri" w:hAnsi="Calibri" w:cs="Times New Roman"/>
        </w:rPr>
      </w:pPr>
    </w:p>
    <w:p w14:paraId="79318183" w14:textId="77777777" w:rsidR="00F7609A" w:rsidRDefault="00F7609A" w:rsidP="00F7609A">
      <w:pPr>
        <w:pStyle w:val="ListParagraph"/>
        <w:numPr>
          <w:ilvl w:val="0"/>
          <w:numId w:val="38"/>
        </w:numPr>
        <w:spacing w:line="360" w:lineRule="auto"/>
        <w:jc w:val="both"/>
        <w:rPr>
          <w:rFonts w:ascii="Calibri" w:hAnsi="Calibri" w:cs="Times New Roman"/>
        </w:rPr>
      </w:pPr>
      <w:r>
        <w:rPr>
          <w:rFonts w:ascii="Calibri" w:hAnsi="Calibri" w:cs="Times New Roman"/>
        </w:rPr>
        <w:t>T</w:t>
      </w:r>
      <w:r w:rsidRPr="00B2494C">
        <w:rPr>
          <w:rFonts w:ascii="Calibri" w:hAnsi="Calibri" w:cs="Times New Roman"/>
        </w:rPr>
        <w:t>he Convention on the Elimination of all Forms of Discr</w:t>
      </w:r>
      <w:r>
        <w:rPr>
          <w:rFonts w:ascii="Calibri" w:hAnsi="Calibri" w:cs="Times New Roman"/>
        </w:rPr>
        <w:t>imination against Women (CEDAW);</w:t>
      </w:r>
    </w:p>
    <w:p w14:paraId="7B4270A1" w14:textId="77777777" w:rsidR="00F7609A" w:rsidRDefault="00F7609A" w:rsidP="00F7609A">
      <w:pPr>
        <w:pStyle w:val="ListParagraph"/>
        <w:numPr>
          <w:ilvl w:val="0"/>
          <w:numId w:val="38"/>
        </w:numPr>
        <w:spacing w:line="360" w:lineRule="auto"/>
        <w:jc w:val="both"/>
        <w:rPr>
          <w:rFonts w:ascii="Calibri" w:hAnsi="Calibri" w:cs="Times New Roman"/>
        </w:rPr>
      </w:pPr>
      <w:r w:rsidRPr="00B2494C">
        <w:rPr>
          <w:rFonts w:ascii="Calibri" w:hAnsi="Calibri" w:cs="Times New Roman"/>
        </w:rPr>
        <w:t xml:space="preserve">Committee on the Elimination of Discrimination against Women (CEDAW Committee) General Recommendation No. 30 on women in conflict prevention, conflict and post-conflict situations (CEDAW GR No. 30); </w:t>
      </w:r>
    </w:p>
    <w:p w14:paraId="3EE7BBDC" w14:textId="77777777" w:rsidR="00F7609A" w:rsidRDefault="00F7609A" w:rsidP="00F7609A">
      <w:pPr>
        <w:pStyle w:val="ListParagraph"/>
        <w:numPr>
          <w:ilvl w:val="0"/>
          <w:numId w:val="38"/>
        </w:numPr>
        <w:spacing w:line="360" w:lineRule="auto"/>
        <w:jc w:val="both"/>
        <w:rPr>
          <w:rFonts w:ascii="Calibri" w:hAnsi="Calibri" w:cs="Times New Roman"/>
        </w:rPr>
      </w:pPr>
      <w:r>
        <w:rPr>
          <w:rFonts w:ascii="Calibri" w:hAnsi="Calibri" w:cs="Times New Roman"/>
        </w:rPr>
        <w:t>T</w:t>
      </w:r>
      <w:r w:rsidRPr="00B2494C">
        <w:rPr>
          <w:rFonts w:ascii="Calibri" w:hAnsi="Calibri" w:cs="Times New Roman"/>
        </w:rPr>
        <w:t>he Beijing Declaration and Platform for Action 1995</w:t>
      </w:r>
      <w:r>
        <w:rPr>
          <w:rFonts w:ascii="Calibri" w:hAnsi="Calibri" w:cs="Times New Roman"/>
        </w:rPr>
        <w:t xml:space="preserve"> (</w:t>
      </w:r>
      <w:proofErr w:type="spellStart"/>
      <w:r>
        <w:rPr>
          <w:rFonts w:ascii="Calibri" w:hAnsi="Calibri" w:cs="Times New Roman"/>
        </w:rPr>
        <w:t>BPfA</w:t>
      </w:r>
      <w:proofErr w:type="spellEnd"/>
      <w:r>
        <w:rPr>
          <w:rFonts w:ascii="Calibri" w:hAnsi="Calibri" w:cs="Times New Roman"/>
        </w:rPr>
        <w:t>)</w:t>
      </w:r>
      <w:r w:rsidRPr="00B2494C">
        <w:rPr>
          <w:rFonts w:ascii="Calibri" w:hAnsi="Calibri" w:cs="Times New Roman"/>
        </w:rPr>
        <w:t xml:space="preserve"> notably its two critical areas of concern on Violence against Women and Women in Armed Conflict; </w:t>
      </w:r>
    </w:p>
    <w:p w14:paraId="5B1ECC00" w14:textId="77777777" w:rsidR="00F7609A" w:rsidRDefault="00F7609A" w:rsidP="00F7609A">
      <w:pPr>
        <w:pStyle w:val="ListParagraph"/>
        <w:numPr>
          <w:ilvl w:val="0"/>
          <w:numId w:val="38"/>
        </w:numPr>
        <w:spacing w:line="360" w:lineRule="auto"/>
        <w:jc w:val="both"/>
        <w:rPr>
          <w:rFonts w:ascii="Calibri" w:hAnsi="Calibri" w:cs="Times New Roman"/>
        </w:rPr>
      </w:pPr>
      <w:r>
        <w:rPr>
          <w:rFonts w:ascii="Calibri" w:hAnsi="Calibri" w:cs="Times New Roman"/>
        </w:rPr>
        <w:lastRenderedPageBreak/>
        <w:t>T</w:t>
      </w:r>
      <w:r w:rsidRPr="00B2494C">
        <w:rPr>
          <w:rFonts w:ascii="Calibri" w:hAnsi="Calibri" w:cs="Times New Roman"/>
        </w:rPr>
        <w:t>he UN General Assembly Outcome Document of its 23</w:t>
      </w:r>
      <w:r w:rsidRPr="00B2494C">
        <w:rPr>
          <w:rFonts w:ascii="Calibri" w:hAnsi="Calibri" w:cs="Times New Roman"/>
          <w:vertAlign w:val="superscript"/>
        </w:rPr>
        <w:t>rd</w:t>
      </w:r>
      <w:r w:rsidRPr="00B2494C">
        <w:rPr>
          <w:rFonts w:ascii="Calibri" w:hAnsi="Calibri" w:cs="Times New Roman"/>
        </w:rPr>
        <w:t xml:space="preserve"> Special on Women 2000: Gender Equality, Development and Peace for the 21</w:t>
      </w:r>
      <w:r w:rsidRPr="00B2494C">
        <w:rPr>
          <w:rFonts w:ascii="Calibri" w:hAnsi="Calibri" w:cs="Times New Roman"/>
          <w:vertAlign w:val="superscript"/>
        </w:rPr>
        <w:t>st</w:t>
      </w:r>
      <w:r w:rsidRPr="00B2494C">
        <w:rPr>
          <w:rFonts w:ascii="Calibri" w:hAnsi="Calibri" w:cs="Times New Roman"/>
        </w:rPr>
        <w:t xml:space="preserve"> Century 2000 (UNGA Outcome Document);</w:t>
      </w:r>
    </w:p>
    <w:p w14:paraId="4784F71D" w14:textId="77777777" w:rsidR="00F7609A" w:rsidRPr="00B2494C" w:rsidRDefault="00F7609A" w:rsidP="00F7609A">
      <w:pPr>
        <w:pStyle w:val="ListParagraph"/>
        <w:numPr>
          <w:ilvl w:val="0"/>
          <w:numId w:val="38"/>
        </w:numPr>
        <w:spacing w:line="360" w:lineRule="auto"/>
        <w:jc w:val="both"/>
        <w:rPr>
          <w:rFonts w:ascii="Calibri" w:hAnsi="Calibri" w:cs="Times New Roman"/>
        </w:rPr>
      </w:pPr>
      <w:r>
        <w:rPr>
          <w:rFonts w:ascii="Calibri" w:hAnsi="Calibri" w:cs="Times New Roman"/>
        </w:rPr>
        <w:t xml:space="preserve">The </w:t>
      </w:r>
      <w:r w:rsidRPr="00B2494C">
        <w:rPr>
          <w:rFonts w:ascii="Calibri" w:hAnsi="Calibri" w:cs="Times New Roman"/>
        </w:rPr>
        <w:t xml:space="preserve">UN Commission on the Status of Women Agreed Conclusions on the prevention and elimination of violence against women and girls 2013 (CSW Agreed Conclusions 2013). </w:t>
      </w:r>
    </w:p>
    <w:p w14:paraId="20AFF2B3" w14:textId="17CF55D4" w:rsidR="00F7609A" w:rsidRDefault="00F7609A">
      <w:r>
        <w:br w:type="page"/>
      </w:r>
    </w:p>
    <w:p w14:paraId="081C5440" w14:textId="77777777" w:rsidR="0059378F" w:rsidRDefault="0059378F" w:rsidP="004E5EBC"/>
    <w:p w14:paraId="06B1C693" w14:textId="0C907AF5" w:rsidR="00F73B33" w:rsidRPr="00B107F5" w:rsidRDefault="00B107F5" w:rsidP="00B107F5">
      <w:pPr>
        <w:pStyle w:val="Heading2"/>
        <w:jc w:val="center"/>
        <w:rPr>
          <w:rFonts w:asciiTheme="majorHAnsi" w:hAnsiTheme="majorHAnsi"/>
          <w:b/>
          <w:color w:val="4F81BD" w:themeColor="accent1"/>
          <w:spacing w:val="14"/>
          <w:sz w:val="32"/>
          <w:szCs w:val="32"/>
          <w:lang w:val="en-GB"/>
        </w:rPr>
      </w:pPr>
      <w:bookmarkStart w:id="8" w:name="_Toc416867086"/>
      <w:r w:rsidRPr="00B107F5">
        <w:rPr>
          <w:rFonts w:asciiTheme="majorHAnsi" w:hAnsiTheme="majorHAnsi"/>
          <w:b/>
          <w:color w:val="4F81BD" w:themeColor="accent1"/>
          <w:spacing w:val="14"/>
          <w:sz w:val="32"/>
          <w:szCs w:val="32"/>
          <w:lang w:val="en-GB"/>
        </w:rPr>
        <w:t xml:space="preserve">SECTION </w:t>
      </w:r>
      <w:r>
        <w:rPr>
          <w:rFonts w:asciiTheme="majorHAnsi" w:hAnsiTheme="majorHAnsi"/>
          <w:b/>
          <w:color w:val="4F81BD" w:themeColor="accent1"/>
          <w:spacing w:val="14"/>
          <w:sz w:val="32"/>
          <w:szCs w:val="32"/>
          <w:lang w:val="en-GB"/>
        </w:rPr>
        <w:t>2: IMPLEMENTING SCR 1325 VIA NATIONAL ACTION PLANS</w:t>
      </w:r>
      <w:bookmarkEnd w:id="8"/>
      <w:r>
        <w:rPr>
          <w:rFonts w:asciiTheme="majorHAnsi" w:hAnsiTheme="majorHAnsi"/>
          <w:b/>
          <w:color w:val="4F81BD" w:themeColor="accent1"/>
          <w:spacing w:val="14"/>
          <w:sz w:val="32"/>
          <w:szCs w:val="32"/>
          <w:lang w:val="en-GB"/>
        </w:rPr>
        <w:t xml:space="preserve"> </w:t>
      </w:r>
    </w:p>
    <w:p w14:paraId="2216D425" w14:textId="77777777" w:rsidR="00CA6C61" w:rsidRPr="00AA6A15" w:rsidRDefault="00CA6C61" w:rsidP="005C68CA">
      <w:pPr>
        <w:jc w:val="both"/>
        <w:rPr>
          <w:rFonts w:ascii="Calibri" w:hAnsi="Calibri" w:cs="Times New Roman"/>
          <w:b/>
          <w:u w:val="single"/>
        </w:rPr>
      </w:pPr>
    </w:p>
    <w:p w14:paraId="49623B3E" w14:textId="384178D5" w:rsidR="00B721A4" w:rsidRDefault="00EE5FA9" w:rsidP="00DE7410">
      <w:pPr>
        <w:spacing w:line="360" w:lineRule="auto"/>
        <w:jc w:val="both"/>
        <w:rPr>
          <w:rFonts w:ascii="Calibri" w:hAnsi="Calibri"/>
        </w:rPr>
      </w:pPr>
      <w:r>
        <w:rPr>
          <w:rFonts w:ascii="Calibri" w:hAnsi="Calibri"/>
        </w:rPr>
        <w:t xml:space="preserve">Section 2 </w:t>
      </w:r>
      <w:r w:rsidR="00DB6A68">
        <w:rPr>
          <w:rFonts w:ascii="Calibri" w:hAnsi="Calibri"/>
        </w:rPr>
        <w:t>assesses</w:t>
      </w:r>
      <w:r>
        <w:rPr>
          <w:rFonts w:ascii="Calibri" w:hAnsi="Calibri"/>
        </w:rPr>
        <w:t xml:space="preserve"> the implementation of the legal framework on women, peace and security</w:t>
      </w:r>
      <w:r w:rsidR="00DB6A68">
        <w:rPr>
          <w:rFonts w:ascii="Calibri" w:hAnsi="Calibri"/>
        </w:rPr>
        <w:t xml:space="preserve"> (the legal framework)</w:t>
      </w:r>
      <w:r w:rsidR="00933E05">
        <w:rPr>
          <w:rFonts w:ascii="Calibri" w:hAnsi="Calibri"/>
        </w:rPr>
        <w:t xml:space="preserve"> </w:t>
      </w:r>
      <w:r>
        <w:rPr>
          <w:rFonts w:ascii="Calibri" w:hAnsi="Calibri"/>
        </w:rPr>
        <w:t xml:space="preserve">outlined in Section 1 </w:t>
      </w:r>
      <w:r w:rsidR="00DB6A68">
        <w:rPr>
          <w:rFonts w:ascii="Calibri" w:hAnsi="Calibri"/>
        </w:rPr>
        <w:t>of the submission</w:t>
      </w:r>
      <w:r>
        <w:rPr>
          <w:rFonts w:ascii="Calibri" w:hAnsi="Calibri"/>
        </w:rPr>
        <w:t xml:space="preserve"> through the National Action Plan process </w:t>
      </w:r>
      <w:r w:rsidR="00D65F5F">
        <w:rPr>
          <w:rFonts w:ascii="Calibri" w:hAnsi="Calibri"/>
        </w:rPr>
        <w:t>linked to</w:t>
      </w:r>
      <w:r>
        <w:rPr>
          <w:rFonts w:ascii="Calibri" w:hAnsi="Calibri"/>
        </w:rPr>
        <w:t xml:space="preserve"> Security Council Resolution 1325 (SCR 1325).</w:t>
      </w:r>
      <w:r>
        <w:rPr>
          <w:rStyle w:val="FootnoteReference"/>
          <w:rFonts w:ascii="Calibri" w:hAnsi="Calibri"/>
        </w:rPr>
        <w:footnoteReference w:id="120"/>
      </w:r>
      <w:r>
        <w:rPr>
          <w:rFonts w:ascii="Calibri" w:hAnsi="Calibri"/>
        </w:rPr>
        <w:t xml:space="preserve"> </w:t>
      </w:r>
      <w:r w:rsidR="00F31EF8">
        <w:rPr>
          <w:rFonts w:ascii="Calibri" w:hAnsi="Calibri"/>
        </w:rPr>
        <w:t>The</w:t>
      </w:r>
      <w:r w:rsidR="00F31EF8" w:rsidRPr="00797ECA">
        <w:rPr>
          <w:rFonts w:ascii="Calibri" w:hAnsi="Calibri"/>
        </w:rPr>
        <w:t xml:space="preserve"> Security Council recommended the development of </w:t>
      </w:r>
      <w:r w:rsidR="00ED5E0D">
        <w:rPr>
          <w:rFonts w:ascii="Calibri" w:hAnsi="Calibri"/>
        </w:rPr>
        <w:t>National Action Plans (</w:t>
      </w:r>
      <w:r w:rsidR="00F31EF8" w:rsidRPr="00797ECA">
        <w:rPr>
          <w:rFonts w:ascii="Calibri" w:hAnsi="Calibri"/>
        </w:rPr>
        <w:t>NAP</w:t>
      </w:r>
      <w:r w:rsidR="00692895">
        <w:rPr>
          <w:rFonts w:ascii="Calibri" w:hAnsi="Calibri"/>
        </w:rPr>
        <w:t>s</w:t>
      </w:r>
      <w:r w:rsidR="00ED5E0D">
        <w:rPr>
          <w:rFonts w:ascii="Calibri" w:hAnsi="Calibri"/>
        </w:rPr>
        <w:t>)</w:t>
      </w:r>
      <w:r w:rsidR="00F31EF8">
        <w:rPr>
          <w:rFonts w:ascii="Calibri" w:hAnsi="Calibri"/>
        </w:rPr>
        <w:t xml:space="preserve"> to implement </w:t>
      </w:r>
      <w:r>
        <w:rPr>
          <w:rFonts w:ascii="Calibri" w:hAnsi="Calibri"/>
        </w:rPr>
        <w:t>SCR</w:t>
      </w:r>
      <w:r w:rsidR="00AC27C7">
        <w:rPr>
          <w:rFonts w:ascii="Calibri" w:hAnsi="Calibri"/>
        </w:rPr>
        <w:t>s</w:t>
      </w:r>
      <w:r>
        <w:rPr>
          <w:rFonts w:ascii="Calibri" w:hAnsi="Calibri"/>
        </w:rPr>
        <w:t xml:space="preserve"> 1325</w:t>
      </w:r>
      <w:r w:rsidR="00AC27C7">
        <w:rPr>
          <w:rFonts w:ascii="Calibri" w:hAnsi="Calibri"/>
        </w:rPr>
        <w:t xml:space="preserve">, </w:t>
      </w:r>
      <w:r w:rsidR="00933E05">
        <w:rPr>
          <w:rFonts w:ascii="Calibri" w:hAnsi="Calibri"/>
        </w:rPr>
        <w:t xml:space="preserve">and related resolutions on </w:t>
      </w:r>
      <w:r w:rsidR="00DB6A68">
        <w:rPr>
          <w:rFonts w:ascii="Calibri" w:hAnsi="Calibri"/>
        </w:rPr>
        <w:t>women, peace and security (WPS)</w:t>
      </w:r>
      <w:r w:rsidR="00F31EF8">
        <w:rPr>
          <w:rFonts w:ascii="Calibri" w:hAnsi="Calibri"/>
        </w:rPr>
        <w:t xml:space="preserve"> via Presidential Statements adopted in 2004 and 2005.</w:t>
      </w:r>
      <w:r w:rsidR="00F31EF8">
        <w:rPr>
          <w:rStyle w:val="FootnoteReference"/>
          <w:rFonts w:ascii="Calibri" w:hAnsi="Calibri"/>
        </w:rPr>
        <w:footnoteReference w:id="121"/>
      </w:r>
      <w:r w:rsidR="00F31EF8">
        <w:rPr>
          <w:rFonts w:ascii="Calibri" w:hAnsi="Calibri"/>
        </w:rPr>
        <w:t xml:space="preserve"> </w:t>
      </w:r>
      <w:r w:rsidR="00B721A4">
        <w:rPr>
          <w:rFonts w:ascii="Calibri" w:hAnsi="Calibri"/>
        </w:rPr>
        <w:t>So far only 50 countries have adopted NAPs</w:t>
      </w:r>
      <w:r w:rsidR="00B721A4">
        <w:rPr>
          <w:rStyle w:val="FootnoteReference"/>
          <w:rFonts w:ascii="Calibri" w:hAnsi="Calibri"/>
        </w:rPr>
        <w:footnoteReference w:id="122"/>
      </w:r>
      <w:r w:rsidR="00B721A4">
        <w:rPr>
          <w:rFonts w:ascii="Calibri" w:hAnsi="Calibri"/>
        </w:rPr>
        <w:t xml:space="preserve"> and several conflict-affected countries like Myanmar (included below a</w:t>
      </w:r>
      <w:r w:rsidR="002A2761">
        <w:rPr>
          <w:rFonts w:ascii="Calibri" w:hAnsi="Calibri"/>
        </w:rPr>
        <w:t xml:space="preserve">s a case study) and South Sudan, that urgently need to address women, peace and security issues, are </w:t>
      </w:r>
      <w:r w:rsidR="00B721A4">
        <w:rPr>
          <w:rFonts w:ascii="Calibri" w:hAnsi="Calibri"/>
        </w:rPr>
        <w:t xml:space="preserve">yet to adopt NAPs. </w:t>
      </w:r>
    </w:p>
    <w:p w14:paraId="61CBC3DF" w14:textId="77777777" w:rsidR="00B721A4" w:rsidRDefault="00B721A4" w:rsidP="00692895">
      <w:pPr>
        <w:jc w:val="both"/>
        <w:rPr>
          <w:rFonts w:ascii="Calibri" w:hAnsi="Calibri"/>
        </w:rPr>
      </w:pPr>
    </w:p>
    <w:p w14:paraId="534F296B" w14:textId="0DDF5C7E" w:rsidR="00933E05" w:rsidRDefault="00B721A4" w:rsidP="00DE7410">
      <w:pPr>
        <w:spacing w:line="360" w:lineRule="auto"/>
        <w:jc w:val="both"/>
        <w:rPr>
          <w:rFonts w:ascii="Calibri" w:hAnsi="Calibri"/>
        </w:rPr>
      </w:pPr>
      <w:r>
        <w:rPr>
          <w:rFonts w:ascii="Calibri" w:hAnsi="Calibri"/>
        </w:rPr>
        <w:t xml:space="preserve">As discussed below, there are wide variations in the quality and implementation of NAPs. </w:t>
      </w:r>
      <w:r w:rsidRPr="00ED0533">
        <w:rPr>
          <w:rFonts w:ascii="Calibri" w:hAnsi="Calibri"/>
        </w:rPr>
        <w:t xml:space="preserve"> </w:t>
      </w:r>
      <w:r w:rsidR="00933E05">
        <w:rPr>
          <w:rFonts w:ascii="Calibri" w:hAnsi="Calibri"/>
        </w:rPr>
        <w:t xml:space="preserve">As Aisling Swaine notes, </w:t>
      </w:r>
      <w:r w:rsidR="00FF2A3A">
        <w:rPr>
          <w:rFonts w:ascii="Calibri" w:hAnsi="Calibri"/>
        </w:rPr>
        <w:t xml:space="preserve">“Action plans are set to </w:t>
      </w:r>
      <w:r w:rsidR="00933E05">
        <w:rPr>
          <w:rFonts w:ascii="Calibri" w:hAnsi="Calibri"/>
        </w:rPr>
        <w:t>continue to gain momentum as strategies that bring attention to the need to implement [SCR 1325] and, whatever their flaws, they will no doubt be used as tools to compel states to act”.</w:t>
      </w:r>
      <w:r w:rsidR="00933E05">
        <w:rPr>
          <w:rStyle w:val="FootnoteReference"/>
          <w:rFonts w:ascii="Calibri" w:hAnsi="Calibri"/>
        </w:rPr>
        <w:footnoteReference w:id="123"/>
      </w:r>
      <w:r w:rsidR="00933E05">
        <w:rPr>
          <w:rFonts w:ascii="Calibri" w:hAnsi="Calibri"/>
        </w:rPr>
        <w:t xml:space="preserve"> </w:t>
      </w:r>
      <w:r w:rsidR="00D65F5F">
        <w:rPr>
          <w:rFonts w:ascii="Calibri" w:hAnsi="Calibri"/>
        </w:rPr>
        <w:t>Ultimately,</w:t>
      </w:r>
      <w:r w:rsidR="00D135BB">
        <w:rPr>
          <w:rFonts w:ascii="Calibri" w:hAnsi="Calibri"/>
        </w:rPr>
        <w:t xml:space="preserve"> what will be crucial to</w:t>
      </w:r>
      <w:r w:rsidR="00434E8E">
        <w:rPr>
          <w:rFonts w:ascii="Calibri" w:hAnsi="Calibri"/>
        </w:rPr>
        <w:t xml:space="preserve"> NAP’s effectiveness will be evaluating their</w:t>
      </w:r>
      <w:r w:rsidR="00D65F5F">
        <w:rPr>
          <w:rFonts w:ascii="Calibri" w:hAnsi="Calibri"/>
        </w:rPr>
        <w:t xml:space="preserve"> </w:t>
      </w:r>
      <w:r w:rsidR="00933E05">
        <w:rPr>
          <w:rFonts w:ascii="Calibri" w:hAnsi="Calibri"/>
        </w:rPr>
        <w:t xml:space="preserve">performance and impact against credible, appropriate, qualitative indicators </w:t>
      </w:r>
      <w:r w:rsidR="00434E8E">
        <w:rPr>
          <w:rFonts w:ascii="Calibri" w:hAnsi="Calibri"/>
        </w:rPr>
        <w:t>set</w:t>
      </w:r>
      <w:r w:rsidR="00933E05">
        <w:rPr>
          <w:rFonts w:ascii="Calibri" w:hAnsi="Calibri"/>
        </w:rPr>
        <w:t xml:space="preserve"> by women </w:t>
      </w:r>
      <w:r w:rsidR="00434E8E">
        <w:rPr>
          <w:rFonts w:ascii="Calibri" w:hAnsi="Calibri"/>
        </w:rPr>
        <w:t>(and girls) via their participation in the NAP process</w:t>
      </w:r>
      <w:r w:rsidR="00D65F5F">
        <w:rPr>
          <w:rFonts w:ascii="Calibri" w:hAnsi="Calibri"/>
        </w:rPr>
        <w:t xml:space="preserve"> in the coming decade.</w:t>
      </w:r>
      <w:r w:rsidR="00933E05">
        <w:rPr>
          <w:rStyle w:val="FootnoteReference"/>
          <w:rFonts w:ascii="Calibri" w:hAnsi="Calibri"/>
        </w:rPr>
        <w:footnoteReference w:id="124"/>
      </w:r>
    </w:p>
    <w:p w14:paraId="3C4CC584" w14:textId="77777777" w:rsidR="00933E05" w:rsidRDefault="00933E05" w:rsidP="00692895">
      <w:pPr>
        <w:jc w:val="both"/>
        <w:rPr>
          <w:rFonts w:ascii="Calibri" w:hAnsi="Calibri"/>
        </w:rPr>
      </w:pPr>
    </w:p>
    <w:p w14:paraId="573EEE1F" w14:textId="0814D275" w:rsidR="00FF2A3A" w:rsidRPr="00DE7410" w:rsidRDefault="00FF2A3A" w:rsidP="00692895">
      <w:pPr>
        <w:jc w:val="both"/>
        <w:rPr>
          <w:rFonts w:ascii="Calibri" w:hAnsi="Calibri"/>
          <w:b/>
          <w:color w:val="1F497D" w:themeColor="text2"/>
        </w:rPr>
      </w:pPr>
      <w:r w:rsidRPr="00DE7410">
        <w:rPr>
          <w:rFonts w:ascii="Calibri" w:hAnsi="Calibri"/>
          <w:b/>
          <w:color w:val="1F497D" w:themeColor="text2"/>
        </w:rPr>
        <w:t>Assessing the impact of National Action Plans – six country case studies from around the world</w:t>
      </w:r>
    </w:p>
    <w:p w14:paraId="629E8429" w14:textId="77777777" w:rsidR="00C8102E" w:rsidRPr="00FF2A3A" w:rsidRDefault="00C8102E" w:rsidP="00692895">
      <w:pPr>
        <w:jc w:val="both"/>
        <w:rPr>
          <w:rFonts w:ascii="Calibri" w:hAnsi="Calibri"/>
          <w:b/>
        </w:rPr>
      </w:pPr>
    </w:p>
    <w:p w14:paraId="21DA8A1A" w14:textId="4B1BFB39" w:rsidR="00FF2A3A" w:rsidRDefault="005601A5" w:rsidP="00DE7410">
      <w:pPr>
        <w:spacing w:line="360" w:lineRule="auto"/>
        <w:jc w:val="both"/>
        <w:rPr>
          <w:rFonts w:ascii="Calibri" w:hAnsi="Calibri" w:cs="Times New Roman"/>
        </w:rPr>
      </w:pPr>
      <w:r>
        <w:rPr>
          <w:rFonts w:ascii="Calibri" w:hAnsi="Calibri" w:cs="Times New Roman"/>
        </w:rPr>
        <w:t>The</w:t>
      </w:r>
      <w:r w:rsidR="001B0742">
        <w:rPr>
          <w:rFonts w:ascii="Calibri" w:hAnsi="Calibri" w:cs="Times New Roman"/>
        </w:rPr>
        <w:t xml:space="preserve"> </w:t>
      </w:r>
      <w:r>
        <w:rPr>
          <w:rFonts w:ascii="Calibri" w:hAnsi="Calibri" w:cs="Times New Roman"/>
        </w:rPr>
        <w:t>impact of NAPs is considered</w:t>
      </w:r>
      <w:r w:rsidR="001B0742">
        <w:rPr>
          <w:rFonts w:ascii="Calibri" w:hAnsi="Calibri" w:cs="Times New Roman"/>
        </w:rPr>
        <w:t xml:space="preserve"> </w:t>
      </w:r>
      <w:r w:rsidR="00692895">
        <w:rPr>
          <w:rFonts w:ascii="Calibri" w:hAnsi="Calibri" w:cs="Times New Roman"/>
        </w:rPr>
        <w:t>through</w:t>
      </w:r>
      <w:r w:rsidR="005C68CA" w:rsidRPr="00AA6A15">
        <w:rPr>
          <w:rFonts w:ascii="Calibri" w:hAnsi="Calibri" w:cs="Times New Roman"/>
        </w:rPr>
        <w:t xml:space="preserve"> </w:t>
      </w:r>
      <w:r w:rsidR="001B0742">
        <w:rPr>
          <w:rFonts w:ascii="Calibri" w:hAnsi="Calibri" w:cs="Times New Roman"/>
        </w:rPr>
        <w:t>country</w:t>
      </w:r>
      <w:r w:rsidR="005C68CA" w:rsidRPr="00AA6A15">
        <w:rPr>
          <w:rFonts w:ascii="Calibri" w:hAnsi="Calibri" w:cs="Times New Roman"/>
        </w:rPr>
        <w:t xml:space="preserve"> case studies </w:t>
      </w:r>
      <w:r w:rsidR="0095770D">
        <w:rPr>
          <w:rFonts w:ascii="Calibri" w:hAnsi="Calibri" w:cs="Times New Roman"/>
        </w:rPr>
        <w:t>from various regions, all</w:t>
      </w:r>
      <w:r w:rsidR="001B0742">
        <w:rPr>
          <w:rFonts w:ascii="Calibri" w:hAnsi="Calibri" w:cs="Times New Roman"/>
        </w:rPr>
        <w:t xml:space="preserve"> at different stages of the </w:t>
      </w:r>
      <w:r w:rsidR="00D65F5F">
        <w:rPr>
          <w:rFonts w:ascii="Calibri" w:hAnsi="Calibri" w:cs="Times New Roman"/>
        </w:rPr>
        <w:t>(conflict prevention, conflicts, conflict resolution, post-conflict and transitional justice situations)</w:t>
      </w:r>
      <w:r w:rsidR="0095770D">
        <w:rPr>
          <w:rFonts w:ascii="Calibri" w:hAnsi="Calibri" w:cs="Times New Roman"/>
        </w:rPr>
        <w:t xml:space="preserve">. </w:t>
      </w:r>
      <w:r w:rsidR="00FF2A3A">
        <w:rPr>
          <w:rFonts w:ascii="Calibri" w:hAnsi="Calibri" w:cs="Times New Roman"/>
        </w:rPr>
        <w:t>Each case study tells a story based on the particular features of conflict</w:t>
      </w:r>
      <w:r w:rsidR="00CA029E">
        <w:rPr>
          <w:rFonts w:ascii="Calibri" w:hAnsi="Calibri" w:cs="Times New Roman"/>
        </w:rPr>
        <w:t xml:space="preserve"> prevention or resolution</w:t>
      </w:r>
      <w:r w:rsidR="00FF2A3A">
        <w:rPr>
          <w:rFonts w:ascii="Calibri" w:hAnsi="Calibri" w:cs="Times New Roman"/>
        </w:rPr>
        <w:t xml:space="preserve"> in that country (or region). These are:</w:t>
      </w:r>
    </w:p>
    <w:p w14:paraId="2EB01814" w14:textId="77777777" w:rsidR="00E4120D" w:rsidRDefault="00E4120D" w:rsidP="00692895">
      <w:pPr>
        <w:jc w:val="both"/>
        <w:rPr>
          <w:rFonts w:ascii="Calibri" w:hAnsi="Calibri" w:cs="Times New Roman"/>
        </w:rPr>
      </w:pPr>
    </w:p>
    <w:p w14:paraId="11C25A15" w14:textId="1EBA38B4" w:rsidR="00FF2A3A" w:rsidRPr="00FF2A3A" w:rsidRDefault="00FF2A3A" w:rsidP="00DE7410">
      <w:pPr>
        <w:pStyle w:val="ListParagraph"/>
        <w:numPr>
          <w:ilvl w:val="0"/>
          <w:numId w:val="36"/>
        </w:numPr>
        <w:spacing w:line="360" w:lineRule="auto"/>
        <w:jc w:val="both"/>
        <w:rPr>
          <w:rFonts w:ascii="Calibri" w:hAnsi="Calibri" w:cs="Times New Roman"/>
        </w:rPr>
      </w:pPr>
      <w:r w:rsidRPr="00FF2A3A">
        <w:rPr>
          <w:rFonts w:ascii="Calibri" w:hAnsi="Calibri" w:cs="Times New Roman"/>
        </w:rPr>
        <w:t>The Democratic Republic of the Congo</w:t>
      </w:r>
      <w:r w:rsidR="00787009">
        <w:rPr>
          <w:rFonts w:ascii="Calibri" w:hAnsi="Calibri" w:cs="Times New Roman"/>
        </w:rPr>
        <w:t xml:space="preserve"> (DRC)</w:t>
      </w:r>
      <w:r>
        <w:rPr>
          <w:rFonts w:ascii="Calibri" w:hAnsi="Calibri" w:cs="Times New Roman"/>
        </w:rPr>
        <w:t xml:space="preserve"> – </w:t>
      </w:r>
      <w:r w:rsidR="00F816E3">
        <w:rPr>
          <w:rFonts w:ascii="Calibri" w:hAnsi="Calibri" w:cs="Times New Roman"/>
        </w:rPr>
        <w:t>A Need to Address</w:t>
      </w:r>
      <w:r>
        <w:rPr>
          <w:rFonts w:ascii="Calibri" w:hAnsi="Calibri" w:cs="Times New Roman"/>
        </w:rPr>
        <w:t xml:space="preserve"> </w:t>
      </w:r>
      <w:r w:rsidR="00F816E3">
        <w:rPr>
          <w:rFonts w:ascii="Calibri" w:hAnsi="Calibri" w:cs="Times New Roman"/>
        </w:rPr>
        <w:t>Conflict-Related Sexual and Gender-Based Violence</w:t>
      </w:r>
      <w:r w:rsidRPr="00FF2A3A">
        <w:rPr>
          <w:rFonts w:ascii="Calibri" w:hAnsi="Calibri" w:cs="Times New Roman"/>
        </w:rPr>
        <w:t xml:space="preserve"> </w:t>
      </w:r>
      <w:r w:rsidR="00DD213C">
        <w:rPr>
          <w:rFonts w:ascii="Calibri" w:hAnsi="Calibri" w:cs="Times New Roman"/>
        </w:rPr>
        <w:t>(Africa)</w:t>
      </w:r>
    </w:p>
    <w:p w14:paraId="5D92024C" w14:textId="460D9215" w:rsidR="00FF2A3A" w:rsidRDefault="00FF2A3A" w:rsidP="00DE7410">
      <w:pPr>
        <w:pStyle w:val="ListParagraph"/>
        <w:numPr>
          <w:ilvl w:val="0"/>
          <w:numId w:val="36"/>
        </w:numPr>
        <w:spacing w:line="360" w:lineRule="auto"/>
        <w:jc w:val="both"/>
        <w:rPr>
          <w:rFonts w:ascii="Calibri" w:hAnsi="Calibri" w:cs="Times New Roman"/>
        </w:rPr>
      </w:pPr>
      <w:r w:rsidRPr="00FF2A3A">
        <w:rPr>
          <w:rFonts w:ascii="Calibri" w:hAnsi="Calibri" w:cs="Times New Roman"/>
        </w:rPr>
        <w:t xml:space="preserve">Nepal </w:t>
      </w:r>
      <w:r w:rsidR="00AA20F1">
        <w:rPr>
          <w:rFonts w:ascii="Calibri" w:hAnsi="Calibri" w:cs="Times New Roman"/>
        </w:rPr>
        <w:t>–</w:t>
      </w:r>
      <w:r w:rsidR="00CB2ADD">
        <w:rPr>
          <w:rFonts w:ascii="Calibri" w:hAnsi="Calibri" w:cs="Times New Roman"/>
        </w:rPr>
        <w:t xml:space="preserve"> </w:t>
      </w:r>
      <w:r w:rsidR="00F55EA8">
        <w:rPr>
          <w:rFonts w:ascii="Calibri" w:hAnsi="Calibri" w:cs="Times New Roman"/>
        </w:rPr>
        <w:t>Women’s P</w:t>
      </w:r>
      <w:r w:rsidR="00F73B33">
        <w:rPr>
          <w:rFonts w:ascii="Calibri" w:hAnsi="Calibri" w:cs="Times New Roman"/>
        </w:rPr>
        <w:t>articipation and Civil Society Leadership</w:t>
      </w:r>
      <w:r w:rsidR="00AA20F1">
        <w:rPr>
          <w:rFonts w:ascii="Calibri" w:hAnsi="Calibri" w:cs="Times New Roman"/>
        </w:rPr>
        <w:t xml:space="preserve"> in </w:t>
      </w:r>
      <w:r w:rsidR="00F55EA8">
        <w:rPr>
          <w:rFonts w:ascii="Calibri" w:hAnsi="Calibri" w:cs="Times New Roman"/>
        </w:rPr>
        <w:t>a Post-Conflict NAP (Asia)</w:t>
      </w:r>
    </w:p>
    <w:p w14:paraId="7DF0F3AE" w14:textId="461A4E51" w:rsidR="00F55EA8" w:rsidRPr="00F55EA8" w:rsidRDefault="00F55EA8" w:rsidP="00DE7410">
      <w:pPr>
        <w:pStyle w:val="ListParagraph"/>
        <w:numPr>
          <w:ilvl w:val="0"/>
          <w:numId w:val="36"/>
        </w:numPr>
        <w:spacing w:line="360" w:lineRule="auto"/>
        <w:jc w:val="both"/>
        <w:rPr>
          <w:rFonts w:ascii="Calibri" w:hAnsi="Calibri" w:cs="Times New Roman"/>
        </w:rPr>
      </w:pPr>
      <w:r w:rsidRPr="00FF2A3A">
        <w:rPr>
          <w:rFonts w:ascii="Calibri" w:hAnsi="Calibri" w:cs="Times New Roman"/>
        </w:rPr>
        <w:lastRenderedPageBreak/>
        <w:t xml:space="preserve">Myanmar  </w:t>
      </w:r>
      <w:r w:rsidR="00912347">
        <w:rPr>
          <w:rFonts w:ascii="Calibri" w:hAnsi="Calibri" w:cs="Times New Roman"/>
        </w:rPr>
        <w:t xml:space="preserve">– </w:t>
      </w:r>
      <w:r w:rsidR="00B14F22">
        <w:rPr>
          <w:rFonts w:ascii="Calibri" w:hAnsi="Calibri" w:cs="Times New Roman"/>
        </w:rPr>
        <w:t xml:space="preserve">A Journey Towards a NAP that Draws on the Legal Framework </w:t>
      </w:r>
      <w:r>
        <w:rPr>
          <w:rFonts w:ascii="Calibri" w:hAnsi="Calibri" w:cs="Times New Roman"/>
        </w:rPr>
        <w:t xml:space="preserve"> (Asia)</w:t>
      </w:r>
    </w:p>
    <w:p w14:paraId="456F16FE" w14:textId="5252B7B1" w:rsidR="00FF2A3A" w:rsidRDefault="00FF2A3A" w:rsidP="00DE7410">
      <w:pPr>
        <w:pStyle w:val="ListParagraph"/>
        <w:numPr>
          <w:ilvl w:val="0"/>
          <w:numId w:val="36"/>
        </w:numPr>
        <w:spacing w:line="360" w:lineRule="auto"/>
        <w:jc w:val="both"/>
        <w:rPr>
          <w:rFonts w:ascii="Calibri" w:hAnsi="Calibri" w:cs="Times New Roman"/>
        </w:rPr>
      </w:pPr>
      <w:r w:rsidRPr="00FF2A3A">
        <w:rPr>
          <w:rFonts w:ascii="Calibri" w:hAnsi="Calibri" w:cs="Times New Roman"/>
        </w:rPr>
        <w:t xml:space="preserve">Bosnia and Herzegovina </w:t>
      </w:r>
      <w:r w:rsidR="00AA20F1">
        <w:rPr>
          <w:rFonts w:ascii="Calibri" w:hAnsi="Calibri" w:cs="Times New Roman"/>
        </w:rPr>
        <w:t xml:space="preserve">– </w:t>
      </w:r>
      <w:r w:rsidR="00830AFB">
        <w:rPr>
          <w:rFonts w:ascii="Calibri" w:hAnsi="Calibri" w:cs="Times New Roman"/>
        </w:rPr>
        <w:t xml:space="preserve">An Old NAP </w:t>
      </w:r>
      <w:r w:rsidR="000E78A5">
        <w:rPr>
          <w:rFonts w:ascii="Calibri" w:hAnsi="Calibri" w:cs="Times New Roman"/>
        </w:rPr>
        <w:t>Featuring</w:t>
      </w:r>
      <w:r w:rsidR="00830AFB">
        <w:rPr>
          <w:rFonts w:ascii="Calibri" w:hAnsi="Calibri" w:cs="Times New Roman"/>
        </w:rPr>
        <w:t xml:space="preserve"> Frag</w:t>
      </w:r>
      <w:r w:rsidR="001222F4">
        <w:rPr>
          <w:rFonts w:ascii="Calibri" w:hAnsi="Calibri" w:cs="Times New Roman"/>
        </w:rPr>
        <w:t xml:space="preserve">mentation, a New NAP that Draws </w:t>
      </w:r>
      <w:r w:rsidR="00912347">
        <w:rPr>
          <w:rFonts w:ascii="Calibri" w:hAnsi="Calibri" w:cs="Times New Roman"/>
        </w:rPr>
        <w:t xml:space="preserve">on the Legal Framework </w:t>
      </w:r>
      <w:r w:rsidR="00DD213C">
        <w:rPr>
          <w:rFonts w:ascii="Calibri" w:hAnsi="Calibri" w:cs="Times New Roman"/>
        </w:rPr>
        <w:t>(Europe)</w:t>
      </w:r>
    </w:p>
    <w:p w14:paraId="51D1F201" w14:textId="04D2B234" w:rsidR="00FF2A3A" w:rsidRPr="00FF2A3A" w:rsidRDefault="00FF2A3A" w:rsidP="00DE7410">
      <w:pPr>
        <w:pStyle w:val="ListParagraph"/>
        <w:numPr>
          <w:ilvl w:val="0"/>
          <w:numId w:val="36"/>
        </w:numPr>
        <w:spacing w:line="360" w:lineRule="auto"/>
        <w:jc w:val="both"/>
        <w:rPr>
          <w:rFonts w:ascii="Calibri" w:hAnsi="Calibri" w:cs="Times New Roman"/>
        </w:rPr>
      </w:pPr>
      <w:r w:rsidRPr="00FF2A3A">
        <w:rPr>
          <w:rFonts w:ascii="Calibri" w:hAnsi="Calibri" w:cs="Times New Roman"/>
        </w:rPr>
        <w:t xml:space="preserve">Chile </w:t>
      </w:r>
      <w:r w:rsidR="00AA20F1">
        <w:rPr>
          <w:rFonts w:ascii="Calibri" w:hAnsi="Calibri" w:cs="Times New Roman"/>
        </w:rPr>
        <w:t xml:space="preserve">– </w:t>
      </w:r>
      <w:r w:rsidR="00F816E3">
        <w:rPr>
          <w:rFonts w:ascii="Calibri" w:hAnsi="Calibri" w:cs="Times New Roman"/>
        </w:rPr>
        <w:t>A NAP for National and International</w:t>
      </w:r>
      <w:r w:rsidR="00CA029E">
        <w:rPr>
          <w:rFonts w:ascii="Calibri" w:hAnsi="Calibri" w:cs="Times New Roman"/>
        </w:rPr>
        <w:t xml:space="preserve"> Cooperation</w:t>
      </w:r>
      <w:r w:rsidR="00DD213C">
        <w:rPr>
          <w:rFonts w:ascii="Calibri" w:hAnsi="Calibri" w:cs="Times New Roman"/>
        </w:rPr>
        <w:t xml:space="preserve"> (Latin America and the Caribbean) </w:t>
      </w:r>
    </w:p>
    <w:p w14:paraId="1F642CA8" w14:textId="2E11F689" w:rsidR="00FF2A3A" w:rsidRPr="00F55EA8" w:rsidRDefault="00FF2A3A" w:rsidP="00DE7410">
      <w:pPr>
        <w:pStyle w:val="ListParagraph"/>
        <w:numPr>
          <w:ilvl w:val="0"/>
          <w:numId w:val="36"/>
        </w:numPr>
        <w:spacing w:line="360" w:lineRule="auto"/>
        <w:jc w:val="both"/>
        <w:rPr>
          <w:rFonts w:ascii="Calibri" w:hAnsi="Calibri" w:cs="Times New Roman"/>
        </w:rPr>
      </w:pPr>
      <w:r w:rsidRPr="00FF2A3A">
        <w:rPr>
          <w:rFonts w:ascii="Calibri" w:hAnsi="Calibri" w:cs="Times New Roman"/>
        </w:rPr>
        <w:t xml:space="preserve">Iraq </w:t>
      </w:r>
      <w:r w:rsidR="00AA20F1">
        <w:rPr>
          <w:rFonts w:ascii="Calibri" w:hAnsi="Calibri" w:cs="Times New Roman"/>
        </w:rPr>
        <w:t xml:space="preserve">– </w:t>
      </w:r>
      <w:r w:rsidR="005076AE">
        <w:rPr>
          <w:rFonts w:ascii="Calibri" w:hAnsi="Calibri" w:cs="Times New Roman"/>
        </w:rPr>
        <w:t xml:space="preserve">A NAP amidst </w:t>
      </w:r>
      <w:r w:rsidR="00EB00D4">
        <w:rPr>
          <w:rFonts w:ascii="Calibri" w:hAnsi="Calibri" w:cs="Times New Roman"/>
        </w:rPr>
        <w:t xml:space="preserve">Current Conflict, </w:t>
      </w:r>
      <w:r w:rsidR="00280629">
        <w:rPr>
          <w:rFonts w:ascii="Calibri" w:hAnsi="Calibri" w:cs="Times New Roman"/>
        </w:rPr>
        <w:t xml:space="preserve">following </w:t>
      </w:r>
      <w:r w:rsidR="00CA029E">
        <w:rPr>
          <w:rFonts w:ascii="Calibri" w:hAnsi="Calibri" w:cs="Times New Roman"/>
        </w:rPr>
        <w:t>War and Occu</w:t>
      </w:r>
      <w:r w:rsidR="00DD213C">
        <w:rPr>
          <w:rFonts w:ascii="Calibri" w:hAnsi="Calibri" w:cs="Times New Roman"/>
        </w:rPr>
        <w:t>pation (the Middle East)</w:t>
      </w:r>
    </w:p>
    <w:p w14:paraId="196DBCE5" w14:textId="77777777" w:rsidR="00F55EA8" w:rsidRDefault="00F55EA8" w:rsidP="00692895">
      <w:pPr>
        <w:jc w:val="both"/>
        <w:rPr>
          <w:rFonts w:ascii="Calibri" w:hAnsi="Calibri" w:cs="Times New Roman"/>
        </w:rPr>
      </w:pPr>
    </w:p>
    <w:p w14:paraId="6E3E3056" w14:textId="36E44A4C" w:rsidR="007F7974" w:rsidRPr="00692895" w:rsidRDefault="0095770D" w:rsidP="00DE7410">
      <w:pPr>
        <w:spacing w:line="360" w:lineRule="auto"/>
        <w:jc w:val="both"/>
        <w:rPr>
          <w:rFonts w:ascii="Calibri" w:hAnsi="Calibri" w:cs="Times New Roman"/>
        </w:rPr>
      </w:pPr>
      <w:r>
        <w:rPr>
          <w:rFonts w:ascii="Calibri" w:hAnsi="Calibri" w:cs="Times New Roman"/>
        </w:rPr>
        <w:t xml:space="preserve">This Section </w:t>
      </w:r>
      <w:r w:rsidR="009726A9">
        <w:rPr>
          <w:rFonts w:ascii="Calibri" w:hAnsi="Calibri" w:cs="Times New Roman"/>
        </w:rPr>
        <w:t>discusses</w:t>
      </w:r>
      <w:r w:rsidR="001B0742">
        <w:rPr>
          <w:rFonts w:ascii="Calibri" w:hAnsi="Calibri" w:cs="Times New Roman"/>
        </w:rPr>
        <w:t xml:space="preserve"> </w:t>
      </w:r>
      <w:r>
        <w:rPr>
          <w:rFonts w:ascii="Calibri" w:hAnsi="Calibri" w:cs="Times New Roman"/>
        </w:rPr>
        <w:t xml:space="preserve">how NAPs have been developed, </w:t>
      </w:r>
      <w:r w:rsidR="00A61E6C">
        <w:rPr>
          <w:rFonts w:ascii="Calibri" w:hAnsi="Calibri" w:cs="Times New Roman"/>
        </w:rPr>
        <w:t>implemented</w:t>
      </w:r>
      <w:r w:rsidR="00EE5FA9">
        <w:rPr>
          <w:rFonts w:ascii="Calibri" w:hAnsi="Calibri" w:cs="Times New Roman"/>
        </w:rPr>
        <w:t xml:space="preserve"> and reviewed </w:t>
      </w:r>
      <w:r w:rsidR="005C68CA" w:rsidRPr="00AA6A15">
        <w:rPr>
          <w:rFonts w:ascii="Calibri" w:hAnsi="Calibri" w:cs="Times New Roman"/>
        </w:rPr>
        <w:t>by governments, developm</w:t>
      </w:r>
      <w:r>
        <w:rPr>
          <w:rFonts w:ascii="Calibri" w:hAnsi="Calibri" w:cs="Times New Roman"/>
        </w:rPr>
        <w:t>ent agencies and civil society</w:t>
      </w:r>
      <w:r w:rsidR="00EE5FA9">
        <w:rPr>
          <w:rFonts w:ascii="Calibri" w:hAnsi="Calibri" w:cs="Times New Roman"/>
        </w:rPr>
        <w:t>, including women’s organization</w:t>
      </w:r>
      <w:r w:rsidR="00A61E6C">
        <w:rPr>
          <w:rFonts w:ascii="Calibri" w:hAnsi="Calibri" w:cs="Times New Roman"/>
        </w:rPr>
        <w:t>s</w:t>
      </w:r>
      <w:r w:rsidR="00EE5FA9">
        <w:rPr>
          <w:rFonts w:ascii="Calibri" w:hAnsi="Calibri" w:cs="Times New Roman"/>
        </w:rPr>
        <w:t xml:space="preserve"> and victims and survivors of </w:t>
      </w:r>
      <w:r w:rsidR="00A61E6C">
        <w:rPr>
          <w:rFonts w:ascii="Calibri" w:hAnsi="Calibri" w:cs="Times New Roman"/>
        </w:rPr>
        <w:t xml:space="preserve">conflict-related </w:t>
      </w:r>
      <w:r w:rsidR="00EE5FA9">
        <w:rPr>
          <w:rFonts w:ascii="Calibri" w:hAnsi="Calibri" w:cs="Times New Roman"/>
        </w:rPr>
        <w:t>rights violations</w:t>
      </w:r>
      <w:r>
        <w:rPr>
          <w:rFonts w:ascii="Calibri" w:hAnsi="Calibri" w:cs="Times New Roman"/>
        </w:rPr>
        <w:t xml:space="preserve">. </w:t>
      </w:r>
      <w:r w:rsidR="00EE5FA9">
        <w:rPr>
          <w:rFonts w:ascii="Calibri" w:hAnsi="Calibri" w:cs="Times New Roman"/>
        </w:rPr>
        <w:t xml:space="preserve">As discussed below, two factors </w:t>
      </w:r>
      <w:r w:rsidR="005601A5">
        <w:rPr>
          <w:rFonts w:ascii="Calibri" w:hAnsi="Calibri" w:cs="Times New Roman"/>
        </w:rPr>
        <w:t>seem to have the</w:t>
      </w:r>
      <w:r>
        <w:rPr>
          <w:rFonts w:ascii="Calibri" w:hAnsi="Calibri" w:cs="Times New Roman"/>
        </w:rPr>
        <w:t xml:space="preserve"> greatest impact on the </w:t>
      </w:r>
      <w:r w:rsidR="005601A5">
        <w:rPr>
          <w:rFonts w:ascii="Calibri" w:hAnsi="Calibri" w:cs="Times New Roman"/>
        </w:rPr>
        <w:t xml:space="preserve">effectiveness of the </w:t>
      </w:r>
      <w:r>
        <w:rPr>
          <w:rFonts w:ascii="Calibri" w:hAnsi="Calibri" w:cs="Times New Roman"/>
        </w:rPr>
        <w:t xml:space="preserve">NAP process </w:t>
      </w:r>
      <w:r w:rsidR="00EE5FA9">
        <w:rPr>
          <w:rFonts w:ascii="Calibri" w:hAnsi="Calibri" w:cs="Times New Roman"/>
        </w:rPr>
        <w:t>(design, implementation</w:t>
      </w:r>
      <w:r w:rsidR="00446819">
        <w:rPr>
          <w:rFonts w:ascii="Calibri" w:hAnsi="Calibri" w:cs="Times New Roman"/>
        </w:rPr>
        <w:t>,</w:t>
      </w:r>
      <w:r w:rsidR="00EE5FA9">
        <w:rPr>
          <w:rFonts w:ascii="Calibri" w:hAnsi="Calibri" w:cs="Times New Roman"/>
        </w:rPr>
        <w:t xml:space="preserve"> monitoring and evaluation)</w:t>
      </w:r>
      <w:r>
        <w:rPr>
          <w:rFonts w:ascii="Calibri" w:hAnsi="Calibri" w:cs="Times New Roman"/>
        </w:rPr>
        <w:t>. These</w:t>
      </w:r>
      <w:r w:rsidR="00EE5FA9">
        <w:rPr>
          <w:rFonts w:ascii="Calibri" w:hAnsi="Calibri" w:cs="Times New Roman"/>
        </w:rPr>
        <w:t xml:space="preserve"> are: </w:t>
      </w:r>
      <w:r w:rsidR="00EE5FA9" w:rsidRPr="00DE7410">
        <w:rPr>
          <w:rFonts w:ascii="Calibri" w:hAnsi="Calibri" w:cs="Times New Roman"/>
          <w:b/>
          <w:color w:val="4F81BD" w:themeColor="accent1"/>
        </w:rPr>
        <w:t xml:space="preserve">women and girls’ </w:t>
      </w:r>
      <w:r w:rsidR="007F7974" w:rsidRPr="00DE7410">
        <w:rPr>
          <w:rFonts w:ascii="Calibri" w:hAnsi="Calibri" w:cs="Times New Roman"/>
          <w:b/>
          <w:color w:val="4F81BD" w:themeColor="accent1"/>
        </w:rPr>
        <w:t>participation</w:t>
      </w:r>
      <w:r w:rsidR="00EE5FA9" w:rsidRPr="00DE7410">
        <w:rPr>
          <w:rFonts w:ascii="Calibri" w:hAnsi="Calibri" w:cs="Times New Roman"/>
          <w:b/>
          <w:color w:val="4F81BD" w:themeColor="accent1"/>
        </w:rPr>
        <w:t xml:space="preserve"> and inclusion</w:t>
      </w:r>
      <w:r>
        <w:rPr>
          <w:rFonts w:ascii="Calibri" w:hAnsi="Calibri" w:cs="Times New Roman"/>
        </w:rPr>
        <w:t xml:space="preserve">; and </w:t>
      </w:r>
      <w:r w:rsidRPr="00DE7410">
        <w:rPr>
          <w:rFonts w:ascii="Calibri" w:hAnsi="Calibri" w:cs="Times New Roman"/>
          <w:b/>
          <w:color w:val="4F81BD" w:themeColor="accent1"/>
        </w:rPr>
        <w:t>government-buy in</w:t>
      </w:r>
      <w:r>
        <w:rPr>
          <w:rFonts w:ascii="Calibri" w:hAnsi="Calibri" w:cs="Times New Roman"/>
        </w:rPr>
        <w:t xml:space="preserve"> and </w:t>
      </w:r>
      <w:r w:rsidRPr="00DE7410">
        <w:rPr>
          <w:rFonts w:ascii="Calibri" w:hAnsi="Calibri" w:cs="Times New Roman"/>
          <w:b/>
          <w:color w:val="4F81BD" w:themeColor="accent1"/>
        </w:rPr>
        <w:t>civil society</w:t>
      </w:r>
      <w:r w:rsidRPr="00DE7410">
        <w:rPr>
          <w:rFonts w:ascii="Calibri" w:hAnsi="Calibri"/>
          <w:b/>
          <w:color w:val="4F81BD" w:themeColor="accent1"/>
        </w:rPr>
        <w:t xml:space="preserve"> engagement</w:t>
      </w:r>
      <w:r>
        <w:rPr>
          <w:rFonts w:ascii="Calibri" w:hAnsi="Calibri"/>
        </w:rPr>
        <w:t xml:space="preserve"> on the legal framework, both </w:t>
      </w:r>
      <w:r w:rsidR="005601A5">
        <w:rPr>
          <w:rFonts w:ascii="Calibri" w:hAnsi="Calibri"/>
        </w:rPr>
        <w:t>via NAPs and other actions.</w:t>
      </w:r>
    </w:p>
    <w:p w14:paraId="7640F7AD" w14:textId="77777777" w:rsidR="00C8102E" w:rsidRDefault="00C8102E" w:rsidP="005C68CA">
      <w:pPr>
        <w:jc w:val="both"/>
        <w:rPr>
          <w:rFonts w:ascii="Calibri" w:hAnsi="Calibri" w:cs="Times New Roman"/>
        </w:rPr>
      </w:pPr>
    </w:p>
    <w:p w14:paraId="2EDD8775" w14:textId="70494BBB" w:rsidR="005C68CA" w:rsidRPr="00DE7410" w:rsidRDefault="00EF78C7" w:rsidP="005C68CA">
      <w:pPr>
        <w:jc w:val="both"/>
        <w:rPr>
          <w:rFonts w:ascii="Calibri" w:hAnsi="Calibri" w:cs="Times New Roman"/>
          <w:b/>
          <w:color w:val="1F497D" w:themeColor="text2"/>
        </w:rPr>
      </w:pPr>
      <w:r w:rsidRPr="00DE7410">
        <w:rPr>
          <w:rFonts w:ascii="Calibri" w:hAnsi="Calibri" w:cs="Times New Roman"/>
          <w:b/>
          <w:color w:val="1F497D" w:themeColor="text2"/>
        </w:rPr>
        <w:t>The participation and inclusion of women and girls</w:t>
      </w:r>
      <w:r w:rsidR="006F6B7D" w:rsidRPr="00DE7410">
        <w:rPr>
          <w:rFonts w:ascii="Calibri" w:hAnsi="Calibri" w:cs="Times New Roman"/>
          <w:b/>
          <w:color w:val="1F497D" w:themeColor="text2"/>
        </w:rPr>
        <w:t xml:space="preserve"> </w:t>
      </w:r>
      <w:r w:rsidR="0095770D" w:rsidRPr="00DE7410">
        <w:rPr>
          <w:rFonts w:ascii="Calibri" w:hAnsi="Calibri" w:cs="Times New Roman"/>
          <w:b/>
          <w:color w:val="1F497D" w:themeColor="text2"/>
        </w:rPr>
        <w:t>in the NAP process</w:t>
      </w:r>
    </w:p>
    <w:p w14:paraId="356A9F6F" w14:textId="77777777" w:rsidR="00C8102E" w:rsidRPr="00EE2B6A" w:rsidRDefault="00C8102E" w:rsidP="005C68CA">
      <w:pPr>
        <w:jc w:val="both"/>
        <w:rPr>
          <w:rFonts w:ascii="Calibri" w:hAnsi="Calibri" w:cs="Times New Roman"/>
          <w:b/>
        </w:rPr>
      </w:pPr>
    </w:p>
    <w:p w14:paraId="3FE01957" w14:textId="65F26F2A" w:rsidR="009420B0" w:rsidRDefault="00D65F5F" w:rsidP="00DE7410">
      <w:pPr>
        <w:spacing w:line="360" w:lineRule="auto"/>
        <w:jc w:val="both"/>
        <w:rPr>
          <w:rFonts w:ascii="Calibri" w:hAnsi="Calibri" w:cs="Times New Roman"/>
        </w:rPr>
      </w:pPr>
      <w:r>
        <w:rPr>
          <w:rFonts w:ascii="Calibri" w:hAnsi="Calibri" w:cs="Times New Roman"/>
        </w:rPr>
        <w:t xml:space="preserve">Participation is the only </w:t>
      </w:r>
      <w:r w:rsidR="005601A5">
        <w:rPr>
          <w:rFonts w:ascii="Calibri" w:hAnsi="Calibri" w:cs="Times New Roman"/>
        </w:rPr>
        <w:t>one</w:t>
      </w:r>
      <w:r>
        <w:rPr>
          <w:rFonts w:ascii="Calibri" w:hAnsi="Calibri" w:cs="Times New Roman"/>
        </w:rPr>
        <w:t xml:space="preserve"> of the “three Ps” of SCR 1325 (the other two </w:t>
      </w:r>
      <w:r w:rsidR="00434E8E">
        <w:rPr>
          <w:rFonts w:ascii="Calibri" w:hAnsi="Calibri" w:cs="Times New Roman"/>
        </w:rPr>
        <w:t>being</w:t>
      </w:r>
      <w:r>
        <w:rPr>
          <w:rFonts w:ascii="Calibri" w:hAnsi="Calibri" w:cs="Times New Roman"/>
        </w:rPr>
        <w:t xml:space="preserve"> prevention and protection) to </w:t>
      </w:r>
      <w:r w:rsidR="005601A5">
        <w:rPr>
          <w:rFonts w:ascii="Calibri" w:hAnsi="Calibri" w:cs="Times New Roman"/>
        </w:rPr>
        <w:t>feature as a priority</w:t>
      </w:r>
      <w:r>
        <w:rPr>
          <w:rFonts w:ascii="Calibri" w:hAnsi="Calibri" w:cs="Times New Roman"/>
        </w:rPr>
        <w:t xml:space="preserve"> in every NAP</w:t>
      </w:r>
      <w:r w:rsidR="00EE5FA9">
        <w:rPr>
          <w:rFonts w:ascii="Calibri" w:hAnsi="Calibri" w:cs="Times New Roman"/>
        </w:rPr>
        <w:t xml:space="preserve"> in the case studies</w:t>
      </w:r>
      <w:r w:rsidR="00933E05">
        <w:rPr>
          <w:rFonts w:ascii="Calibri" w:hAnsi="Calibri" w:cs="Times New Roman"/>
        </w:rPr>
        <w:t xml:space="preserve">. While the NAPs focus on the other three pillars of </w:t>
      </w:r>
      <w:r w:rsidR="00EE5FA9">
        <w:rPr>
          <w:rFonts w:ascii="Calibri" w:hAnsi="Calibri" w:cs="Times New Roman"/>
        </w:rPr>
        <w:t>SCR 1325</w:t>
      </w:r>
      <w:r>
        <w:rPr>
          <w:rFonts w:ascii="Calibri" w:hAnsi="Calibri" w:cs="Times New Roman"/>
        </w:rPr>
        <w:t xml:space="preserve"> to varying degrees</w:t>
      </w:r>
      <w:r w:rsidR="00EE5FA9">
        <w:rPr>
          <w:rFonts w:ascii="Calibri" w:hAnsi="Calibri" w:cs="Times New Roman"/>
        </w:rPr>
        <w:t xml:space="preserve"> (</w:t>
      </w:r>
      <w:r>
        <w:rPr>
          <w:rFonts w:ascii="Calibri" w:hAnsi="Calibri" w:cs="Times New Roman"/>
        </w:rPr>
        <w:t xml:space="preserve">the fourth pillar </w:t>
      </w:r>
      <w:r w:rsidR="00434E8E">
        <w:rPr>
          <w:rFonts w:ascii="Calibri" w:hAnsi="Calibri" w:cs="Times New Roman"/>
        </w:rPr>
        <w:t xml:space="preserve">being </w:t>
      </w:r>
      <w:r w:rsidR="00EE5FA9">
        <w:rPr>
          <w:rFonts w:ascii="Calibri" w:hAnsi="Calibri" w:cs="Times New Roman"/>
        </w:rPr>
        <w:t>relief and recovery)</w:t>
      </w:r>
      <w:r w:rsidR="00933E05">
        <w:rPr>
          <w:rFonts w:ascii="Calibri" w:hAnsi="Calibri" w:cs="Times New Roman"/>
        </w:rPr>
        <w:t xml:space="preserve"> either explicitly or implicitly, the </w:t>
      </w:r>
      <w:r w:rsidR="00B72C09">
        <w:rPr>
          <w:rFonts w:ascii="Calibri" w:hAnsi="Calibri" w:cs="Times New Roman"/>
        </w:rPr>
        <w:t>meaningful inclusion</w:t>
      </w:r>
      <w:r w:rsidR="00933E05">
        <w:rPr>
          <w:rFonts w:ascii="Calibri" w:hAnsi="Calibri" w:cs="Times New Roman"/>
        </w:rPr>
        <w:t xml:space="preserve"> of women and girls is crucial to the </w:t>
      </w:r>
      <w:r>
        <w:rPr>
          <w:rFonts w:ascii="Calibri" w:hAnsi="Calibri" w:cs="Times New Roman"/>
        </w:rPr>
        <w:t>NAP process</w:t>
      </w:r>
      <w:r w:rsidR="009420B0">
        <w:rPr>
          <w:rFonts w:ascii="Calibri" w:hAnsi="Calibri" w:cs="Times New Roman"/>
        </w:rPr>
        <w:t>.</w:t>
      </w:r>
      <w:r w:rsidR="009420B0" w:rsidRPr="00AA6A15">
        <w:rPr>
          <w:rFonts w:ascii="Calibri" w:hAnsi="Calibri" w:cs="Times New Roman"/>
        </w:rPr>
        <w:t xml:space="preserve"> In Myanmar, </w:t>
      </w:r>
      <w:r w:rsidR="009420B0">
        <w:rPr>
          <w:rFonts w:ascii="Calibri" w:hAnsi="Calibri" w:cs="Times New Roman"/>
        </w:rPr>
        <w:t xml:space="preserve">the only </w:t>
      </w:r>
      <w:r w:rsidR="005601A5">
        <w:rPr>
          <w:rFonts w:ascii="Calibri" w:hAnsi="Calibri" w:cs="Times New Roman"/>
        </w:rPr>
        <w:t>country yet to implement a NAP,</w:t>
      </w:r>
      <w:r w:rsidR="009420B0">
        <w:rPr>
          <w:rFonts w:ascii="Calibri" w:hAnsi="Calibri" w:cs="Times New Roman"/>
        </w:rPr>
        <w:t xml:space="preserve"> </w:t>
      </w:r>
      <w:r w:rsidR="009420B0" w:rsidRPr="00AA6A15">
        <w:rPr>
          <w:rFonts w:ascii="Calibri" w:hAnsi="Calibri" w:cs="Times New Roman"/>
        </w:rPr>
        <w:t xml:space="preserve">preliminary measures to promote </w:t>
      </w:r>
      <w:r w:rsidR="009420B0">
        <w:rPr>
          <w:rFonts w:ascii="Calibri" w:hAnsi="Calibri" w:cs="Times New Roman"/>
        </w:rPr>
        <w:t xml:space="preserve">women’s </w:t>
      </w:r>
      <w:r w:rsidR="00434E8E">
        <w:rPr>
          <w:rFonts w:ascii="Calibri" w:hAnsi="Calibri" w:cs="Times New Roman"/>
        </w:rPr>
        <w:t xml:space="preserve">political </w:t>
      </w:r>
      <w:r w:rsidR="009420B0">
        <w:rPr>
          <w:rFonts w:ascii="Calibri" w:hAnsi="Calibri" w:cs="Times New Roman"/>
        </w:rPr>
        <w:t xml:space="preserve">participation </w:t>
      </w:r>
      <w:r w:rsidR="009420B0" w:rsidRPr="00AA6A15">
        <w:rPr>
          <w:rFonts w:ascii="Calibri" w:hAnsi="Calibri" w:cs="Times New Roman"/>
        </w:rPr>
        <w:t>include a National Strategic Action Plan for t</w:t>
      </w:r>
      <w:r w:rsidR="009420B0">
        <w:rPr>
          <w:rFonts w:ascii="Calibri" w:hAnsi="Calibri" w:cs="Times New Roman"/>
        </w:rPr>
        <w:t xml:space="preserve">he Advancement of Women </w:t>
      </w:r>
      <w:r w:rsidR="005601A5">
        <w:rPr>
          <w:rFonts w:ascii="Calibri" w:hAnsi="Calibri" w:cs="Times New Roman"/>
        </w:rPr>
        <w:t xml:space="preserve">2013-2022 </w:t>
      </w:r>
      <w:r w:rsidR="009420B0">
        <w:rPr>
          <w:rFonts w:ascii="Calibri" w:hAnsi="Calibri" w:cs="Times New Roman"/>
        </w:rPr>
        <w:t xml:space="preserve">(NSPAW). The NSPAW </w:t>
      </w:r>
      <w:r w:rsidR="00B72C09">
        <w:rPr>
          <w:rFonts w:ascii="Calibri" w:hAnsi="Calibri" w:cs="Times New Roman"/>
        </w:rPr>
        <w:t>includes</w:t>
      </w:r>
      <w:r w:rsidR="009420B0">
        <w:rPr>
          <w:rFonts w:ascii="Calibri" w:hAnsi="Calibri" w:cs="Times New Roman"/>
        </w:rPr>
        <w:t xml:space="preserve"> “decision-making” as a priority, and is</w:t>
      </w:r>
      <w:r w:rsidR="009420B0" w:rsidRPr="00AA6A15">
        <w:rPr>
          <w:rFonts w:ascii="Calibri" w:hAnsi="Calibri" w:cs="Times New Roman"/>
        </w:rPr>
        <w:t xml:space="preserve"> based on </w:t>
      </w:r>
      <w:r w:rsidR="009420B0">
        <w:rPr>
          <w:rFonts w:ascii="Calibri" w:hAnsi="Calibri" w:cs="Times New Roman"/>
        </w:rPr>
        <w:t>elements of the legal framework</w:t>
      </w:r>
      <w:r w:rsidR="005601A5">
        <w:rPr>
          <w:rFonts w:ascii="Calibri" w:hAnsi="Calibri" w:cs="Times New Roman"/>
        </w:rPr>
        <w:t xml:space="preserve"> on women, peace and security</w:t>
      </w:r>
      <w:r w:rsidR="009420B0">
        <w:rPr>
          <w:rFonts w:ascii="Calibri" w:hAnsi="Calibri" w:cs="Times New Roman"/>
        </w:rPr>
        <w:t xml:space="preserve"> that prioritise the participation of women and girls in preventing, managing and resolving conflict, namely</w:t>
      </w:r>
      <w:r w:rsidR="009420B0" w:rsidRPr="00AA6A15">
        <w:rPr>
          <w:rFonts w:ascii="Calibri" w:hAnsi="Calibri" w:cs="Times New Roman"/>
        </w:rPr>
        <w:t xml:space="preserve"> </w:t>
      </w:r>
      <w:r w:rsidR="009420B0">
        <w:rPr>
          <w:rFonts w:ascii="Calibri" w:hAnsi="Calibri" w:cs="Times New Roman"/>
        </w:rPr>
        <w:t>the Convention on the Elimination of All Forms of Discrimination against Women 1979 (CEDAW) and its General Recommendations, which include the General Recommendation No. 30 on women in conflict prevention, conflict and post-conflict situations</w:t>
      </w:r>
      <w:r w:rsidR="00B72C09">
        <w:rPr>
          <w:rFonts w:ascii="Calibri" w:hAnsi="Calibri" w:cs="Times New Roman"/>
        </w:rPr>
        <w:t xml:space="preserve"> (CEDAW GR No. 30)</w:t>
      </w:r>
      <w:r w:rsidR="009420B0">
        <w:rPr>
          <w:rFonts w:ascii="Calibri" w:hAnsi="Calibri" w:cs="Times New Roman"/>
        </w:rPr>
        <w:t xml:space="preserve"> and the Beijing Platform for Action 1995 (BPfA)</w:t>
      </w:r>
      <w:r w:rsidR="00B72C09">
        <w:rPr>
          <w:rFonts w:ascii="Calibri" w:hAnsi="Calibri" w:cs="Times New Roman"/>
        </w:rPr>
        <w:t>.</w:t>
      </w:r>
      <w:r w:rsidR="00B72C09" w:rsidRPr="00B72C09">
        <w:rPr>
          <w:rStyle w:val="FootnoteReference"/>
          <w:rFonts w:ascii="Calibri" w:hAnsi="Calibri" w:cs="Times New Roman"/>
        </w:rPr>
        <w:t xml:space="preserve"> </w:t>
      </w:r>
      <w:r w:rsidR="00B72C09">
        <w:rPr>
          <w:rStyle w:val="FootnoteReference"/>
          <w:rFonts w:ascii="Calibri" w:hAnsi="Calibri" w:cs="Times New Roman"/>
        </w:rPr>
        <w:footnoteReference w:id="125"/>
      </w:r>
      <w:r w:rsidR="00B72C09">
        <w:rPr>
          <w:rFonts w:ascii="Calibri" w:hAnsi="Calibri" w:cs="Times New Roman"/>
        </w:rPr>
        <w:t xml:space="preserve">  CEDAW and its GR No. 30 and the BPfA</w:t>
      </w:r>
      <w:r w:rsidR="009420B0">
        <w:rPr>
          <w:rFonts w:ascii="Calibri" w:hAnsi="Calibri" w:cs="Times New Roman"/>
        </w:rPr>
        <w:t xml:space="preserve"> are two key elements of the legal framework that complement SCR 1325.</w:t>
      </w:r>
      <w:r w:rsidR="00A61E6C">
        <w:rPr>
          <w:rFonts w:ascii="Calibri" w:hAnsi="Calibri" w:cs="Times New Roman"/>
        </w:rPr>
        <w:t xml:space="preserve"> These elements of the legal framework are mentioned in </w:t>
      </w:r>
      <w:r w:rsidR="009559AD">
        <w:rPr>
          <w:rFonts w:ascii="Calibri" w:hAnsi="Calibri" w:cs="Times New Roman"/>
        </w:rPr>
        <w:t xml:space="preserve">all of the NAPs in the case studies (Chile, the </w:t>
      </w:r>
      <w:r w:rsidR="00A61E6C">
        <w:rPr>
          <w:rFonts w:ascii="Calibri" w:hAnsi="Calibri" w:cs="Times New Roman"/>
        </w:rPr>
        <w:t>DRC</w:t>
      </w:r>
      <w:r w:rsidR="009559AD">
        <w:rPr>
          <w:rFonts w:ascii="Calibri" w:hAnsi="Calibri" w:cs="Times New Roman"/>
        </w:rPr>
        <w:t>, Iraq, Bosnia and Herzegovina</w:t>
      </w:r>
      <w:r w:rsidR="00A61E6C">
        <w:rPr>
          <w:rFonts w:ascii="Calibri" w:hAnsi="Calibri" w:cs="Times New Roman"/>
        </w:rPr>
        <w:t xml:space="preserve"> and Nepal</w:t>
      </w:r>
      <w:r w:rsidR="009559AD">
        <w:rPr>
          <w:rFonts w:ascii="Calibri" w:hAnsi="Calibri" w:cs="Times New Roman"/>
        </w:rPr>
        <w:t>)</w:t>
      </w:r>
      <w:r w:rsidR="00A61E6C">
        <w:rPr>
          <w:rFonts w:ascii="Calibri" w:hAnsi="Calibri" w:cs="Times New Roman"/>
        </w:rPr>
        <w:t xml:space="preserve">. </w:t>
      </w:r>
    </w:p>
    <w:p w14:paraId="4CEBFA95" w14:textId="77777777" w:rsidR="008B5F1C" w:rsidRDefault="008B5F1C" w:rsidP="00DE7410">
      <w:pPr>
        <w:spacing w:line="360" w:lineRule="auto"/>
        <w:jc w:val="both"/>
        <w:rPr>
          <w:rFonts w:ascii="Calibri" w:hAnsi="Calibri" w:cs="Times New Roman"/>
        </w:rPr>
      </w:pPr>
    </w:p>
    <w:p w14:paraId="13F8F16F" w14:textId="77777777" w:rsidR="008B5F1C" w:rsidRDefault="008B5F1C" w:rsidP="00DE7410">
      <w:pPr>
        <w:spacing w:line="360" w:lineRule="auto"/>
        <w:jc w:val="both"/>
        <w:rPr>
          <w:rFonts w:ascii="Calibri" w:hAnsi="Calibri" w:cs="Times New Roman"/>
        </w:rPr>
      </w:pPr>
    </w:p>
    <w:p w14:paraId="1E97AD5F" w14:textId="77777777" w:rsidR="005C68CA" w:rsidRDefault="005C68CA" w:rsidP="005C68CA">
      <w:pPr>
        <w:jc w:val="both"/>
        <w:rPr>
          <w:rFonts w:ascii="Calibri" w:hAnsi="Calibri" w:cs="Times New Roman"/>
          <w:b/>
        </w:rPr>
      </w:pPr>
    </w:p>
    <w:p w14:paraId="0B6148BE" w14:textId="19FB5FCE" w:rsidR="005C68CA" w:rsidRPr="00DE7410" w:rsidRDefault="00EF78C7" w:rsidP="005C68CA">
      <w:pPr>
        <w:jc w:val="both"/>
        <w:rPr>
          <w:rFonts w:ascii="Calibri" w:hAnsi="Calibri" w:cs="Times New Roman"/>
          <w:b/>
          <w:color w:val="1F497D" w:themeColor="text2"/>
        </w:rPr>
      </w:pPr>
      <w:r w:rsidRPr="00DE7410">
        <w:rPr>
          <w:rFonts w:ascii="Calibri" w:hAnsi="Calibri" w:cs="Times New Roman"/>
          <w:b/>
          <w:color w:val="1F497D" w:themeColor="text2"/>
        </w:rPr>
        <w:t>P</w:t>
      </w:r>
      <w:r w:rsidR="003B6A14" w:rsidRPr="00DE7410">
        <w:rPr>
          <w:rFonts w:ascii="Calibri" w:hAnsi="Calibri" w:cs="Times New Roman"/>
          <w:b/>
          <w:color w:val="1F497D" w:themeColor="text2"/>
        </w:rPr>
        <w:t>olitical will</w:t>
      </w:r>
      <w:r w:rsidR="006F6B7D" w:rsidRPr="00DE7410">
        <w:rPr>
          <w:rFonts w:ascii="Calibri" w:hAnsi="Calibri" w:cs="Times New Roman"/>
          <w:b/>
          <w:color w:val="1F497D" w:themeColor="text2"/>
        </w:rPr>
        <w:t xml:space="preserve"> and </w:t>
      </w:r>
      <w:r w:rsidR="0095770D" w:rsidRPr="00DE7410">
        <w:rPr>
          <w:rFonts w:ascii="Calibri" w:hAnsi="Calibri" w:cs="Times New Roman"/>
          <w:b/>
          <w:color w:val="1F497D" w:themeColor="text2"/>
        </w:rPr>
        <w:t xml:space="preserve">civil society </w:t>
      </w:r>
      <w:r w:rsidR="006F6B7D" w:rsidRPr="00DE7410">
        <w:rPr>
          <w:rFonts w:ascii="Calibri" w:hAnsi="Calibri" w:cs="Times New Roman"/>
          <w:b/>
          <w:color w:val="1F497D" w:themeColor="text2"/>
        </w:rPr>
        <w:t xml:space="preserve">engagement </w:t>
      </w:r>
      <w:r w:rsidR="0095770D" w:rsidRPr="00DE7410">
        <w:rPr>
          <w:rFonts w:ascii="Calibri" w:hAnsi="Calibri" w:cs="Times New Roman"/>
          <w:b/>
          <w:color w:val="1F497D" w:themeColor="text2"/>
        </w:rPr>
        <w:t xml:space="preserve">on the legal framework </w:t>
      </w:r>
      <w:r w:rsidR="008B5F1C">
        <w:rPr>
          <w:rFonts w:ascii="Calibri" w:hAnsi="Calibri" w:cs="Times New Roman"/>
          <w:b/>
          <w:color w:val="1F497D" w:themeColor="text2"/>
        </w:rPr>
        <w:t xml:space="preserve">on women, peace and security </w:t>
      </w:r>
    </w:p>
    <w:p w14:paraId="56733B44" w14:textId="77777777" w:rsidR="00C8102E" w:rsidRPr="00AA6A15" w:rsidRDefault="00C8102E" w:rsidP="005C68CA">
      <w:pPr>
        <w:jc w:val="both"/>
        <w:rPr>
          <w:rFonts w:ascii="Calibri" w:hAnsi="Calibri" w:cs="Times New Roman"/>
          <w:b/>
        </w:rPr>
      </w:pPr>
    </w:p>
    <w:p w14:paraId="5202727D" w14:textId="40DBBE31" w:rsidR="003B6A14" w:rsidRDefault="005601A5" w:rsidP="00DE7410">
      <w:pPr>
        <w:spacing w:line="360" w:lineRule="auto"/>
        <w:jc w:val="both"/>
        <w:rPr>
          <w:rFonts w:ascii="Calibri" w:hAnsi="Calibri" w:cs="Times New Roman"/>
        </w:rPr>
      </w:pPr>
      <w:r>
        <w:rPr>
          <w:rFonts w:ascii="Calibri" w:hAnsi="Calibri" w:cs="Times New Roman"/>
        </w:rPr>
        <w:t xml:space="preserve">Buy-in by governments and the involvement of civil society are crucial to implementing SCR 1325 and upholding the legal framework. </w:t>
      </w:r>
      <w:r w:rsidR="001A1CC2">
        <w:rPr>
          <w:rFonts w:ascii="Calibri" w:hAnsi="Calibri" w:cs="Times New Roman"/>
        </w:rPr>
        <w:t xml:space="preserve">In each </w:t>
      </w:r>
      <w:r w:rsidR="003B6A14">
        <w:rPr>
          <w:rFonts w:ascii="Calibri" w:hAnsi="Calibri" w:cs="Times New Roman"/>
        </w:rPr>
        <w:t>case study</w:t>
      </w:r>
      <w:r w:rsidR="001A1CC2">
        <w:rPr>
          <w:rFonts w:ascii="Calibri" w:hAnsi="Calibri" w:cs="Times New Roman"/>
        </w:rPr>
        <w:t xml:space="preserve">, political will largely determines </w:t>
      </w:r>
      <w:r w:rsidR="00DD213C">
        <w:rPr>
          <w:rFonts w:ascii="Calibri" w:hAnsi="Calibri" w:cs="Times New Roman"/>
        </w:rPr>
        <w:t>the adequacy of</w:t>
      </w:r>
      <w:r w:rsidR="001A1CC2">
        <w:rPr>
          <w:rFonts w:ascii="Calibri" w:hAnsi="Calibri" w:cs="Times New Roman"/>
        </w:rPr>
        <w:t xml:space="preserve"> the design and content of NAPs. </w:t>
      </w:r>
      <w:r w:rsidR="00DD213C">
        <w:rPr>
          <w:rFonts w:ascii="Calibri" w:hAnsi="Calibri" w:cs="Times New Roman"/>
        </w:rPr>
        <w:t>C</w:t>
      </w:r>
      <w:r w:rsidR="001A1CC2">
        <w:rPr>
          <w:rFonts w:ascii="Calibri" w:hAnsi="Calibri" w:cs="Times New Roman"/>
        </w:rPr>
        <w:t xml:space="preserve">ivil society advocacy </w:t>
      </w:r>
      <w:r w:rsidR="00787009">
        <w:rPr>
          <w:rFonts w:ascii="Calibri" w:hAnsi="Calibri" w:cs="Times New Roman"/>
        </w:rPr>
        <w:t xml:space="preserve">makes </w:t>
      </w:r>
      <w:r w:rsidR="009559AD">
        <w:rPr>
          <w:rFonts w:ascii="Calibri" w:hAnsi="Calibri" w:cs="Times New Roman"/>
        </w:rPr>
        <w:t>a</w:t>
      </w:r>
      <w:r w:rsidR="00787009">
        <w:rPr>
          <w:rFonts w:ascii="Calibri" w:hAnsi="Calibri" w:cs="Times New Roman"/>
        </w:rPr>
        <w:t xml:space="preserve"> difference</w:t>
      </w:r>
      <w:r w:rsidR="00DD213C">
        <w:rPr>
          <w:rFonts w:ascii="Calibri" w:hAnsi="Calibri" w:cs="Times New Roman"/>
        </w:rPr>
        <w:t xml:space="preserve"> in</w:t>
      </w:r>
      <w:r w:rsidR="001A1CC2">
        <w:rPr>
          <w:rFonts w:ascii="Calibri" w:hAnsi="Calibri" w:cs="Times New Roman"/>
        </w:rPr>
        <w:t xml:space="preserve"> </w:t>
      </w:r>
      <w:r w:rsidR="00DD213C">
        <w:rPr>
          <w:rFonts w:ascii="Calibri" w:hAnsi="Calibri" w:cs="Times New Roman"/>
        </w:rPr>
        <w:t xml:space="preserve">holding political leaders accountable </w:t>
      </w:r>
      <w:r w:rsidR="00787009">
        <w:rPr>
          <w:rFonts w:ascii="Calibri" w:hAnsi="Calibri" w:cs="Times New Roman"/>
        </w:rPr>
        <w:t>to</w:t>
      </w:r>
      <w:r w:rsidR="00DD213C">
        <w:rPr>
          <w:rFonts w:ascii="Calibri" w:hAnsi="Calibri" w:cs="Times New Roman"/>
        </w:rPr>
        <w:t xml:space="preserve"> </w:t>
      </w:r>
      <w:r w:rsidR="00787009">
        <w:rPr>
          <w:rFonts w:ascii="Calibri" w:hAnsi="Calibri" w:cs="Times New Roman"/>
        </w:rPr>
        <w:t>put NAPs into action, and to monitor</w:t>
      </w:r>
      <w:r w:rsidR="00DD213C">
        <w:rPr>
          <w:rFonts w:ascii="Calibri" w:hAnsi="Calibri" w:cs="Times New Roman"/>
        </w:rPr>
        <w:t xml:space="preserve"> and evaluat</w:t>
      </w:r>
      <w:r w:rsidR="00787009">
        <w:rPr>
          <w:rFonts w:ascii="Calibri" w:hAnsi="Calibri" w:cs="Times New Roman"/>
        </w:rPr>
        <w:t>e them</w:t>
      </w:r>
      <w:r w:rsidR="00DD213C">
        <w:rPr>
          <w:rFonts w:ascii="Calibri" w:hAnsi="Calibri" w:cs="Times New Roman"/>
        </w:rPr>
        <w:t>. The level</w:t>
      </w:r>
      <w:r w:rsidR="003B6A14">
        <w:rPr>
          <w:rFonts w:ascii="Calibri" w:hAnsi="Calibri" w:cs="Times New Roman"/>
        </w:rPr>
        <w:t>s</w:t>
      </w:r>
      <w:r w:rsidR="00DD213C">
        <w:rPr>
          <w:rFonts w:ascii="Calibri" w:hAnsi="Calibri" w:cs="Times New Roman"/>
        </w:rPr>
        <w:t xml:space="preserve"> of government</w:t>
      </w:r>
      <w:r w:rsidR="00787009">
        <w:rPr>
          <w:rFonts w:ascii="Calibri" w:hAnsi="Calibri" w:cs="Times New Roman"/>
        </w:rPr>
        <w:t xml:space="preserve"> buy-in</w:t>
      </w:r>
      <w:r w:rsidR="003B6A14">
        <w:rPr>
          <w:rFonts w:ascii="Calibri" w:hAnsi="Calibri" w:cs="Times New Roman"/>
        </w:rPr>
        <w:t xml:space="preserve"> and civil society engagement are</w:t>
      </w:r>
      <w:r w:rsidR="00787009">
        <w:rPr>
          <w:rFonts w:ascii="Calibri" w:hAnsi="Calibri" w:cs="Times New Roman"/>
        </w:rPr>
        <w:t xml:space="preserve"> affected by</w:t>
      </w:r>
      <w:r w:rsidR="009559AD">
        <w:rPr>
          <w:rFonts w:ascii="Calibri" w:hAnsi="Calibri" w:cs="Times New Roman"/>
        </w:rPr>
        <w:t>:</w:t>
      </w:r>
      <w:r w:rsidR="00DD213C">
        <w:rPr>
          <w:rFonts w:ascii="Calibri" w:hAnsi="Calibri" w:cs="Times New Roman"/>
        </w:rPr>
        <w:t xml:space="preserve"> the immediacy of conflict in </w:t>
      </w:r>
      <w:r w:rsidR="00787009">
        <w:rPr>
          <w:rFonts w:ascii="Calibri" w:hAnsi="Calibri" w:cs="Times New Roman"/>
        </w:rPr>
        <w:t>a</w:t>
      </w:r>
      <w:r w:rsidR="00DD213C">
        <w:rPr>
          <w:rFonts w:ascii="Calibri" w:hAnsi="Calibri" w:cs="Times New Roman"/>
        </w:rPr>
        <w:t xml:space="preserve"> country</w:t>
      </w:r>
      <w:r w:rsidR="009559AD">
        <w:rPr>
          <w:rFonts w:ascii="Calibri" w:hAnsi="Calibri" w:cs="Times New Roman"/>
        </w:rPr>
        <w:t>;</w:t>
      </w:r>
      <w:r w:rsidR="00DD213C">
        <w:rPr>
          <w:rFonts w:ascii="Calibri" w:hAnsi="Calibri" w:cs="Times New Roman"/>
        </w:rPr>
        <w:t xml:space="preserve"> </w:t>
      </w:r>
      <w:r w:rsidR="009559AD">
        <w:rPr>
          <w:rFonts w:ascii="Calibri" w:hAnsi="Calibri" w:cs="Times New Roman"/>
        </w:rPr>
        <w:t>post-conflict</w:t>
      </w:r>
      <w:r w:rsidR="00DD213C">
        <w:rPr>
          <w:rFonts w:ascii="Calibri" w:hAnsi="Calibri" w:cs="Times New Roman"/>
        </w:rPr>
        <w:t xml:space="preserve"> political inst</w:t>
      </w:r>
      <w:r w:rsidR="00787009">
        <w:rPr>
          <w:rFonts w:ascii="Calibri" w:hAnsi="Calibri" w:cs="Times New Roman"/>
        </w:rPr>
        <w:t>ability an</w:t>
      </w:r>
      <w:r w:rsidR="009559AD">
        <w:rPr>
          <w:rFonts w:ascii="Calibri" w:hAnsi="Calibri" w:cs="Times New Roman"/>
        </w:rPr>
        <w:t>d leadership vacuums;</w:t>
      </w:r>
      <w:r w:rsidR="00787009">
        <w:rPr>
          <w:rFonts w:ascii="Calibri" w:hAnsi="Calibri" w:cs="Times New Roman"/>
        </w:rPr>
        <w:t xml:space="preserve"> and </w:t>
      </w:r>
      <w:r w:rsidR="00DD213C">
        <w:rPr>
          <w:rFonts w:ascii="Calibri" w:hAnsi="Calibri" w:cs="Times New Roman"/>
        </w:rPr>
        <w:t xml:space="preserve">the </w:t>
      </w:r>
      <w:r w:rsidR="003B6A14">
        <w:rPr>
          <w:rFonts w:ascii="Calibri" w:hAnsi="Calibri" w:cs="Times New Roman"/>
        </w:rPr>
        <w:t>coordination by</w:t>
      </w:r>
      <w:r w:rsidR="00DD213C">
        <w:rPr>
          <w:rFonts w:ascii="Calibri" w:hAnsi="Calibri" w:cs="Times New Roman"/>
        </w:rPr>
        <w:t xml:space="preserve"> </w:t>
      </w:r>
      <w:r w:rsidR="009559AD">
        <w:rPr>
          <w:rFonts w:ascii="Calibri" w:hAnsi="Calibri" w:cs="Times New Roman"/>
        </w:rPr>
        <w:t xml:space="preserve">the UN, </w:t>
      </w:r>
      <w:r w:rsidR="00DD213C">
        <w:rPr>
          <w:rFonts w:ascii="Calibri" w:hAnsi="Calibri" w:cs="Times New Roman"/>
        </w:rPr>
        <w:t>development agencies, and civil society actors in supplementing government actions on</w:t>
      </w:r>
      <w:r w:rsidR="009559AD">
        <w:rPr>
          <w:rFonts w:ascii="Calibri" w:hAnsi="Calibri" w:cs="Times New Roman"/>
        </w:rPr>
        <w:t xml:space="preserve"> WPS</w:t>
      </w:r>
      <w:r w:rsidR="00787009">
        <w:rPr>
          <w:rFonts w:ascii="Calibri" w:hAnsi="Calibri" w:cs="Times New Roman"/>
        </w:rPr>
        <w:t xml:space="preserve">. </w:t>
      </w:r>
    </w:p>
    <w:p w14:paraId="696941E4" w14:textId="77777777" w:rsidR="003B6A14" w:rsidRDefault="003B6A14" w:rsidP="00DE7410">
      <w:pPr>
        <w:spacing w:line="360" w:lineRule="auto"/>
        <w:jc w:val="both"/>
        <w:rPr>
          <w:rFonts w:ascii="Calibri" w:hAnsi="Calibri" w:cs="Times New Roman"/>
        </w:rPr>
      </w:pPr>
    </w:p>
    <w:p w14:paraId="4BD9639F" w14:textId="52648349" w:rsidR="00434E8E" w:rsidRDefault="007F7974" w:rsidP="00DE7410">
      <w:pPr>
        <w:spacing w:line="360" w:lineRule="auto"/>
        <w:jc w:val="both"/>
        <w:rPr>
          <w:rFonts w:ascii="Calibri" w:hAnsi="Calibri" w:cs="Times New Roman"/>
        </w:rPr>
      </w:pPr>
      <w:r>
        <w:rPr>
          <w:rFonts w:ascii="Calibri" w:hAnsi="Calibri" w:cs="Times New Roman"/>
        </w:rPr>
        <w:t>The</w:t>
      </w:r>
      <w:r w:rsidR="00787009">
        <w:rPr>
          <w:rFonts w:ascii="Calibri" w:hAnsi="Calibri" w:cs="Times New Roman"/>
        </w:rPr>
        <w:t xml:space="preserve"> relatively successful N</w:t>
      </w:r>
      <w:r w:rsidR="003B6A14">
        <w:rPr>
          <w:rFonts w:ascii="Calibri" w:hAnsi="Calibri" w:cs="Times New Roman"/>
        </w:rPr>
        <w:t>APs</w:t>
      </w:r>
      <w:r w:rsidR="005C68CA" w:rsidRPr="00AA6A15">
        <w:rPr>
          <w:rFonts w:ascii="Calibri" w:hAnsi="Calibri" w:cs="Times New Roman"/>
        </w:rPr>
        <w:t xml:space="preserve">, </w:t>
      </w:r>
      <w:r w:rsidR="00787009">
        <w:rPr>
          <w:rFonts w:ascii="Calibri" w:hAnsi="Calibri" w:cs="Times New Roman"/>
        </w:rPr>
        <w:t xml:space="preserve">like </w:t>
      </w:r>
      <w:r w:rsidR="009559AD">
        <w:rPr>
          <w:rFonts w:ascii="Calibri" w:hAnsi="Calibri" w:cs="Times New Roman"/>
        </w:rPr>
        <w:t xml:space="preserve">those of </w:t>
      </w:r>
      <w:r w:rsidR="00787009">
        <w:rPr>
          <w:rFonts w:ascii="Calibri" w:hAnsi="Calibri" w:cs="Times New Roman"/>
        </w:rPr>
        <w:t>Nepal</w:t>
      </w:r>
      <w:r w:rsidR="003B6A14">
        <w:rPr>
          <w:rFonts w:ascii="Calibri" w:hAnsi="Calibri" w:cs="Times New Roman"/>
        </w:rPr>
        <w:t xml:space="preserve"> and Chile,</w:t>
      </w:r>
      <w:r w:rsidR="005C68CA" w:rsidRPr="00AA6A15">
        <w:rPr>
          <w:rFonts w:ascii="Calibri" w:hAnsi="Calibri" w:cs="Times New Roman"/>
        </w:rPr>
        <w:t xml:space="preserve"> </w:t>
      </w:r>
      <w:r w:rsidR="003B6A14">
        <w:rPr>
          <w:rFonts w:ascii="Calibri" w:hAnsi="Calibri" w:cs="Times New Roman"/>
        </w:rPr>
        <w:t>are</w:t>
      </w:r>
      <w:r w:rsidR="005C68CA" w:rsidRPr="00AA6A15">
        <w:rPr>
          <w:rFonts w:ascii="Calibri" w:hAnsi="Calibri" w:cs="Times New Roman"/>
        </w:rPr>
        <w:t xml:space="preserve"> designed to work closely with development agencies and civil society at local and national level</w:t>
      </w:r>
      <w:r>
        <w:rPr>
          <w:rFonts w:ascii="Calibri" w:hAnsi="Calibri" w:cs="Times New Roman"/>
        </w:rPr>
        <w:t>s</w:t>
      </w:r>
      <w:r w:rsidR="005C68CA" w:rsidRPr="00AA6A15">
        <w:rPr>
          <w:rFonts w:ascii="Calibri" w:hAnsi="Calibri" w:cs="Times New Roman"/>
        </w:rPr>
        <w:t xml:space="preserve">, </w:t>
      </w:r>
      <w:r>
        <w:rPr>
          <w:rFonts w:ascii="Calibri" w:hAnsi="Calibri" w:cs="Times New Roman"/>
        </w:rPr>
        <w:t>and</w:t>
      </w:r>
      <w:r w:rsidR="005C68CA" w:rsidRPr="00AA6A15">
        <w:rPr>
          <w:rFonts w:ascii="Calibri" w:hAnsi="Calibri" w:cs="Times New Roman"/>
        </w:rPr>
        <w:t xml:space="preserve"> across government. </w:t>
      </w:r>
      <w:r w:rsidR="00787009">
        <w:rPr>
          <w:rFonts w:ascii="Calibri" w:hAnsi="Calibri" w:cs="Times New Roman"/>
        </w:rPr>
        <w:t>C</w:t>
      </w:r>
      <w:r w:rsidR="00787009" w:rsidRPr="00AA6A15">
        <w:rPr>
          <w:rFonts w:ascii="Calibri" w:hAnsi="Calibri" w:cs="Times New Roman"/>
        </w:rPr>
        <w:t>onsultation appear</w:t>
      </w:r>
      <w:r w:rsidR="00787009">
        <w:rPr>
          <w:rFonts w:ascii="Calibri" w:hAnsi="Calibri" w:cs="Times New Roman"/>
        </w:rPr>
        <w:t>s</w:t>
      </w:r>
      <w:r w:rsidR="00787009" w:rsidRPr="00AA6A15">
        <w:rPr>
          <w:rFonts w:ascii="Calibri" w:hAnsi="Calibri" w:cs="Times New Roman"/>
        </w:rPr>
        <w:t xml:space="preserve"> to </w:t>
      </w:r>
      <w:r w:rsidR="00787009">
        <w:rPr>
          <w:rFonts w:ascii="Calibri" w:hAnsi="Calibri" w:cs="Times New Roman"/>
        </w:rPr>
        <w:t>best secure government buy-in</w:t>
      </w:r>
      <w:r w:rsidR="00787009" w:rsidRPr="00AA6A15">
        <w:rPr>
          <w:rFonts w:ascii="Calibri" w:hAnsi="Calibri" w:cs="Times New Roman"/>
        </w:rPr>
        <w:t xml:space="preserve"> where, as in Myanmar</w:t>
      </w:r>
      <w:r w:rsidR="00787009">
        <w:rPr>
          <w:rFonts w:ascii="Calibri" w:hAnsi="Calibri" w:cs="Times New Roman"/>
        </w:rPr>
        <w:t xml:space="preserve"> and Nepal</w:t>
      </w:r>
      <w:r w:rsidR="00787009" w:rsidRPr="00AA6A15">
        <w:rPr>
          <w:rFonts w:ascii="Calibri" w:hAnsi="Calibri" w:cs="Times New Roman"/>
        </w:rPr>
        <w:t xml:space="preserve">, </w:t>
      </w:r>
      <w:r w:rsidR="00787009">
        <w:rPr>
          <w:rFonts w:ascii="Calibri" w:hAnsi="Calibri" w:cs="Times New Roman"/>
        </w:rPr>
        <w:t>it is</w:t>
      </w:r>
      <w:r w:rsidR="00787009" w:rsidRPr="00AA6A15">
        <w:rPr>
          <w:rFonts w:ascii="Calibri" w:hAnsi="Calibri" w:cs="Times New Roman"/>
        </w:rPr>
        <w:t xml:space="preserve"> </w:t>
      </w:r>
      <w:r w:rsidR="00E37292">
        <w:rPr>
          <w:rFonts w:ascii="Calibri" w:hAnsi="Calibri" w:cs="Times New Roman"/>
        </w:rPr>
        <w:t>initiated at the beginning of the NA</w:t>
      </w:r>
      <w:r w:rsidR="009559AD">
        <w:rPr>
          <w:rFonts w:ascii="Calibri" w:hAnsi="Calibri" w:cs="Times New Roman"/>
        </w:rPr>
        <w:t>P</w:t>
      </w:r>
      <w:r w:rsidR="00E37292">
        <w:rPr>
          <w:rFonts w:ascii="Calibri" w:hAnsi="Calibri" w:cs="Times New Roman"/>
        </w:rPr>
        <w:t xml:space="preserve"> process to involve </w:t>
      </w:r>
      <w:r w:rsidR="00787009">
        <w:rPr>
          <w:rFonts w:ascii="Calibri" w:hAnsi="Calibri" w:cs="Times New Roman"/>
        </w:rPr>
        <w:t>all relevant stakeholders</w:t>
      </w:r>
      <w:r w:rsidR="003B6A14">
        <w:rPr>
          <w:rFonts w:ascii="Calibri" w:hAnsi="Calibri" w:cs="Times New Roman"/>
        </w:rPr>
        <w:t>, including women’s ministries</w:t>
      </w:r>
      <w:r w:rsidR="00EF78C7">
        <w:rPr>
          <w:rFonts w:ascii="Calibri" w:hAnsi="Calibri" w:cs="Times New Roman"/>
        </w:rPr>
        <w:t>,</w:t>
      </w:r>
      <w:r w:rsidR="003B6A14">
        <w:rPr>
          <w:rFonts w:ascii="Calibri" w:hAnsi="Calibri" w:cs="Times New Roman"/>
        </w:rPr>
        <w:t xml:space="preserve"> national women’s machineries</w:t>
      </w:r>
      <w:r w:rsidR="00EF78C7">
        <w:rPr>
          <w:rFonts w:ascii="Calibri" w:hAnsi="Calibri" w:cs="Times New Roman"/>
        </w:rPr>
        <w:t xml:space="preserve"> and women’s</w:t>
      </w:r>
      <w:r w:rsidR="009559AD">
        <w:rPr>
          <w:rFonts w:ascii="Calibri" w:hAnsi="Calibri" w:cs="Times New Roman"/>
        </w:rPr>
        <w:t xml:space="preserve"> and girls’</w:t>
      </w:r>
      <w:r w:rsidR="00EF78C7">
        <w:rPr>
          <w:rFonts w:ascii="Calibri" w:hAnsi="Calibri" w:cs="Times New Roman"/>
        </w:rPr>
        <w:t xml:space="preserve"> organizations</w:t>
      </w:r>
      <w:r w:rsidR="00787009">
        <w:rPr>
          <w:rFonts w:ascii="Calibri" w:hAnsi="Calibri" w:cs="Times New Roman"/>
        </w:rPr>
        <w:t xml:space="preserve">. </w:t>
      </w:r>
      <w:r w:rsidR="00EF78C7">
        <w:rPr>
          <w:rFonts w:ascii="Calibri" w:hAnsi="Calibri" w:cs="Times New Roman"/>
        </w:rPr>
        <w:t xml:space="preserve">In </w:t>
      </w:r>
      <w:r w:rsidR="005C68CA" w:rsidRPr="00AA6A15">
        <w:rPr>
          <w:rFonts w:ascii="Calibri" w:hAnsi="Calibri" w:cs="Times New Roman"/>
        </w:rPr>
        <w:t>Bosnia and Herzegovina</w:t>
      </w:r>
      <w:r w:rsidR="009559AD">
        <w:rPr>
          <w:rFonts w:ascii="Calibri" w:hAnsi="Calibri" w:cs="Times New Roman"/>
        </w:rPr>
        <w:t xml:space="preserve"> (BiH)</w:t>
      </w:r>
      <w:r w:rsidR="005C68CA" w:rsidRPr="00AA6A15">
        <w:rPr>
          <w:rFonts w:ascii="Calibri" w:hAnsi="Calibri" w:cs="Times New Roman"/>
        </w:rPr>
        <w:t xml:space="preserve"> the </w:t>
      </w:r>
      <w:r>
        <w:rPr>
          <w:rFonts w:ascii="Calibri" w:hAnsi="Calibri" w:cs="Times New Roman"/>
        </w:rPr>
        <w:t xml:space="preserve">federal structure of the government </w:t>
      </w:r>
      <w:r w:rsidR="005C68CA" w:rsidRPr="00AA6A15">
        <w:rPr>
          <w:rFonts w:ascii="Calibri" w:hAnsi="Calibri" w:cs="Times New Roman"/>
        </w:rPr>
        <w:t xml:space="preserve">coupled with official denial </w:t>
      </w:r>
      <w:r w:rsidR="00787009">
        <w:rPr>
          <w:rFonts w:ascii="Calibri" w:hAnsi="Calibri" w:cs="Times New Roman"/>
        </w:rPr>
        <w:t>by the</w:t>
      </w:r>
      <w:r w:rsidR="005C68CA" w:rsidRPr="00AA6A15">
        <w:rPr>
          <w:rFonts w:ascii="Calibri" w:hAnsi="Calibri" w:cs="Times New Roman"/>
        </w:rPr>
        <w:t xml:space="preserve"> regional government </w:t>
      </w:r>
      <w:r w:rsidR="00EF78C7">
        <w:rPr>
          <w:rFonts w:ascii="Calibri" w:hAnsi="Calibri" w:cs="Times New Roman"/>
        </w:rPr>
        <w:t>hampered</w:t>
      </w:r>
      <w:r w:rsidR="005C68CA" w:rsidRPr="00AA6A15">
        <w:rPr>
          <w:rFonts w:ascii="Calibri" w:hAnsi="Calibri" w:cs="Times New Roman"/>
        </w:rPr>
        <w:t xml:space="preserve"> implementation</w:t>
      </w:r>
      <w:r w:rsidR="00EF78C7">
        <w:rPr>
          <w:rFonts w:ascii="Calibri" w:hAnsi="Calibri" w:cs="Times New Roman"/>
        </w:rPr>
        <w:t xml:space="preserve"> of the first NAP. The second NAP</w:t>
      </w:r>
      <w:r w:rsidR="009559AD">
        <w:rPr>
          <w:rFonts w:ascii="Calibri" w:hAnsi="Calibri" w:cs="Times New Roman"/>
        </w:rPr>
        <w:t xml:space="preserve"> of BiH</w:t>
      </w:r>
      <w:r w:rsidR="00EF78C7">
        <w:rPr>
          <w:rFonts w:ascii="Calibri" w:hAnsi="Calibri" w:cs="Times New Roman"/>
        </w:rPr>
        <w:t xml:space="preserve"> shows promise by incorporating lessons learned from the CEDAW Committee and the country’s obligations under the legal framework</w:t>
      </w:r>
      <w:r w:rsidR="005C68CA" w:rsidRPr="00AA6A15">
        <w:rPr>
          <w:rFonts w:ascii="Calibri" w:hAnsi="Calibri" w:cs="Times New Roman"/>
        </w:rPr>
        <w:t>.</w:t>
      </w:r>
      <w:r w:rsidR="00E37292">
        <w:rPr>
          <w:rFonts w:ascii="Calibri" w:hAnsi="Calibri" w:cs="Times New Roman"/>
        </w:rPr>
        <w:t xml:space="preserve"> </w:t>
      </w:r>
      <w:r>
        <w:rPr>
          <w:rFonts w:ascii="Calibri" w:hAnsi="Calibri" w:cs="Times New Roman"/>
        </w:rPr>
        <w:t>In I</w:t>
      </w:r>
      <w:r w:rsidR="005C68CA" w:rsidRPr="00AA6A15">
        <w:rPr>
          <w:rFonts w:ascii="Calibri" w:hAnsi="Calibri" w:cs="Times New Roman"/>
        </w:rPr>
        <w:t xml:space="preserve">raq, </w:t>
      </w:r>
      <w:r w:rsidR="00787009">
        <w:rPr>
          <w:rFonts w:ascii="Calibri" w:hAnsi="Calibri" w:cs="Times New Roman"/>
        </w:rPr>
        <w:t xml:space="preserve">efforts to enforce the newly adopted NAP </w:t>
      </w:r>
      <w:r w:rsidR="00EF78C7">
        <w:rPr>
          <w:rFonts w:ascii="Calibri" w:hAnsi="Calibri" w:cs="Times New Roman"/>
        </w:rPr>
        <w:t>must be understood</w:t>
      </w:r>
      <w:r w:rsidR="003B6A14">
        <w:rPr>
          <w:rFonts w:ascii="Calibri" w:hAnsi="Calibri" w:cs="Times New Roman"/>
        </w:rPr>
        <w:t xml:space="preserve"> against a backdrop of renewed</w:t>
      </w:r>
      <w:r w:rsidR="00787009">
        <w:rPr>
          <w:rFonts w:ascii="Calibri" w:hAnsi="Calibri" w:cs="Times New Roman"/>
        </w:rPr>
        <w:t xml:space="preserve"> conflict </w:t>
      </w:r>
      <w:r w:rsidR="00EF78C7">
        <w:rPr>
          <w:rFonts w:ascii="Calibri" w:hAnsi="Calibri" w:cs="Times New Roman"/>
        </w:rPr>
        <w:t>from</w:t>
      </w:r>
      <w:r w:rsidR="00787009">
        <w:rPr>
          <w:rFonts w:ascii="Calibri" w:hAnsi="Calibri" w:cs="Times New Roman"/>
        </w:rPr>
        <w:t xml:space="preserve"> </w:t>
      </w:r>
      <w:r w:rsidR="005C68CA" w:rsidRPr="00AA6A15">
        <w:rPr>
          <w:rFonts w:ascii="Calibri" w:hAnsi="Calibri" w:cs="Times New Roman"/>
        </w:rPr>
        <w:t>the recent military campaign by</w:t>
      </w:r>
      <w:r w:rsidR="00787009">
        <w:rPr>
          <w:rFonts w:ascii="Calibri" w:hAnsi="Calibri" w:cs="Times New Roman"/>
        </w:rPr>
        <w:t xml:space="preserve"> the Islamic State of </w:t>
      </w:r>
      <w:r w:rsidR="00B705DF">
        <w:rPr>
          <w:rFonts w:ascii="Calibri" w:hAnsi="Calibri" w:cs="Times New Roman"/>
        </w:rPr>
        <w:t>Iraq</w:t>
      </w:r>
      <w:r w:rsidR="00787009">
        <w:rPr>
          <w:rFonts w:ascii="Calibri" w:hAnsi="Calibri" w:cs="Times New Roman"/>
        </w:rPr>
        <w:t xml:space="preserve"> and Levant (ISIL)</w:t>
      </w:r>
      <w:r w:rsidR="005C68CA" w:rsidRPr="00AA6A15">
        <w:rPr>
          <w:rFonts w:ascii="Calibri" w:hAnsi="Calibri" w:cs="Times New Roman"/>
        </w:rPr>
        <w:t>.</w:t>
      </w:r>
      <w:r w:rsidR="00787009">
        <w:rPr>
          <w:rFonts w:ascii="Calibri" w:hAnsi="Calibri" w:cs="Times New Roman"/>
        </w:rPr>
        <w:t xml:space="preserve"> The DRC retains the title of </w:t>
      </w:r>
      <w:r w:rsidR="003B6A14">
        <w:rPr>
          <w:rFonts w:ascii="Calibri" w:hAnsi="Calibri" w:cs="Times New Roman"/>
        </w:rPr>
        <w:t>the wor</w:t>
      </w:r>
      <w:r w:rsidR="00517287">
        <w:rPr>
          <w:rFonts w:ascii="Calibri" w:hAnsi="Calibri" w:cs="Times New Roman"/>
        </w:rPr>
        <w:t>l</w:t>
      </w:r>
      <w:r w:rsidR="003B6A14">
        <w:rPr>
          <w:rFonts w:ascii="Calibri" w:hAnsi="Calibri" w:cs="Times New Roman"/>
        </w:rPr>
        <w:t xml:space="preserve">d’s </w:t>
      </w:r>
      <w:r w:rsidR="00641480">
        <w:rPr>
          <w:rFonts w:ascii="Calibri" w:hAnsi="Calibri" w:cs="Times New Roman"/>
        </w:rPr>
        <w:t>‘</w:t>
      </w:r>
      <w:r w:rsidR="00787009">
        <w:rPr>
          <w:rFonts w:ascii="Calibri" w:hAnsi="Calibri" w:cs="Times New Roman"/>
        </w:rPr>
        <w:t>rape capital</w:t>
      </w:r>
      <w:r w:rsidR="00641480">
        <w:rPr>
          <w:rFonts w:ascii="Calibri" w:hAnsi="Calibri" w:cs="Times New Roman"/>
        </w:rPr>
        <w:t>’</w:t>
      </w:r>
      <w:r w:rsidR="00A85B67">
        <w:rPr>
          <w:rFonts w:ascii="Calibri" w:hAnsi="Calibri" w:cs="Times New Roman"/>
        </w:rPr>
        <w:t xml:space="preserve"> </w:t>
      </w:r>
      <w:r w:rsidR="00641480">
        <w:rPr>
          <w:rFonts w:ascii="Calibri" w:hAnsi="Calibri" w:cs="Times New Roman"/>
        </w:rPr>
        <w:t xml:space="preserve">and the government’s inadequate </w:t>
      </w:r>
      <w:r w:rsidR="00A85B67">
        <w:rPr>
          <w:rFonts w:ascii="Calibri" w:hAnsi="Calibri" w:cs="Times New Roman"/>
        </w:rPr>
        <w:t>implementation of its</w:t>
      </w:r>
      <w:r w:rsidR="009559AD">
        <w:rPr>
          <w:rFonts w:ascii="Calibri" w:hAnsi="Calibri" w:cs="Times New Roman"/>
        </w:rPr>
        <w:t xml:space="preserve"> NAP </w:t>
      </w:r>
      <w:r w:rsidR="00A85B67">
        <w:rPr>
          <w:rFonts w:ascii="Calibri" w:hAnsi="Calibri" w:cs="Times New Roman"/>
        </w:rPr>
        <w:t>indicates</w:t>
      </w:r>
      <w:r w:rsidR="009559AD">
        <w:rPr>
          <w:rFonts w:ascii="Calibri" w:hAnsi="Calibri" w:cs="Times New Roman"/>
        </w:rPr>
        <w:t xml:space="preserve"> </w:t>
      </w:r>
      <w:r w:rsidR="00E37292">
        <w:rPr>
          <w:rFonts w:ascii="Calibri" w:hAnsi="Calibri" w:cs="Times New Roman"/>
        </w:rPr>
        <w:t>a lack of</w:t>
      </w:r>
      <w:r w:rsidR="00641480">
        <w:rPr>
          <w:rFonts w:ascii="Calibri" w:hAnsi="Calibri" w:cs="Times New Roman"/>
        </w:rPr>
        <w:t xml:space="preserve"> political will</w:t>
      </w:r>
      <w:r w:rsidR="00D75A79">
        <w:rPr>
          <w:rFonts w:ascii="Calibri" w:hAnsi="Calibri" w:cs="Times New Roman"/>
        </w:rPr>
        <w:t xml:space="preserve">. </w:t>
      </w:r>
    </w:p>
    <w:p w14:paraId="0F76ECCD" w14:textId="60672CE4" w:rsidR="00517287" w:rsidRDefault="00517287">
      <w:pPr>
        <w:rPr>
          <w:rFonts w:ascii="Calibri" w:hAnsi="Calibri" w:cs="Times New Roman"/>
        </w:rPr>
      </w:pPr>
      <w:r>
        <w:rPr>
          <w:rFonts w:ascii="Calibri" w:hAnsi="Calibri" w:cs="Times New Roman"/>
        </w:rPr>
        <w:br w:type="page"/>
      </w:r>
    </w:p>
    <w:p w14:paraId="541DE045" w14:textId="77777777" w:rsidR="00434E8E" w:rsidRPr="00C8102E" w:rsidRDefault="00434E8E" w:rsidP="00C8102E">
      <w:pPr>
        <w:jc w:val="both"/>
        <w:rPr>
          <w:rFonts w:ascii="Calibri" w:hAnsi="Calibri" w:cs="Times New Roman"/>
        </w:rPr>
      </w:pPr>
    </w:p>
    <w:p w14:paraId="1B35B4B7" w14:textId="6F70E33E" w:rsidR="00F73B33" w:rsidRPr="003330F3" w:rsidRDefault="00F73B33" w:rsidP="00F73B33">
      <w:pPr>
        <w:pStyle w:val="Heading3"/>
        <w:keepLines/>
        <w:spacing w:before="20" w:after="0"/>
        <w:jc w:val="center"/>
        <w:rPr>
          <w:b w:val="0"/>
          <w:color w:val="1F497D" w:themeColor="text2"/>
          <w:spacing w:val="14"/>
          <w:sz w:val="32"/>
          <w:szCs w:val="32"/>
          <w:u w:val="single"/>
          <w:lang w:val="en-GB"/>
        </w:rPr>
      </w:pPr>
      <w:bookmarkStart w:id="9" w:name="_Toc416867087"/>
      <w:r>
        <w:rPr>
          <w:b w:val="0"/>
          <w:color w:val="1F497D" w:themeColor="text2"/>
          <w:spacing w:val="14"/>
          <w:sz w:val="32"/>
          <w:szCs w:val="32"/>
          <w:u w:val="single"/>
          <w:lang w:val="en-GB"/>
        </w:rPr>
        <w:t>AFRICA</w:t>
      </w:r>
      <w:bookmarkEnd w:id="9"/>
    </w:p>
    <w:p w14:paraId="76629FAD" w14:textId="77777777" w:rsidR="00F73B33" w:rsidRDefault="00F73B33" w:rsidP="00F73B33">
      <w:pPr>
        <w:jc w:val="both"/>
        <w:rPr>
          <w:rFonts w:ascii="Calibri" w:hAnsi="Calibri"/>
          <w:b/>
        </w:rPr>
      </w:pPr>
    </w:p>
    <w:p w14:paraId="4094AFD3" w14:textId="401A963B" w:rsidR="00F73B33" w:rsidRPr="000E78A5" w:rsidRDefault="00F73B33" w:rsidP="00F73B33">
      <w:pPr>
        <w:pStyle w:val="Heading3"/>
        <w:keepLines/>
        <w:spacing w:before="20" w:after="0"/>
        <w:jc w:val="center"/>
        <w:rPr>
          <w:b w:val="0"/>
          <w:color w:val="1F497D" w:themeColor="text2"/>
          <w:spacing w:val="14"/>
          <w:sz w:val="32"/>
          <w:szCs w:val="32"/>
          <w:lang w:val="en-GB"/>
        </w:rPr>
      </w:pPr>
      <w:bookmarkStart w:id="10" w:name="_Toc416867088"/>
      <w:r>
        <w:rPr>
          <w:b w:val="0"/>
          <w:color w:val="1F497D" w:themeColor="text2"/>
          <w:spacing w:val="14"/>
          <w:sz w:val="32"/>
          <w:szCs w:val="32"/>
          <w:lang w:val="en-GB"/>
        </w:rPr>
        <w:t>THE DEMOCRATIC REPUBLIC OF THE CONGO (DRC) – A NEED TO ADDRESS CONFLICT-RELATED SEXUAL AND GENDER-BASED VIOLENCE</w:t>
      </w:r>
      <w:bookmarkEnd w:id="10"/>
      <w:r>
        <w:rPr>
          <w:b w:val="0"/>
          <w:color w:val="1F497D" w:themeColor="text2"/>
          <w:spacing w:val="14"/>
          <w:sz w:val="32"/>
          <w:szCs w:val="32"/>
          <w:lang w:val="en-GB"/>
        </w:rPr>
        <w:t xml:space="preserve"> </w:t>
      </w:r>
    </w:p>
    <w:p w14:paraId="077F785A" w14:textId="77777777" w:rsidR="005C68CA" w:rsidRPr="0036684D" w:rsidRDefault="005C68CA" w:rsidP="005C68CA">
      <w:pPr>
        <w:pStyle w:val="ListParagraph"/>
        <w:ind w:left="0"/>
        <w:jc w:val="both"/>
        <w:rPr>
          <w:rFonts w:asciiTheme="majorHAnsi" w:hAnsiTheme="majorHAnsi" w:cs="Times New Roman"/>
          <w:b/>
          <w:u w:val="single"/>
        </w:rPr>
      </w:pPr>
    </w:p>
    <w:p w14:paraId="4D5FB814" w14:textId="4EC85816" w:rsidR="005C68CA" w:rsidRPr="001222F4" w:rsidRDefault="003B6A14" w:rsidP="007F364C">
      <w:pPr>
        <w:pStyle w:val="ListParagraph"/>
        <w:widowControl w:val="0"/>
        <w:numPr>
          <w:ilvl w:val="0"/>
          <w:numId w:val="15"/>
        </w:numPr>
        <w:autoSpaceDE w:val="0"/>
        <w:autoSpaceDN w:val="0"/>
        <w:adjustRightInd w:val="0"/>
        <w:jc w:val="both"/>
        <w:rPr>
          <w:rFonts w:asciiTheme="majorHAnsi" w:hAnsiTheme="majorHAnsi" w:cs="Arial"/>
          <w:b/>
          <w:color w:val="1F497D" w:themeColor="text2"/>
          <w:lang w:val="en-US"/>
        </w:rPr>
      </w:pPr>
      <w:r w:rsidRPr="001222F4">
        <w:rPr>
          <w:rFonts w:asciiTheme="majorHAnsi" w:hAnsiTheme="majorHAnsi" w:cs="Arial"/>
          <w:b/>
          <w:color w:val="1F497D" w:themeColor="text2"/>
          <w:lang w:val="en-US"/>
        </w:rPr>
        <w:t>An</w:t>
      </w:r>
      <w:r w:rsidR="005C68CA" w:rsidRPr="001222F4">
        <w:rPr>
          <w:rFonts w:asciiTheme="majorHAnsi" w:hAnsiTheme="majorHAnsi" w:cs="Arial"/>
          <w:b/>
          <w:color w:val="1F497D" w:themeColor="text2"/>
          <w:lang w:val="en-US"/>
        </w:rPr>
        <w:t xml:space="preserve"> Overview of Conflict in </w:t>
      </w:r>
      <w:r w:rsidR="00DE3570" w:rsidRPr="001222F4">
        <w:rPr>
          <w:rFonts w:asciiTheme="majorHAnsi" w:hAnsiTheme="majorHAnsi" w:cs="Arial"/>
          <w:b/>
          <w:color w:val="1F497D" w:themeColor="text2"/>
          <w:lang w:val="en-US"/>
        </w:rPr>
        <w:t xml:space="preserve">the </w:t>
      </w:r>
      <w:r w:rsidR="00F55EA8" w:rsidRPr="001222F4">
        <w:rPr>
          <w:rFonts w:asciiTheme="majorHAnsi" w:hAnsiTheme="majorHAnsi" w:cs="Arial"/>
          <w:b/>
          <w:color w:val="1F497D" w:themeColor="text2"/>
          <w:lang w:val="en-US"/>
        </w:rPr>
        <w:t>Democratic Republic of the Congo (DRC)</w:t>
      </w:r>
    </w:p>
    <w:p w14:paraId="3C82E642" w14:textId="77777777" w:rsidR="007A60C9" w:rsidRPr="001222F4" w:rsidRDefault="007A60C9" w:rsidP="007A60C9">
      <w:pPr>
        <w:widowControl w:val="0"/>
        <w:autoSpaceDE w:val="0"/>
        <w:autoSpaceDN w:val="0"/>
        <w:adjustRightInd w:val="0"/>
        <w:ind w:left="360"/>
        <w:jc w:val="both"/>
        <w:rPr>
          <w:rFonts w:asciiTheme="majorHAnsi" w:hAnsiTheme="majorHAnsi" w:cs="Arial"/>
          <w:b/>
          <w:lang w:val="en-US"/>
        </w:rPr>
      </w:pPr>
    </w:p>
    <w:p w14:paraId="0C700461" w14:textId="1CB17E96" w:rsidR="005C68CA" w:rsidRPr="001222F4" w:rsidRDefault="005C68CA" w:rsidP="00B05609">
      <w:pPr>
        <w:widowControl w:val="0"/>
        <w:autoSpaceDE w:val="0"/>
        <w:autoSpaceDN w:val="0"/>
        <w:adjustRightInd w:val="0"/>
        <w:spacing w:line="360" w:lineRule="auto"/>
        <w:jc w:val="both"/>
        <w:rPr>
          <w:rFonts w:asciiTheme="majorHAnsi" w:hAnsiTheme="majorHAnsi" w:cs="Arial"/>
          <w:lang w:val="en-US"/>
        </w:rPr>
      </w:pPr>
      <w:r w:rsidRPr="001222F4">
        <w:rPr>
          <w:rFonts w:asciiTheme="majorHAnsi" w:hAnsiTheme="majorHAnsi" w:cs="Arial"/>
          <w:lang w:val="en-US"/>
        </w:rPr>
        <w:t xml:space="preserve">The situation for women </w:t>
      </w:r>
      <w:r w:rsidR="007F2A73" w:rsidRPr="001222F4">
        <w:rPr>
          <w:rFonts w:asciiTheme="majorHAnsi" w:hAnsiTheme="majorHAnsi" w:cs="Arial"/>
          <w:lang w:val="en-US"/>
        </w:rPr>
        <w:t xml:space="preserve">and girls </w:t>
      </w:r>
      <w:r w:rsidRPr="001222F4">
        <w:rPr>
          <w:rFonts w:asciiTheme="majorHAnsi" w:hAnsiTheme="majorHAnsi" w:cs="Arial"/>
          <w:lang w:val="en-US"/>
        </w:rPr>
        <w:t xml:space="preserve">in the eastern DRC </w:t>
      </w:r>
      <w:r w:rsidR="003B6A14" w:rsidRPr="001222F4">
        <w:rPr>
          <w:rFonts w:asciiTheme="majorHAnsi" w:hAnsiTheme="majorHAnsi" w:cs="Arial"/>
          <w:lang w:val="en-US"/>
        </w:rPr>
        <w:t>i</w:t>
      </w:r>
      <w:r w:rsidR="005062A7" w:rsidRPr="001222F4">
        <w:rPr>
          <w:rFonts w:asciiTheme="majorHAnsi" w:hAnsiTheme="majorHAnsi" w:cs="Arial"/>
          <w:lang w:val="en-US"/>
        </w:rPr>
        <w:t>s</w:t>
      </w:r>
      <w:r w:rsidRPr="001222F4">
        <w:rPr>
          <w:rFonts w:asciiTheme="majorHAnsi" w:hAnsiTheme="majorHAnsi" w:cs="Arial"/>
          <w:lang w:val="en-US"/>
        </w:rPr>
        <w:t xml:space="preserve"> dire following decades of conflict. </w:t>
      </w:r>
      <w:r w:rsidR="00EE2B6A" w:rsidRPr="001222F4">
        <w:rPr>
          <w:rFonts w:asciiTheme="majorHAnsi" w:hAnsiTheme="majorHAnsi" w:cs="Arial"/>
          <w:lang w:val="en-US"/>
        </w:rPr>
        <w:t xml:space="preserve">Instability remains and the eastern Congo is in a fragile state of being </w:t>
      </w:r>
      <w:r w:rsidR="00EE2B6A" w:rsidRPr="001222F4">
        <w:rPr>
          <w:rFonts w:asciiTheme="majorHAnsi" w:hAnsiTheme="majorHAnsi" w:cs="Arial"/>
          <w:b/>
          <w:color w:val="4F81BD" w:themeColor="accent1"/>
          <w:lang w:val="en-US"/>
        </w:rPr>
        <w:t>neither in conflict, nor at peace</w:t>
      </w:r>
      <w:r w:rsidR="00EE2B6A" w:rsidRPr="001222F4">
        <w:rPr>
          <w:rFonts w:asciiTheme="majorHAnsi" w:hAnsiTheme="majorHAnsi" w:cs="Arial"/>
          <w:lang w:val="en-US"/>
        </w:rPr>
        <w:t xml:space="preserve">. </w:t>
      </w:r>
      <w:r w:rsidR="00517287" w:rsidRPr="001222F4">
        <w:rPr>
          <w:rFonts w:asciiTheme="majorHAnsi" w:hAnsiTheme="majorHAnsi" w:cs="Arial"/>
          <w:lang w:val="en-US"/>
        </w:rPr>
        <w:t xml:space="preserve">Following </w:t>
      </w:r>
      <w:r w:rsidRPr="001222F4">
        <w:rPr>
          <w:rFonts w:asciiTheme="majorHAnsi" w:hAnsiTheme="majorHAnsi" w:cs="Arial"/>
          <w:lang w:val="en-US"/>
        </w:rPr>
        <w:t xml:space="preserve">the genocide in neighboring Rwanda, refugees and génocidaires fled to the </w:t>
      </w:r>
      <w:r w:rsidR="00EE2B6A" w:rsidRPr="001222F4">
        <w:rPr>
          <w:rFonts w:asciiTheme="majorHAnsi" w:hAnsiTheme="majorHAnsi" w:cs="Arial"/>
          <w:lang w:val="en-US"/>
        </w:rPr>
        <w:t>DRC</w:t>
      </w:r>
      <w:r w:rsidRPr="001222F4">
        <w:rPr>
          <w:rFonts w:asciiTheme="majorHAnsi" w:hAnsiTheme="majorHAnsi" w:cs="Arial"/>
          <w:lang w:val="en-US"/>
        </w:rPr>
        <w:t xml:space="preserve">. Rwanda and Uganda then invaded the DRC in July 1996 in pursuit of the perpetrators of the genocide. </w:t>
      </w:r>
      <w:r w:rsidRPr="001222F4">
        <w:rPr>
          <w:rFonts w:asciiTheme="majorHAnsi" w:hAnsiTheme="majorHAnsi" w:cs="Arial"/>
          <w:color w:val="000000" w:themeColor="text1"/>
          <w:lang w:val="en-US"/>
        </w:rPr>
        <w:t xml:space="preserve">After </w:t>
      </w:r>
      <w:r w:rsidR="00030718" w:rsidRPr="001222F4">
        <w:rPr>
          <w:rFonts w:asciiTheme="majorHAnsi" w:eastAsia="Times New Roman" w:hAnsiTheme="majorHAnsi" w:cs="Arial"/>
          <w:color w:val="000000" w:themeColor="text1"/>
          <w:shd w:val="clear" w:color="auto" w:fill="FFFFFF"/>
        </w:rPr>
        <w:t xml:space="preserve">Laurent-Désiré Kabila, former </w:t>
      </w:r>
      <w:r w:rsidRPr="001222F4">
        <w:rPr>
          <w:rFonts w:asciiTheme="majorHAnsi" w:hAnsiTheme="majorHAnsi" w:cs="Arial"/>
          <w:lang w:val="en-US"/>
        </w:rPr>
        <w:t>dictator of the DRC</w:t>
      </w:r>
      <w:r w:rsidR="00030718" w:rsidRPr="001222F4">
        <w:rPr>
          <w:rFonts w:asciiTheme="majorHAnsi" w:hAnsiTheme="majorHAnsi" w:cs="Arial"/>
          <w:lang w:val="en-US"/>
        </w:rPr>
        <w:t xml:space="preserve"> (and father of current President J</w:t>
      </w:r>
      <w:r w:rsidR="007F2A73" w:rsidRPr="001222F4">
        <w:rPr>
          <w:rFonts w:asciiTheme="majorHAnsi" w:hAnsiTheme="majorHAnsi" w:cs="Arial"/>
          <w:lang w:val="en-US"/>
        </w:rPr>
        <w:t>oseph Kabila</w:t>
      </w:r>
      <w:r w:rsidR="00030718" w:rsidRPr="001222F4">
        <w:rPr>
          <w:rFonts w:asciiTheme="majorHAnsi" w:hAnsiTheme="majorHAnsi" w:cs="Arial"/>
          <w:lang w:val="en-US"/>
        </w:rPr>
        <w:t>)</w:t>
      </w:r>
      <w:r w:rsidRPr="001222F4">
        <w:rPr>
          <w:rFonts w:asciiTheme="majorHAnsi" w:hAnsiTheme="majorHAnsi" w:cs="Arial"/>
          <w:lang w:val="en-US"/>
        </w:rPr>
        <w:t xml:space="preserve"> fell out with his </w:t>
      </w:r>
      <w:r w:rsidR="00472DA2" w:rsidRPr="001222F4">
        <w:rPr>
          <w:rFonts w:asciiTheme="majorHAnsi" w:hAnsiTheme="majorHAnsi" w:cs="Arial"/>
          <w:lang w:val="en-US"/>
        </w:rPr>
        <w:t>benefactors;</w:t>
      </w:r>
      <w:r w:rsidRPr="001222F4">
        <w:rPr>
          <w:rFonts w:asciiTheme="majorHAnsi" w:hAnsiTheme="majorHAnsi" w:cs="Arial"/>
          <w:lang w:val="en-US"/>
        </w:rPr>
        <w:t xml:space="preserve"> a regional war broke out between rebels and government forces. The ensuing </w:t>
      </w:r>
      <w:r w:rsidR="00030718" w:rsidRPr="001222F4">
        <w:rPr>
          <w:rFonts w:asciiTheme="majorHAnsi" w:hAnsiTheme="majorHAnsi" w:cs="Arial"/>
          <w:lang w:val="en-US"/>
        </w:rPr>
        <w:t xml:space="preserve">five </w:t>
      </w:r>
      <w:r w:rsidRPr="001222F4">
        <w:rPr>
          <w:rFonts w:asciiTheme="majorHAnsi" w:hAnsiTheme="majorHAnsi" w:cs="Arial"/>
          <w:lang w:val="en-US"/>
        </w:rPr>
        <w:t xml:space="preserve">years of war exacted a devastating toll on the civilian population, with </w:t>
      </w:r>
      <w:r w:rsidR="00517287" w:rsidRPr="001222F4">
        <w:rPr>
          <w:rFonts w:asciiTheme="majorHAnsi" w:hAnsiTheme="majorHAnsi" w:cs="Arial"/>
          <w:lang w:val="en-US"/>
        </w:rPr>
        <w:t>nearly</w:t>
      </w:r>
      <w:r w:rsidRPr="001222F4">
        <w:rPr>
          <w:rFonts w:asciiTheme="majorHAnsi" w:hAnsiTheme="majorHAnsi" w:cs="Arial"/>
          <w:lang w:val="en-US"/>
        </w:rPr>
        <w:t xml:space="preserve"> </w:t>
      </w:r>
      <w:r w:rsidR="00030718" w:rsidRPr="001222F4">
        <w:rPr>
          <w:rFonts w:asciiTheme="majorHAnsi" w:hAnsiTheme="majorHAnsi" w:cs="Arial"/>
          <w:lang w:val="en-US"/>
        </w:rPr>
        <w:t>four</w:t>
      </w:r>
      <w:r w:rsidRPr="001222F4">
        <w:rPr>
          <w:rFonts w:asciiTheme="majorHAnsi" w:hAnsiTheme="majorHAnsi" w:cs="Arial"/>
          <w:lang w:val="en-US"/>
        </w:rPr>
        <w:t xml:space="preserve"> million estimated deaths from violence, starvation and di</w:t>
      </w:r>
      <w:r w:rsidR="00030718" w:rsidRPr="001222F4">
        <w:rPr>
          <w:rFonts w:asciiTheme="majorHAnsi" w:hAnsiTheme="majorHAnsi" w:cs="Arial"/>
          <w:lang w:val="en-US"/>
        </w:rPr>
        <w:t>sease, in what has been dubbed “Africa’s World War”.</w:t>
      </w:r>
      <w:r w:rsidRPr="001222F4">
        <w:rPr>
          <w:rFonts w:asciiTheme="majorHAnsi" w:hAnsiTheme="majorHAnsi" w:cs="Arial"/>
          <w:lang w:val="en-US"/>
        </w:rPr>
        <w:t xml:space="preserve"> In 2002, a peace agreement was reached between all the parties to the conflict. In 2010, the </w:t>
      </w:r>
      <w:r w:rsidR="007F2A73" w:rsidRPr="001222F4">
        <w:rPr>
          <w:rFonts w:asciiTheme="majorHAnsi" w:hAnsiTheme="majorHAnsi" w:cs="Arial"/>
          <w:lang w:val="en-US"/>
        </w:rPr>
        <w:t xml:space="preserve">former </w:t>
      </w:r>
      <w:r w:rsidRPr="001222F4">
        <w:rPr>
          <w:rFonts w:asciiTheme="majorHAnsi" w:hAnsiTheme="majorHAnsi" w:cs="Arial"/>
          <w:lang w:val="en-US"/>
        </w:rPr>
        <w:t>Secretary-General’s Special Representative on Sexual Violence in Conflict</w:t>
      </w:r>
      <w:r w:rsidR="007F2A73" w:rsidRPr="001222F4">
        <w:rPr>
          <w:rFonts w:asciiTheme="majorHAnsi" w:hAnsiTheme="majorHAnsi" w:cs="Arial"/>
          <w:lang w:val="en-US"/>
        </w:rPr>
        <w:t xml:space="preserve">, </w:t>
      </w:r>
      <w:r w:rsidR="007F2A73" w:rsidRPr="001222F4">
        <w:rPr>
          <w:rFonts w:asciiTheme="majorHAnsi" w:eastAsia="Times New Roman" w:hAnsiTheme="majorHAnsi" w:cs="Times New Roman"/>
          <w:bCs/>
          <w:color w:val="252525"/>
          <w:shd w:val="clear" w:color="auto" w:fill="FFFFFF"/>
        </w:rPr>
        <w:t xml:space="preserve">Margot Wallström, </w:t>
      </w:r>
      <w:r w:rsidRPr="001222F4">
        <w:rPr>
          <w:rFonts w:asciiTheme="majorHAnsi" w:hAnsiTheme="majorHAnsi" w:cs="Arial"/>
          <w:lang w:val="en-US"/>
        </w:rPr>
        <w:t>labe</w:t>
      </w:r>
      <w:r w:rsidR="009726A9" w:rsidRPr="001222F4">
        <w:rPr>
          <w:rFonts w:asciiTheme="majorHAnsi" w:hAnsiTheme="majorHAnsi" w:cs="Arial"/>
          <w:lang w:val="en-US"/>
        </w:rPr>
        <w:t>l</w:t>
      </w:r>
      <w:r w:rsidR="007F2A73" w:rsidRPr="001222F4">
        <w:rPr>
          <w:rFonts w:asciiTheme="majorHAnsi" w:hAnsiTheme="majorHAnsi" w:cs="Arial"/>
          <w:lang w:val="en-US"/>
        </w:rPr>
        <w:t>l</w:t>
      </w:r>
      <w:r w:rsidRPr="001222F4">
        <w:rPr>
          <w:rFonts w:asciiTheme="majorHAnsi" w:hAnsiTheme="majorHAnsi" w:cs="Arial"/>
          <w:lang w:val="en-US"/>
        </w:rPr>
        <w:t>ed the DRC the “rape capital of the world.”</w:t>
      </w:r>
      <w:r w:rsidRPr="001222F4">
        <w:rPr>
          <w:rStyle w:val="FootnoteReference"/>
          <w:rFonts w:asciiTheme="majorHAnsi" w:hAnsiTheme="majorHAnsi" w:cs="Arial"/>
          <w:lang w:val="en-US"/>
        </w:rPr>
        <w:footnoteReference w:id="126"/>
      </w:r>
      <w:r w:rsidRPr="001222F4">
        <w:rPr>
          <w:rFonts w:asciiTheme="majorHAnsi" w:hAnsiTheme="majorHAnsi" w:cs="Arial"/>
          <w:lang w:val="en-US"/>
        </w:rPr>
        <w:t xml:space="preserve"> The Congolese Army and the numerous armed groups operating in the eastern DRC </w:t>
      </w:r>
      <w:r w:rsidR="00030718" w:rsidRPr="001222F4">
        <w:rPr>
          <w:rFonts w:asciiTheme="majorHAnsi" w:hAnsiTheme="majorHAnsi" w:cs="Arial"/>
          <w:lang w:val="en-US"/>
        </w:rPr>
        <w:t xml:space="preserve">continue to </w:t>
      </w:r>
      <w:r w:rsidRPr="001222F4">
        <w:rPr>
          <w:rFonts w:asciiTheme="majorHAnsi" w:hAnsiTheme="majorHAnsi"/>
        </w:rPr>
        <w:t>target civilian</w:t>
      </w:r>
      <w:r w:rsidR="00EE2B6A" w:rsidRPr="001222F4">
        <w:rPr>
          <w:rFonts w:asciiTheme="majorHAnsi" w:hAnsiTheme="majorHAnsi"/>
        </w:rPr>
        <w:t>s</w:t>
      </w:r>
      <w:r w:rsidR="00030718" w:rsidRPr="001222F4">
        <w:rPr>
          <w:rFonts w:asciiTheme="majorHAnsi" w:hAnsiTheme="majorHAnsi"/>
        </w:rPr>
        <w:t xml:space="preserve">, especially women and girls. The army and armed groups persistently </w:t>
      </w:r>
      <w:r w:rsidR="00EE2B6A" w:rsidRPr="001222F4">
        <w:rPr>
          <w:rFonts w:asciiTheme="majorHAnsi" w:hAnsiTheme="majorHAnsi"/>
        </w:rPr>
        <w:t>use sexual violence as a weapon of war</w:t>
      </w:r>
      <w:r w:rsidRPr="001222F4">
        <w:rPr>
          <w:rStyle w:val="FootnoteReference"/>
          <w:rFonts w:asciiTheme="majorHAnsi" w:hAnsiTheme="majorHAnsi"/>
        </w:rPr>
        <w:footnoteReference w:id="127"/>
      </w:r>
      <w:r w:rsidR="00EE2B6A" w:rsidRPr="001222F4">
        <w:rPr>
          <w:rFonts w:asciiTheme="majorHAnsi" w:hAnsiTheme="majorHAnsi"/>
        </w:rPr>
        <w:t xml:space="preserve"> using</w:t>
      </w:r>
      <w:r w:rsidR="00B77327" w:rsidRPr="001222F4">
        <w:rPr>
          <w:rFonts w:asciiTheme="majorHAnsi" w:hAnsiTheme="majorHAnsi"/>
        </w:rPr>
        <w:t xml:space="preserve"> </w:t>
      </w:r>
      <w:r w:rsidRPr="001222F4">
        <w:rPr>
          <w:rFonts w:asciiTheme="majorHAnsi" w:hAnsiTheme="majorHAnsi"/>
        </w:rPr>
        <w:t>rape, mutilation, sexual slavery and forced pregnancy to achieve military objectives.</w:t>
      </w:r>
      <w:r w:rsidRPr="001222F4">
        <w:rPr>
          <w:rStyle w:val="FootnoteReference"/>
          <w:rFonts w:asciiTheme="majorHAnsi" w:hAnsiTheme="majorHAnsi"/>
        </w:rPr>
        <w:footnoteReference w:id="128"/>
      </w:r>
    </w:p>
    <w:p w14:paraId="7563036C" w14:textId="77777777" w:rsidR="00030718" w:rsidRPr="001222F4" w:rsidRDefault="00030718" w:rsidP="005C68CA">
      <w:pPr>
        <w:widowControl w:val="0"/>
        <w:autoSpaceDE w:val="0"/>
        <w:autoSpaceDN w:val="0"/>
        <w:adjustRightInd w:val="0"/>
        <w:jc w:val="both"/>
        <w:rPr>
          <w:rFonts w:asciiTheme="majorHAnsi" w:hAnsiTheme="majorHAnsi" w:cs="Times New Roman"/>
          <w:lang w:val="en-US"/>
        </w:rPr>
      </w:pPr>
    </w:p>
    <w:p w14:paraId="05571F68" w14:textId="1F07FC84" w:rsidR="005C68CA" w:rsidRPr="001222F4" w:rsidRDefault="00030718" w:rsidP="007F364C">
      <w:pPr>
        <w:pStyle w:val="ListParagraph"/>
        <w:numPr>
          <w:ilvl w:val="0"/>
          <w:numId w:val="15"/>
        </w:numPr>
        <w:jc w:val="both"/>
        <w:rPr>
          <w:rFonts w:asciiTheme="majorHAnsi" w:hAnsiTheme="majorHAnsi" w:cs="Arial"/>
          <w:b/>
          <w:color w:val="1F497D" w:themeColor="text2"/>
          <w:lang w:val="en-US"/>
        </w:rPr>
      </w:pPr>
      <w:r w:rsidRPr="001222F4">
        <w:rPr>
          <w:rFonts w:asciiTheme="majorHAnsi" w:hAnsiTheme="majorHAnsi" w:cs="Arial"/>
          <w:b/>
          <w:color w:val="1F497D" w:themeColor="text2"/>
          <w:lang w:val="en-US"/>
        </w:rPr>
        <w:t xml:space="preserve">The </w:t>
      </w:r>
      <w:r w:rsidR="00D42D84" w:rsidRPr="001222F4">
        <w:rPr>
          <w:rFonts w:asciiTheme="majorHAnsi" w:hAnsiTheme="majorHAnsi" w:cs="Arial"/>
          <w:b/>
          <w:color w:val="1F497D" w:themeColor="text2"/>
          <w:lang w:val="en-US"/>
        </w:rPr>
        <w:t xml:space="preserve">DRC’s National Action Plan </w:t>
      </w:r>
      <w:r w:rsidR="000976C3" w:rsidRPr="001222F4">
        <w:rPr>
          <w:rFonts w:asciiTheme="majorHAnsi" w:hAnsiTheme="majorHAnsi" w:cs="Arial"/>
          <w:b/>
          <w:color w:val="1F497D" w:themeColor="text2"/>
          <w:lang w:val="en-US"/>
        </w:rPr>
        <w:t xml:space="preserve">(2010 - </w:t>
      </w:r>
      <w:r w:rsidR="008B6E37" w:rsidRPr="001222F4">
        <w:rPr>
          <w:rFonts w:asciiTheme="majorHAnsi" w:hAnsiTheme="majorHAnsi" w:cs="Arial"/>
          <w:b/>
          <w:color w:val="1F497D" w:themeColor="text2"/>
          <w:lang w:val="en-US"/>
        </w:rPr>
        <w:t>no end date)</w:t>
      </w:r>
    </w:p>
    <w:p w14:paraId="1F7EB2D1" w14:textId="77777777" w:rsidR="007A60C9" w:rsidRPr="001222F4" w:rsidRDefault="007A60C9" w:rsidP="007A60C9">
      <w:pPr>
        <w:ind w:left="360"/>
        <w:jc w:val="both"/>
        <w:rPr>
          <w:rFonts w:asciiTheme="majorHAnsi" w:hAnsiTheme="majorHAnsi" w:cs="Arial"/>
          <w:b/>
          <w:lang w:val="en-US"/>
        </w:rPr>
      </w:pPr>
    </w:p>
    <w:p w14:paraId="1C5F92DA" w14:textId="77777777" w:rsidR="00517287" w:rsidRPr="001222F4" w:rsidRDefault="005C68CA" w:rsidP="00B05609">
      <w:pPr>
        <w:spacing w:line="360" w:lineRule="auto"/>
        <w:jc w:val="both"/>
        <w:rPr>
          <w:rFonts w:asciiTheme="majorHAnsi" w:hAnsiTheme="majorHAnsi" w:cs="Times New Roman"/>
        </w:rPr>
      </w:pPr>
      <w:r w:rsidRPr="001222F4">
        <w:rPr>
          <w:rFonts w:asciiTheme="majorHAnsi" w:hAnsiTheme="majorHAnsi" w:cs="Times New Roman"/>
        </w:rPr>
        <w:t xml:space="preserve">The DRC adopted its </w:t>
      </w:r>
      <w:r w:rsidR="000976C3" w:rsidRPr="001222F4">
        <w:rPr>
          <w:rFonts w:asciiTheme="majorHAnsi" w:hAnsiTheme="majorHAnsi" w:cs="Times New Roman"/>
        </w:rPr>
        <w:t>National Action Plan (</w:t>
      </w:r>
      <w:r w:rsidR="004538A0" w:rsidRPr="001222F4">
        <w:rPr>
          <w:rFonts w:asciiTheme="majorHAnsi" w:hAnsiTheme="majorHAnsi" w:cs="Times New Roman"/>
        </w:rPr>
        <w:t>NAP</w:t>
      </w:r>
      <w:r w:rsidR="000976C3" w:rsidRPr="001222F4">
        <w:rPr>
          <w:rFonts w:asciiTheme="majorHAnsi" w:hAnsiTheme="majorHAnsi" w:cs="Times New Roman"/>
        </w:rPr>
        <w:t>)</w:t>
      </w:r>
      <w:r w:rsidRPr="001222F4">
        <w:rPr>
          <w:rFonts w:asciiTheme="majorHAnsi" w:hAnsiTheme="majorHAnsi" w:cs="Times New Roman"/>
        </w:rPr>
        <w:t xml:space="preserve"> in January 2010. The Ministry of Gender, Family and Children </w:t>
      </w:r>
      <w:r w:rsidR="001E6F6C" w:rsidRPr="001222F4">
        <w:rPr>
          <w:rFonts w:asciiTheme="majorHAnsi" w:hAnsiTheme="majorHAnsi" w:cs="Times New Roman"/>
        </w:rPr>
        <w:t>led</w:t>
      </w:r>
      <w:r w:rsidRPr="001222F4">
        <w:rPr>
          <w:rFonts w:asciiTheme="majorHAnsi" w:hAnsiTheme="majorHAnsi" w:cs="Times New Roman"/>
        </w:rPr>
        <w:t xml:space="preserve"> the development of the NAP, with involvement from other ministries including Defence, Interior and Security, Justice, Human Rights, Budget, Finance, Foreign Affairs as well as civil </w:t>
      </w:r>
      <w:r w:rsidR="001E6F6C" w:rsidRPr="001222F4">
        <w:rPr>
          <w:rFonts w:asciiTheme="majorHAnsi" w:hAnsiTheme="majorHAnsi" w:cs="Times New Roman"/>
        </w:rPr>
        <w:t>society</w:t>
      </w:r>
      <w:r w:rsidRPr="001222F4">
        <w:rPr>
          <w:rFonts w:asciiTheme="majorHAnsi" w:hAnsiTheme="majorHAnsi" w:cs="Times New Roman"/>
        </w:rPr>
        <w:t xml:space="preserve">, </w:t>
      </w:r>
      <w:r w:rsidRPr="001222F4">
        <w:rPr>
          <w:rFonts w:asciiTheme="majorHAnsi" w:hAnsiTheme="majorHAnsi" w:cs="Times New Roman"/>
        </w:rPr>
        <w:lastRenderedPageBreak/>
        <w:t xml:space="preserve">religious representatives and </w:t>
      </w:r>
      <w:r w:rsidR="001E6F6C" w:rsidRPr="001222F4">
        <w:rPr>
          <w:rFonts w:asciiTheme="majorHAnsi" w:hAnsiTheme="majorHAnsi" w:cs="Times New Roman"/>
        </w:rPr>
        <w:t>leaders</w:t>
      </w:r>
      <w:r w:rsidRPr="001222F4">
        <w:rPr>
          <w:rFonts w:asciiTheme="majorHAnsi" w:hAnsiTheme="majorHAnsi" w:cs="Times New Roman"/>
        </w:rPr>
        <w:t xml:space="preserve"> from traditional authorities.</w:t>
      </w:r>
      <w:r w:rsidRPr="001222F4">
        <w:rPr>
          <w:rStyle w:val="FootnoteReference"/>
          <w:rFonts w:asciiTheme="majorHAnsi" w:hAnsiTheme="majorHAnsi" w:cs="Times New Roman"/>
        </w:rPr>
        <w:footnoteReference w:id="129"/>
      </w:r>
      <w:r w:rsidR="00030718" w:rsidRPr="001222F4">
        <w:rPr>
          <w:rFonts w:asciiTheme="majorHAnsi" w:hAnsiTheme="majorHAnsi" w:cs="Times New Roman"/>
        </w:rPr>
        <w:t xml:space="preserve"> The</w:t>
      </w:r>
      <w:r w:rsidR="008B6E37" w:rsidRPr="001222F4">
        <w:rPr>
          <w:rFonts w:asciiTheme="majorHAnsi" w:hAnsiTheme="majorHAnsi" w:cs="Times New Roman"/>
        </w:rPr>
        <w:t xml:space="preserve"> </w:t>
      </w:r>
      <w:r w:rsidR="00E37292" w:rsidRPr="001222F4">
        <w:rPr>
          <w:rFonts w:asciiTheme="majorHAnsi" w:hAnsiTheme="majorHAnsi" w:cs="Times New Roman"/>
        </w:rPr>
        <w:t xml:space="preserve">document is only </w:t>
      </w:r>
      <w:r w:rsidR="00167157" w:rsidRPr="001222F4">
        <w:rPr>
          <w:rFonts w:asciiTheme="majorHAnsi" w:hAnsiTheme="majorHAnsi" w:cs="Times New Roman"/>
        </w:rPr>
        <w:t>ten-page</w:t>
      </w:r>
      <w:r w:rsidR="00E37292" w:rsidRPr="001222F4">
        <w:rPr>
          <w:rFonts w:asciiTheme="majorHAnsi" w:hAnsiTheme="majorHAnsi" w:cs="Times New Roman"/>
        </w:rPr>
        <w:t>s, and</w:t>
      </w:r>
      <w:r w:rsidR="00167157" w:rsidRPr="001222F4">
        <w:rPr>
          <w:rFonts w:asciiTheme="majorHAnsi" w:hAnsiTheme="majorHAnsi" w:cs="Times New Roman"/>
        </w:rPr>
        <w:t xml:space="preserve"> </w:t>
      </w:r>
      <w:r w:rsidR="00517287" w:rsidRPr="001222F4">
        <w:rPr>
          <w:rFonts w:asciiTheme="majorHAnsi" w:hAnsiTheme="majorHAnsi" w:cs="Times New Roman"/>
        </w:rPr>
        <w:t>like</w:t>
      </w:r>
      <w:r w:rsidR="00D55C34" w:rsidRPr="001222F4">
        <w:rPr>
          <w:rFonts w:asciiTheme="majorHAnsi" w:hAnsiTheme="majorHAnsi" w:cs="Times New Roman"/>
        </w:rPr>
        <w:t xml:space="preserve"> the first NAP of Chile, </w:t>
      </w:r>
      <w:r w:rsidR="00517287" w:rsidRPr="001222F4">
        <w:rPr>
          <w:rFonts w:asciiTheme="majorHAnsi" w:hAnsiTheme="majorHAnsi" w:cs="Times New Roman"/>
        </w:rPr>
        <w:t>has</w:t>
      </w:r>
      <w:r w:rsidR="008B6E37" w:rsidRPr="001222F4">
        <w:rPr>
          <w:rFonts w:asciiTheme="majorHAnsi" w:hAnsiTheme="majorHAnsi" w:cs="Times New Roman"/>
        </w:rPr>
        <w:t xml:space="preserve"> no end date</w:t>
      </w:r>
      <w:r w:rsidR="0000477C" w:rsidRPr="001222F4">
        <w:rPr>
          <w:rFonts w:asciiTheme="majorHAnsi" w:hAnsiTheme="majorHAnsi" w:cs="Times New Roman"/>
        </w:rPr>
        <w:t xml:space="preserve">. </w:t>
      </w:r>
    </w:p>
    <w:p w14:paraId="7A5DE0AC" w14:textId="77777777" w:rsidR="00517287" w:rsidRPr="001222F4" w:rsidRDefault="00517287" w:rsidP="005C68CA">
      <w:pPr>
        <w:jc w:val="both"/>
        <w:rPr>
          <w:rFonts w:asciiTheme="majorHAnsi" w:hAnsiTheme="majorHAnsi" w:cs="Times New Roman"/>
        </w:rPr>
      </w:pPr>
    </w:p>
    <w:p w14:paraId="547006F6" w14:textId="2163F278" w:rsidR="008B6E37" w:rsidRPr="001222F4" w:rsidRDefault="00E37292" w:rsidP="00B05609">
      <w:pPr>
        <w:spacing w:line="360" w:lineRule="auto"/>
        <w:jc w:val="both"/>
        <w:rPr>
          <w:rFonts w:asciiTheme="majorHAnsi" w:hAnsiTheme="majorHAnsi" w:cs="Times New Roman"/>
        </w:rPr>
      </w:pPr>
      <w:r w:rsidRPr="001222F4">
        <w:rPr>
          <w:rFonts w:asciiTheme="majorHAnsi" w:hAnsiTheme="majorHAnsi" w:cs="Times New Roman"/>
        </w:rPr>
        <w:t xml:space="preserve">A positive feature is the NAP’s </w:t>
      </w:r>
      <w:r w:rsidR="00517287" w:rsidRPr="001222F4">
        <w:rPr>
          <w:rFonts w:asciiTheme="majorHAnsi" w:hAnsiTheme="majorHAnsi" w:cs="Times New Roman"/>
        </w:rPr>
        <w:t>reference, albeit briefly,</w:t>
      </w:r>
      <w:r w:rsidRPr="001222F4">
        <w:rPr>
          <w:rFonts w:asciiTheme="majorHAnsi" w:hAnsiTheme="majorHAnsi" w:cs="Times New Roman"/>
        </w:rPr>
        <w:t xml:space="preserve"> </w:t>
      </w:r>
      <w:r w:rsidR="00030718" w:rsidRPr="001222F4">
        <w:rPr>
          <w:rFonts w:asciiTheme="majorHAnsi" w:hAnsiTheme="majorHAnsi" w:cs="Times New Roman"/>
        </w:rPr>
        <w:t>not only to</w:t>
      </w:r>
      <w:r w:rsidR="00BC4E3E" w:rsidRPr="001222F4">
        <w:rPr>
          <w:rFonts w:asciiTheme="majorHAnsi" w:hAnsiTheme="majorHAnsi" w:cs="Times New Roman"/>
        </w:rPr>
        <w:t xml:space="preserve"> SCR 1325 but also</w:t>
      </w:r>
      <w:r w:rsidR="008B6E37" w:rsidRPr="001222F4">
        <w:rPr>
          <w:rFonts w:asciiTheme="majorHAnsi" w:hAnsiTheme="majorHAnsi" w:cs="Times New Roman"/>
        </w:rPr>
        <w:t xml:space="preserve"> </w:t>
      </w:r>
      <w:r w:rsidR="001E6F6C" w:rsidRPr="001222F4">
        <w:rPr>
          <w:rFonts w:asciiTheme="majorHAnsi" w:hAnsiTheme="majorHAnsi" w:cs="Times New Roman"/>
        </w:rPr>
        <w:t>key</w:t>
      </w:r>
      <w:r w:rsidR="008B6E37" w:rsidRPr="001222F4">
        <w:rPr>
          <w:rFonts w:asciiTheme="majorHAnsi" w:hAnsiTheme="majorHAnsi" w:cs="Times New Roman"/>
        </w:rPr>
        <w:t xml:space="preserve"> elements of the legal framework on women, peace and security, namely</w:t>
      </w:r>
      <w:r w:rsidR="00030718" w:rsidRPr="001222F4">
        <w:rPr>
          <w:rFonts w:asciiTheme="majorHAnsi" w:hAnsiTheme="majorHAnsi" w:cs="Times New Roman"/>
        </w:rPr>
        <w:t xml:space="preserve"> CEDAW</w:t>
      </w:r>
      <w:r w:rsidR="00167157" w:rsidRPr="001222F4">
        <w:rPr>
          <w:rFonts w:asciiTheme="majorHAnsi" w:hAnsiTheme="majorHAnsi" w:cs="Times New Roman"/>
        </w:rPr>
        <w:t xml:space="preserve"> and its Optional Protocol (</w:t>
      </w:r>
      <w:r w:rsidR="008B6E37" w:rsidRPr="001222F4">
        <w:rPr>
          <w:rFonts w:asciiTheme="majorHAnsi" w:hAnsiTheme="majorHAnsi" w:cs="Times New Roman"/>
        </w:rPr>
        <w:t>1999</w:t>
      </w:r>
      <w:r w:rsidR="00167157" w:rsidRPr="001222F4">
        <w:rPr>
          <w:rFonts w:asciiTheme="majorHAnsi" w:hAnsiTheme="majorHAnsi" w:cs="Times New Roman"/>
        </w:rPr>
        <w:t>);</w:t>
      </w:r>
      <w:r w:rsidR="008B6E37" w:rsidRPr="001222F4">
        <w:rPr>
          <w:rFonts w:asciiTheme="majorHAnsi" w:hAnsiTheme="majorHAnsi" w:cs="Times New Roman"/>
        </w:rPr>
        <w:t xml:space="preserve"> the Convention on the Rights of the Child </w:t>
      </w:r>
      <w:r w:rsidR="00167157" w:rsidRPr="001222F4">
        <w:rPr>
          <w:rFonts w:asciiTheme="majorHAnsi" w:hAnsiTheme="majorHAnsi" w:cs="Times New Roman"/>
        </w:rPr>
        <w:t>(</w:t>
      </w:r>
      <w:r w:rsidR="008B6E37" w:rsidRPr="001222F4">
        <w:rPr>
          <w:rFonts w:asciiTheme="majorHAnsi" w:hAnsiTheme="majorHAnsi" w:cs="Times New Roman"/>
        </w:rPr>
        <w:t>1989</w:t>
      </w:r>
      <w:r w:rsidR="00167157" w:rsidRPr="001222F4">
        <w:rPr>
          <w:rFonts w:asciiTheme="majorHAnsi" w:hAnsiTheme="majorHAnsi" w:cs="Times New Roman"/>
        </w:rPr>
        <w:t>)</w:t>
      </w:r>
      <w:r w:rsidR="008B6E37" w:rsidRPr="001222F4">
        <w:rPr>
          <w:rFonts w:asciiTheme="majorHAnsi" w:hAnsiTheme="majorHAnsi" w:cs="Times New Roman"/>
        </w:rPr>
        <w:t xml:space="preserve"> and its two Optional Protocols </w:t>
      </w:r>
      <w:r w:rsidR="00167157" w:rsidRPr="001222F4">
        <w:rPr>
          <w:rFonts w:asciiTheme="majorHAnsi" w:hAnsiTheme="majorHAnsi" w:cs="Times New Roman"/>
        </w:rPr>
        <w:t>(2000</w:t>
      </w:r>
      <w:r w:rsidR="00517287" w:rsidRPr="001222F4">
        <w:rPr>
          <w:rFonts w:asciiTheme="majorHAnsi" w:hAnsiTheme="majorHAnsi" w:cs="Times New Roman"/>
        </w:rPr>
        <w:t>)</w:t>
      </w:r>
      <w:r w:rsidR="00167157" w:rsidRPr="001222F4">
        <w:rPr>
          <w:rFonts w:asciiTheme="majorHAnsi" w:hAnsiTheme="majorHAnsi" w:cs="Times New Roman"/>
        </w:rPr>
        <w:t>;</w:t>
      </w:r>
      <w:r w:rsidR="008B6E37" w:rsidRPr="001222F4">
        <w:rPr>
          <w:rFonts w:asciiTheme="majorHAnsi" w:hAnsiTheme="majorHAnsi" w:cs="Times New Roman"/>
        </w:rPr>
        <w:t xml:space="preserve"> </w:t>
      </w:r>
      <w:r w:rsidR="001E6F6C" w:rsidRPr="001222F4">
        <w:rPr>
          <w:rFonts w:asciiTheme="majorHAnsi" w:hAnsiTheme="majorHAnsi" w:cs="Times New Roman"/>
        </w:rPr>
        <w:t>and</w:t>
      </w:r>
      <w:r w:rsidR="008B6E37" w:rsidRPr="001222F4">
        <w:rPr>
          <w:rFonts w:asciiTheme="majorHAnsi" w:hAnsiTheme="majorHAnsi" w:cs="Times New Roman"/>
        </w:rPr>
        <w:t xml:space="preserve"> the world conferences on women in Nai</w:t>
      </w:r>
      <w:r w:rsidR="001E6F6C" w:rsidRPr="001222F4">
        <w:rPr>
          <w:rFonts w:asciiTheme="majorHAnsi" w:hAnsiTheme="majorHAnsi" w:cs="Times New Roman"/>
        </w:rPr>
        <w:t xml:space="preserve">robi (1985) and Beijing (1995) </w:t>
      </w:r>
      <w:r w:rsidR="008B6E37" w:rsidRPr="001222F4">
        <w:rPr>
          <w:rFonts w:asciiTheme="majorHAnsi" w:hAnsiTheme="majorHAnsi" w:cs="Times New Roman"/>
        </w:rPr>
        <w:t xml:space="preserve">the latter of which </w:t>
      </w:r>
      <w:r w:rsidR="001E6F6C" w:rsidRPr="001222F4">
        <w:rPr>
          <w:rFonts w:asciiTheme="majorHAnsi" w:hAnsiTheme="majorHAnsi" w:cs="Times New Roman"/>
        </w:rPr>
        <w:t>launched the</w:t>
      </w:r>
      <w:r w:rsidR="008B6E37" w:rsidRPr="001222F4">
        <w:rPr>
          <w:rFonts w:asciiTheme="majorHAnsi" w:hAnsiTheme="majorHAnsi" w:cs="Times New Roman"/>
        </w:rPr>
        <w:t xml:space="preserve"> BPfA.</w:t>
      </w:r>
      <w:r w:rsidR="008B6E37" w:rsidRPr="001222F4">
        <w:rPr>
          <w:rStyle w:val="FootnoteReference"/>
          <w:rFonts w:asciiTheme="majorHAnsi" w:hAnsiTheme="majorHAnsi" w:cs="Times New Roman"/>
        </w:rPr>
        <w:footnoteReference w:id="130"/>
      </w:r>
      <w:r w:rsidR="008B6E37" w:rsidRPr="001222F4">
        <w:rPr>
          <w:rFonts w:asciiTheme="majorHAnsi" w:hAnsiTheme="majorHAnsi" w:cs="Times New Roman"/>
        </w:rPr>
        <w:t xml:space="preserve"> </w:t>
      </w:r>
      <w:r w:rsidRPr="001222F4">
        <w:rPr>
          <w:rFonts w:asciiTheme="majorHAnsi" w:hAnsiTheme="majorHAnsi" w:cs="Times New Roman"/>
        </w:rPr>
        <w:t xml:space="preserve">This reference indicates </w:t>
      </w:r>
      <w:r w:rsidR="00517287" w:rsidRPr="001222F4">
        <w:rPr>
          <w:rFonts w:asciiTheme="majorHAnsi" w:hAnsiTheme="majorHAnsi" w:cs="Times New Roman"/>
        </w:rPr>
        <w:t>that the government is cognisant</w:t>
      </w:r>
      <w:r w:rsidRPr="001222F4">
        <w:rPr>
          <w:rFonts w:asciiTheme="majorHAnsi" w:hAnsiTheme="majorHAnsi" w:cs="Times New Roman"/>
        </w:rPr>
        <w:t xml:space="preserve"> of its binding obligations</w:t>
      </w:r>
      <w:r w:rsidR="00D55C34" w:rsidRPr="001222F4">
        <w:rPr>
          <w:rFonts w:asciiTheme="majorHAnsi" w:hAnsiTheme="majorHAnsi" w:cs="Times New Roman"/>
        </w:rPr>
        <w:t xml:space="preserve"> and commitments</w:t>
      </w:r>
      <w:r w:rsidRPr="001222F4">
        <w:rPr>
          <w:rFonts w:asciiTheme="majorHAnsi" w:hAnsiTheme="majorHAnsi" w:cs="Times New Roman"/>
        </w:rPr>
        <w:t xml:space="preserve"> under international law. </w:t>
      </w:r>
    </w:p>
    <w:p w14:paraId="5BD8B26D" w14:textId="77777777" w:rsidR="008B6E37" w:rsidRPr="001222F4" w:rsidRDefault="008B6E37" w:rsidP="005C68CA">
      <w:pPr>
        <w:jc w:val="both"/>
        <w:rPr>
          <w:rFonts w:asciiTheme="majorHAnsi" w:hAnsiTheme="majorHAnsi" w:cs="Times New Roman"/>
        </w:rPr>
      </w:pPr>
    </w:p>
    <w:p w14:paraId="66BC7BA5" w14:textId="29485304" w:rsidR="005C68CA" w:rsidRPr="001222F4" w:rsidRDefault="005C68CA" w:rsidP="00B05609">
      <w:pPr>
        <w:spacing w:line="360" w:lineRule="auto"/>
        <w:jc w:val="both"/>
        <w:rPr>
          <w:rFonts w:asciiTheme="majorHAnsi" w:hAnsiTheme="majorHAnsi" w:cs="Times New Roman"/>
        </w:rPr>
      </w:pPr>
      <w:r w:rsidRPr="001222F4">
        <w:rPr>
          <w:rFonts w:asciiTheme="majorHAnsi" w:hAnsiTheme="majorHAnsi" w:cs="Times New Roman"/>
        </w:rPr>
        <w:t xml:space="preserve">The NAP </w:t>
      </w:r>
      <w:r w:rsidR="00030718" w:rsidRPr="001222F4">
        <w:rPr>
          <w:rFonts w:asciiTheme="majorHAnsi" w:hAnsiTheme="majorHAnsi" w:cs="Times New Roman"/>
        </w:rPr>
        <w:t>commits</w:t>
      </w:r>
      <w:r w:rsidRPr="001222F4">
        <w:rPr>
          <w:rFonts w:asciiTheme="majorHAnsi" w:hAnsiTheme="majorHAnsi" w:cs="Times New Roman"/>
        </w:rPr>
        <w:t xml:space="preserve"> the </w:t>
      </w:r>
      <w:r w:rsidR="00030718" w:rsidRPr="001222F4">
        <w:rPr>
          <w:rFonts w:asciiTheme="majorHAnsi" w:hAnsiTheme="majorHAnsi" w:cs="Times New Roman"/>
        </w:rPr>
        <w:t>g</w:t>
      </w:r>
      <w:r w:rsidRPr="001222F4">
        <w:rPr>
          <w:rFonts w:asciiTheme="majorHAnsi" w:hAnsiTheme="majorHAnsi" w:cs="Times New Roman"/>
        </w:rPr>
        <w:t xml:space="preserve">overnment </w:t>
      </w:r>
      <w:r w:rsidR="0000477C" w:rsidRPr="001222F4">
        <w:rPr>
          <w:rFonts w:asciiTheme="majorHAnsi" w:hAnsiTheme="majorHAnsi" w:cs="Times New Roman"/>
        </w:rPr>
        <w:t xml:space="preserve">to implementing </w:t>
      </w:r>
      <w:r w:rsidR="004538A0" w:rsidRPr="001222F4">
        <w:rPr>
          <w:rFonts w:asciiTheme="majorHAnsi" w:hAnsiTheme="majorHAnsi" w:cs="Times New Roman"/>
        </w:rPr>
        <w:t xml:space="preserve">SCR </w:t>
      </w:r>
      <w:r w:rsidRPr="001222F4">
        <w:rPr>
          <w:rFonts w:asciiTheme="majorHAnsi" w:hAnsiTheme="majorHAnsi" w:cs="Times New Roman"/>
        </w:rPr>
        <w:t>1325 by focusin</w:t>
      </w:r>
      <w:r w:rsidR="00CB0EBE" w:rsidRPr="001222F4">
        <w:rPr>
          <w:rFonts w:asciiTheme="majorHAnsi" w:hAnsiTheme="majorHAnsi" w:cs="Times New Roman"/>
        </w:rPr>
        <w:t xml:space="preserve">g on </w:t>
      </w:r>
      <w:r w:rsidR="001E6F6C" w:rsidRPr="001222F4">
        <w:rPr>
          <w:rFonts w:asciiTheme="majorHAnsi" w:hAnsiTheme="majorHAnsi" w:cs="Times New Roman"/>
        </w:rPr>
        <w:t xml:space="preserve">seven </w:t>
      </w:r>
      <w:r w:rsidR="00CB0EBE" w:rsidRPr="001222F4">
        <w:rPr>
          <w:rFonts w:asciiTheme="majorHAnsi" w:hAnsiTheme="majorHAnsi" w:cs="Times New Roman"/>
        </w:rPr>
        <w:t>specific axes</w:t>
      </w:r>
      <w:r w:rsidR="00030718" w:rsidRPr="001222F4">
        <w:rPr>
          <w:rFonts w:asciiTheme="majorHAnsi" w:hAnsiTheme="majorHAnsi" w:cs="Times New Roman"/>
        </w:rPr>
        <w:t xml:space="preserve">: </w:t>
      </w:r>
      <w:r w:rsidR="00517287" w:rsidRPr="001222F4">
        <w:rPr>
          <w:rFonts w:asciiTheme="majorHAnsi" w:hAnsiTheme="majorHAnsi" w:cs="Times New Roman"/>
        </w:rPr>
        <w:t>1) Participation; 2) I</w:t>
      </w:r>
      <w:r w:rsidRPr="001222F4">
        <w:rPr>
          <w:rFonts w:asciiTheme="majorHAnsi" w:hAnsiTheme="majorHAnsi" w:cs="Times New Roman"/>
        </w:rPr>
        <w:t>ntegration of gender into planning,</w:t>
      </w:r>
      <w:r w:rsidR="00517287" w:rsidRPr="001222F4">
        <w:rPr>
          <w:rFonts w:asciiTheme="majorHAnsi" w:hAnsiTheme="majorHAnsi" w:cs="Times New Roman"/>
        </w:rPr>
        <w:t xml:space="preserve"> programming and budgeting; 3) P</w:t>
      </w:r>
      <w:r w:rsidRPr="001222F4">
        <w:rPr>
          <w:rFonts w:asciiTheme="majorHAnsi" w:hAnsiTheme="majorHAnsi" w:cs="Times New Roman"/>
        </w:rPr>
        <w:t>romotion and protect</w:t>
      </w:r>
      <w:r w:rsidR="00517287" w:rsidRPr="001222F4">
        <w:rPr>
          <w:rFonts w:asciiTheme="majorHAnsi" w:hAnsiTheme="majorHAnsi" w:cs="Times New Roman"/>
        </w:rPr>
        <w:t>ion of the rights of women; 4) R</w:t>
      </w:r>
      <w:r w:rsidRPr="001222F4">
        <w:rPr>
          <w:rFonts w:asciiTheme="majorHAnsi" w:hAnsiTheme="majorHAnsi" w:cs="Times New Roman"/>
        </w:rPr>
        <w:t>ef</w:t>
      </w:r>
      <w:r w:rsidR="00517287" w:rsidRPr="001222F4">
        <w:rPr>
          <w:rFonts w:asciiTheme="majorHAnsi" w:hAnsiTheme="majorHAnsi" w:cs="Times New Roman"/>
        </w:rPr>
        <w:t>orm of the security sector; 5) R</w:t>
      </w:r>
      <w:r w:rsidRPr="001222F4">
        <w:rPr>
          <w:rFonts w:asciiTheme="majorHAnsi" w:hAnsiTheme="majorHAnsi" w:cs="Times New Roman"/>
        </w:rPr>
        <w:t>egional and</w:t>
      </w:r>
      <w:r w:rsidR="00517287" w:rsidRPr="001222F4">
        <w:rPr>
          <w:rFonts w:asciiTheme="majorHAnsi" w:hAnsiTheme="majorHAnsi" w:cs="Times New Roman"/>
        </w:rPr>
        <w:t xml:space="preserve"> international cooperation; 6) Research and studies; and 7) M</w:t>
      </w:r>
      <w:r w:rsidRPr="001222F4">
        <w:rPr>
          <w:rFonts w:asciiTheme="majorHAnsi" w:hAnsiTheme="majorHAnsi" w:cs="Times New Roman"/>
        </w:rPr>
        <w:t>onitoring and evaluation.</w:t>
      </w:r>
      <w:r w:rsidRPr="001222F4">
        <w:rPr>
          <w:rStyle w:val="FootnoteReference"/>
          <w:rFonts w:asciiTheme="majorHAnsi" w:hAnsiTheme="majorHAnsi" w:cs="‡∞ˆø◊WÁ"/>
          <w:lang w:val="en-US"/>
        </w:rPr>
        <w:footnoteReference w:id="131"/>
      </w:r>
      <w:r w:rsidR="00493812" w:rsidRPr="001222F4">
        <w:rPr>
          <w:rFonts w:asciiTheme="majorHAnsi" w:hAnsiTheme="majorHAnsi" w:cs="Times New Roman"/>
        </w:rPr>
        <w:t xml:space="preserve"> The NAP’s implementation is </w:t>
      </w:r>
      <w:r w:rsidR="00167157" w:rsidRPr="001222F4">
        <w:rPr>
          <w:rFonts w:asciiTheme="majorHAnsi" w:hAnsiTheme="majorHAnsi" w:cs="Times New Roman"/>
        </w:rPr>
        <w:t>designated to</w:t>
      </w:r>
      <w:r w:rsidR="00493812" w:rsidRPr="001222F4">
        <w:rPr>
          <w:rFonts w:asciiTheme="majorHAnsi" w:hAnsiTheme="majorHAnsi" w:cs="Times New Roman"/>
        </w:rPr>
        <w:t xml:space="preserve"> </w:t>
      </w:r>
      <w:r w:rsidR="007F2A73" w:rsidRPr="001222F4">
        <w:rPr>
          <w:rFonts w:asciiTheme="majorHAnsi" w:eastAsia="Times New Roman" w:hAnsiTheme="majorHAnsi" w:cs="Times New Roman"/>
          <w:color w:val="222222"/>
          <w:shd w:val="clear" w:color="auto" w:fill="FFFFFF"/>
        </w:rPr>
        <w:t>Steering C</w:t>
      </w:r>
      <w:r w:rsidRPr="001222F4">
        <w:rPr>
          <w:rFonts w:asciiTheme="majorHAnsi" w:eastAsia="Times New Roman" w:hAnsiTheme="majorHAnsi" w:cs="Times New Roman"/>
          <w:color w:val="222222"/>
          <w:shd w:val="clear" w:color="auto" w:fill="FFFFFF"/>
        </w:rPr>
        <w:t xml:space="preserve">ommittees at three levels </w:t>
      </w:r>
      <w:r w:rsidR="001E6F6C" w:rsidRPr="001222F4">
        <w:rPr>
          <w:rFonts w:asciiTheme="majorHAnsi" w:hAnsiTheme="majorHAnsi" w:cs="Times New Roman"/>
        </w:rPr>
        <w:t xml:space="preserve">– </w:t>
      </w:r>
      <w:r w:rsidRPr="001222F4">
        <w:rPr>
          <w:rFonts w:asciiTheme="majorHAnsi" w:eastAsia="Times New Roman" w:hAnsiTheme="majorHAnsi" w:cs="Times New Roman"/>
          <w:color w:val="222222"/>
          <w:shd w:val="clear" w:color="auto" w:fill="FFFFFF"/>
        </w:rPr>
        <w:t>national, provincial and local</w:t>
      </w:r>
      <w:r w:rsidR="001E6F6C" w:rsidRPr="001222F4">
        <w:rPr>
          <w:rFonts w:asciiTheme="majorHAnsi" w:eastAsia="Times New Roman" w:hAnsiTheme="majorHAnsi" w:cs="Times New Roman"/>
          <w:color w:val="222222"/>
          <w:shd w:val="clear" w:color="auto" w:fill="FFFFFF"/>
        </w:rPr>
        <w:t>, e</w:t>
      </w:r>
      <w:r w:rsidRPr="001222F4">
        <w:rPr>
          <w:rFonts w:asciiTheme="majorHAnsi" w:eastAsia="Times New Roman" w:hAnsiTheme="majorHAnsi" w:cs="Times New Roman"/>
          <w:color w:val="222222"/>
          <w:shd w:val="clear" w:color="auto" w:fill="FFFFFF"/>
        </w:rPr>
        <w:t>ach responsible for a different aspect of implement</w:t>
      </w:r>
      <w:r w:rsidR="00493812" w:rsidRPr="001222F4">
        <w:rPr>
          <w:rFonts w:asciiTheme="majorHAnsi" w:eastAsia="Times New Roman" w:hAnsiTheme="majorHAnsi" w:cs="Times New Roman"/>
          <w:color w:val="222222"/>
          <w:shd w:val="clear" w:color="auto" w:fill="FFFFFF"/>
        </w:rPr>
        <w:t>ing the NAP</w:t>
      </w:r>
      <w:r w:rsidRPr="001222F4">
        <w:rPr>
          <w:rFonts w:asciiTheme="majorHAnsi" w:eastAsia="Times New Roman" w:hAnsiTheme="majorHAnsi" w:cs="Times New Roman"/>
          <w:color w:val="222222"/>
          <w:shd w:val="clear" w:color="auto" w:fill="FFFFFF"/>
        </w:rPr>
        <w:t>. The</w:t>
      </w:r>
      <w:r w:rsidR="001E6F6C" w:rsidRPr="001222F4">
        <w:rPr>
          <w:rFonts w:asciiTheme="majorHAnsi" w:eastAsia="Times New Roman" w:hAnsiTheme="majorHAnsi" w:cs="Times New Roman"/>
          <w:color w:val="222222"/>
          <w:shd w:val="clear" w:color="auto" w:fill="FFFFFF"/>
        </w:rPr>
        <w:t xml:space="preserve"> three-tiered</w:t>
      </w:r>
      <w:r w:rsidRPr="001222F4">
        <w:rPr>
          <w:rFonts w:asciiTheme="majorHAnsi" w:eastAsia="Times New Roman" w:hAnsiTheme="majorHAnsi" w:cs="Times New Roman"/>
          <w:color w:val="222222"/>
          <w:shd w:val="clear" w:color="auto" w:fill="FFFFFF"/>
        </w:rPr>
        <w:t xml:space="preserve"> </w:t>
      </w:r>
      <w:r w:rsidR="00517287" w:rsidRPr="001222F4">
        <w:rPr>
          <w:rFonts w:asciiTheme="majorHAnsi" w:eastAsia="Times New Roman" w:hAnsiTheme="majorHAnsi" w:cs="Times New Roman"/>
          <w:color w:val="222222"/>
          <w:shd w:val="clear" w:color="auto" w:fill="FFFFFF"/>
        </w:rPr>
        <w:t>Steering C</w:t>
      </w:r>
      <w:r w:rsidR="001E6F6C" w:rsidRPr="001222F4">
        <w:rPr>
          <w:rFonts w:asciiTheme="majorHAnsi" w:eastAsia="Times New Roman" w:hAnsiTheme="majorHAnsi" w:cs="Times New Roman"/>
          <w:color w:val="222222"/>
          <w:shd w:val="clear" w:color="auto" w:fill="FFFFFF"/>
        </w:rPr>
        <w:t xml:space="preserve">ommittee structure </w:t>
      </w:r>
      <w:r w:rsidRPr="001222F4">
        <w:rPr>
          <w:rFonts w:asciiTheme="majorHAnsi" w:eastAsia="Times New Roman" w:hAnsiTheme="majorHAnsi" w:cs="Times New Roman"/>
          <w:color w:val="222222"/>
          <w:shd w:val="clear" w:color="auto" w:fill="FFFFFF"/>
        </w:rPr>
        <w:t xml:space="preserve">is a unique feature of the </w:t>
      </w:r>
      <w:r w:rsidR="00517287" w:rsidRPr="001222F4">
        <w:rPr>
          <w:rFonts w:asciiTheme="majorHAnsi" w:eastAsia="Times New Roman" w:hAnsiTheme="majorHAnsi" w:cs="Times New Roman"/>
          <w:color w:val="222222"/>
          <w:shd w:val="clear" w:color="auto" w:fill="FFFFFF"/>
        </w:rPr>
        <w:t>NAP of the DRC</w:t>
      </w:r>
      <w:r w:rsidRPr="001222F4">
        <w:rPr>
          <w:rFonts w:asciiTheme="majorHAnsi" w:eastAsia="Times New Roman" w:hAnsiTheme="majorHAnsi" w:cs="Times New Roman"/>
          <w:color w:val="222222"/>
          <w:shd w:val="clear" w:color="auto" w:fill="FFFFFF"/>
        </w:rPr>
        <w:t>.</w:t>
      </w:r>
      <w:r w:rsidRPr="001222F4">
        <w:rPr>
          <w:rStyle w:val="FootnoteReference"/>
          <w:rFonts w:asciiTheme="majorHAnsi" w:eastAsia="Times New Roman" w:hAnsiTheme="majorHAnsi" w:cs="Times New Roman"/>
          <w:color w:val="222222"/>
          <w:shd w:val="clear" w:color="auto" w:fill="FFFFFF"/>
        </w:rPr>
        <w:footnoteReference w:id="132"/>
      </w:r>
      <w:r w:rsidRPr="001222F4">
        <w:rPr>
          <w:rFonts w:asciiTheme="majorHAnsi" w:eastAsia="Times New Roman" w:hAnsiTheme="majorHAnsi" w:cs="Times New Roman"/>
          <w:color w:val="222222"/>
          <w:shd w:val="clear" w:color="auto" w:fill="FFFFFF"/>
        </w:rPr>
        <w:t xml:space="preserve"> Periodic evaluations of the activities of each steering committee are envisaged during the</w:t>
      </w:r>
      <w:r w:rsidR="001E6F6C" w:rsidRPr="001222F4">
        <w:rPr>
          <w:rFonts w:asciiTheme="majorHAnsi" w:eastAsia="Times New Roman" w:hAnsiTheme="majorHAnsi" w:cs="Times New Roman"/>
          <w:color w:val="222222"/>
          <w:shd w:val="clear" w:color="auto" w:fill="FFFFFF"/>
        </w:rPr>
        <w:t xml:space="preserve"> central Government’s</w:t>
      </w:r>
      <w:r w:rsidRPr="001222F4">
        <w:rPr>
          <w:rFonts w:asciiTheme="majorHAnsi" w:eastAsia="Times New Roman" w:hAnsiTheme="majorHAnsi" w:cs="Times New Roman"/>
          <w:color w:val="222222"/>
          <w:shd w:val="clear" w:color="auto" w:fill="FFFFFF"/>
        </w:rPr>
        <w:t xml:space="preserve"> biennial overall assessment of implementation of the NAP. </w:t>
      </w:r>
      <w:r w:rsidRPr="001222F4">
        <w:rPr>
          <w:rFonts w:asciiTheme="majorHAnsi" w:hAnsiTheme="majorHAnsi" w:cs="Arial"/>
          <w:b/>
          <w:lang w:val="en-US"/>
        </w:rPr>
        <w:t xml:space="preserve"> </w:t>
      </w:r>
    </w:p>
    <w:p w14:paraId="6BF41BDC" w14:textId="77777777" w:rsidR="005C68CA" w:rsidRPr="001222F4" w:rsidRDefault="005C68CA" w:rsidP="005C68CA">
      <w:pPr>
        <w:jc w:val="both"/>
        <w:rPr>
          <w:rFonts w:asciiTheme="majorHAnsi" w:hAnsiTheme="majorHAnsi" w:cs="Arial"/>
          <w:lang w:val="en-US"/>
        </w:rPr>
      </w:pPr>
    </w:p>
    <w:p w14:paraId="0EDDC7BA" w14:textId="76E66677" w:rsidR="005C68CA" w:rsidRPr="001222F4" w:rsidRDefault="005C68CA" w:rsidP="007F364C">
      <w:pPr>
        <w:pStyle w:val="ListParagraph"/>
        <w:numPr>
          <w:ilvl w:val="0"/>
          <w:numId w:val="15"/>
        </w:numPr>
        <w:jc w:val="both"/>
        <w:rPr>
          <w:rFonts w:asciiTheme="majorHAnsi" w:hAnsiTheme="majorHAnsi" w:cs="Arial"/>
          <w:b/>
          <w:color w:val="1F497D" w:themeColor="text2"/>
          <w:lang w:val="en-US"/>
        </w:rPr>
      </w:pPr>
      <w:r w:rsidRPr="001222F4">
        <w:rPr>
          <w:rFonts w:asciiTheme="majorHAnsi" w:hAnsiTheme="majorHAnsi" w:cs="Arial"/>
          <w:b/>
          <w:color w:val="1F497D" w:themeColor="text2"/>
          <w:lang w:val="en-US"/>
        </w:rPr>
        <w:t xml:space="preserve">Implementation </w:t>
      </w:r>
      <w:r w:rsidR="000F530A" w:rsidRPr="001222F4">
        <w:rPr>
          <w:rFonts w:asciiTheme="majorHAnsi" w:hAnsiTheme="majorHAnsi" w:cs="Arial"/>
          <w:b/>
          <w:color w:val="1F497D" w:themeColor="text2"/>
          <w:lang w:val="en-US"/>
        </w:rPr>
        <w:t xml:space="preserve">of the NAP </w:t>
      </w:r>
      <w:r w:rsidRPr="001222F4">
        <w:rPr>
          <w:rFonts w:asciiTheme="majorHAnsi" w:hAnsiTheme="majorHAnsi" w:cs="Arial"/>
          <w:b/>
          <w:color w:val="1F497D" w:themeColor="text2"/>
          <w:lang w:val="en-US"/>
        </w:rPr>
        <w:t>by the Government, Development Agencies and Civil Society</w:t>
      </w:r>
    </w:p>
    <w:p w14:paraId="6D43E756" w14:textId="77777777" w:rsidR="005C68CA" w:rsidRPr="001222F4" w:rsidRDefault="005C68CA" w:rsidP="005C68CA">
      <w:pPr>
        <w:jc w:val="both"/>
        <w:rPr>
          <w:rFonts w:asciiTheme="majorHAnsi" w:hAnsiTheme="majorHAnsi" w:cs="Arial"/>
          <w:b/>
          <w:lang w:val="en-US"/>
        </w:rPr>
      </w:pPr>
    </w:p>
    <w:p w14:paraId="610EB3FE" w14:textId="467F26CA" w:rsidR="005C68CA" w:rsidRPr="001222F4" w:rsidRDefault="005C68CA" w:rsidP="005C68CA">
      <w:pPr>
        <w:jc w:val="both"/>
        <w:rPr>
          <w:rFonts w:asciiTheme="majorHAnsi" w:hAnsiTheme="majorHAnsi" w:cs="Times New Roman"/>
          <w:b/>
          <w:color w:val="1F497D" w:themeColor="text2"/>
          <w:u w:val="single"/>
        </w:rPr>
      </w:pPr>
      <w:r w:rsidRPr="001222F4">
        <w:rPr>
          <w:rFonts w:asciiTheme="majorHAnsi" w:hAnsiTheme="majorHAnsi" w:cs="Times New Roman"/>
          <w:b/>
          <w:color w:val="1F497D" w:themeColor="text2"/>
          <w:u w:val="single"/>
        </w:rPr>
        <w:t xml:space="preserve">Government </w:t>
      </w:r>
    </w:p>
    <w:p w14:paraId="0C1C0AE4" w14:textId="77777777" w:rsidR="005C68CA" w:rsidRPr="001222F4" w:rsidRDefault="005C68CA" w:rsidP="005C68CA">
      <w:pPr>
        <w:jc w:val="both"/>
        <w:rPr>
          <w:rFonts w:asciiTheme="majorHAnsi" w:hAnsiTheme="majorHAnsi" w:cs="Times New Roman"/>
          <w:b/>
        </w:rPr>
      </w:pPr>
    </w:p>
    <w:p w14:paraId="0A45DFE3" w14:textId="68621277" w:rsidR="00AE5A75" w:rsidRPr="001222F4" w:rsidRDefault="00F41315" w:rsidP="00B05609">
      <w:pPr>
        <w:spacing w:line="360" w:lineRule="auto"/>
        <w:jc w:val="both"/>
        <w:rPr>
          <w:rFonts w:asciiTheme="majorHAnsi" w:hAnsiTheme="majorHAnsi" w:cs="Scala Offc"/>
          <w:color w:val="000000"/>
        </w:rPr>
      </w:pPr>
      <w:r w:rsidRPr="001222F4">
        <w:rPr>
          <w:rFonts w:asciiTheme="majorHAnsi" w:hAnsiTheme="majorHAnsi" w:cs="Times New Roman"/>
        </w:rPr>
        <w:t xml:space="preserve">The Government’s </w:t>
      </w:r>
      <w:r w:rsidR="00517287" w:rsidRPr="001222F4">
        <w:rPr>
          <w:rFonts w:asciiTheme="majorHAnsi" w:hAnsiTheme="majorHAnsi" w:cs="Times New Roman"/>
        </w:rPr>
        <w:t xml:space="preserve">progress on implementing the </w:t>
      </w:r>
      <w:r w:rsidRPr="001222F4">
        <w:rPr>
          <w:rFonts w:asciiTheme="majorHAnsi" w:hAnsiTheme="majorHAnsi" w:cs="Times New Roman"/>
        </w:rPr>
        <w:t xml:space="preserve">NAP and </w:t>
      </w:r>
      <w:r w:rsidR="00517287" w:rsidRPr="001222F4">
        <w:rPr>
          <w:rFonts w:asciiTheme="majorHAnsi" w:hAnsiTheme="majorHAnsi" w:cs="Times New Roman"/>
        </w:rPr>
        <w:t>its</w:t>
      </w:r>
      <w:r w:rsidR="005C68CA" w:rsidRPr="001222F4">
        <w:rPr>
          <w:rFonts w:asciiTheme="majorHAnsi" w:hAnsiTheme="majorHAnsi" w:cs="Times New Roman"/>
        </w:rPr>
        <w:t xml:space="preserve"> National Strategy to Eliminate Gender-Based Violence</w:t>
      </w:r>
      <w:r w:rsidR="005B34C3" w:rsidRPr="001222F4">
        <w:rPr>
          <w:rFonts w:asciiTheme="majorHAnsi" w:hAnsiTheme="majorHAnsi" w:cs="Times New Roman"/>
        </w:rPr>
        <w:t xml:space="preserve"> (National Strategy)</w:t>
      </w:r>
      <w:r w:rsidR="002826E5" w:rsidRPr="001222F4">
        <w:rPr>
          <w:rFonts w:asciiTheme="majorHAnsi" w:hAnsiTheme="majorHAnsi" w:cs="Times New Roman"/>
        </w:rPr>
        <w:t xml:space="preserve"> must be considered </w:t>
      </w:r>
      <w:r w:rsidR="00D82934" w:rsidRPr="001222F4">
        <w:rPr>
          <w:rFonts w:asciiTheme="majorHAnsi" w:hAnsiTheme="majorHAnsi" w:cs="Times New Roman"/>
        </w:rPr>
        <w:t>in the context of</w:t>
      </w:r>
      <w:r w:rsidR="002826E5" w:rsidRPr="001222F4">
        <w:rPr>
          <w:rFonts w:asciiTheme="majorHAnsi" w:hAnsiTheme="majorHAnsi" w:cs="Times New Roman"/>
        </w:rPr>
        <w:t xml:space="preserve"> </w:t>
      </w:r>
      <w:r w:rsidR="00D82934" w:rsidRPr="001222F4">
        <w:rPr>
          <w:rFonts w:asciiTheme="majorHAnsi" w:hAnsiTheme="majorHAnsi" w:cs="Times New Roman"/>
        </w:rPr>
        <w:t xml:space="preserve">the </w:t>
      </w:r>
      <w:r w:rsidR="00367518" w:rsidRPr="001222F4">
        <w:rPr>
          <w:rFonts w:asciiTheme="majorHAnsi" w:hAnsiTheme="majorHAnsi" w:cs="Times New Roman"/>
        </w:rPr>
        <w:t>persistently high rate</w:t>
      </w:r>
      <w:r w:rsidR="00D82934" w:rsidRPr="001222F4">
        <w:rPr>
          <w:rFonts w:asciiTheme="majorHAnsi" w:hAnsiTheme="majorHAnsi" w:cs="Times New Roman"/>
        </w:rPr>
        <w:t xml:space="preserve"> of</w:t>
      </w:r>
      <w:r w:rsidR="004A73A6" w:rsidRPr="001222F4">
        <w:rPr>
          <w:rFonts w:asciiTheme="majorHAnsi" w:hAnsiTheme="majorHAnsi" w:cs="Times New Roman"/>
        </w:rPr>
        <w:t xml:space="preserve"> </w:t>
      </w:r>
      <w:r w:rsidR="004A73A6" w:rsidRPr="001222F4">
        <w:rPr>
          <w:rFonts w:asciiTheme="majorHAnsi" w:hAnsiTheme="majorHAnsi" w:cs="Times New Roman"/>
          <w:b/>
          <w:color w:val="4F81BD" w:themeColor="accent1"/>
        </w:rPr>
        <w:t>sexual and gender-</w:t>
      </w:r>
      <w:r w:rsidR="005C68CA" w:rsidRPr="001222F4">
        <w:rPr>
          <w:rFonts w:asciiTheme="majorHAnsi" w:hAnsiTheme="majorHAnsi" w:cs="Times New Roman"/>
          <w:b/>
          <w:color w:val="4F81BD" w:themeColor="accent1"/>
        </w:rPr>
        <w:t>based violence</w:t>
      </w:r>
      <w:r w:rsidR="00AE5A75" w:rsidRPr="001222F4">
        <w:rPr>
          <w:rFonts w:asciiTheme="majorHAnsi" w:hAnsiTheme="majorHAnsi" w:cs="Times New Roman"/>
        </w:rPr>
        <w:t xml:space="preserve"> (SGBV) as well as the</w:t>
      </w:r>
      <w:r w:rsidR="00AE5A75" w:rsidRPr="001222F4">
        <w:rPr>
          <w:rFonts w:asciiTheme="majorHAnsi" w:hAnsiTheme="majorHAnsi" w:cs="Times New Roman"/>
          <w:color w:val="4F81BD" w:themeColor="accent1"/>
        </w:rPr>
        <w:t xml:space="preserve"> </w:t>
      </w:r>
      <w:r w:rsidR="00AE5A75" w:rsidRPr="001222F4">
        <w:rPr>
          <w:rFonts w:asciiTheme="majorHAnsi" w:hAnsiTheme="majorHAnsi" w:cs="Times New Roman"/>
          <w:b/>
          <w:color w:val="4F81BD" w:themeColor="accent1"/>
        </w:rPr>
        <w:t>low level of women’s political participation</w:t>
      </w:r>
      <w:r w:rsidR="00AE5A75" w:rsidRPr="001222F4">
        <w:rPr>
          <w:rFonts w:asciiTheme="majorHAnsi" w:hAnsiTheme="majorHAnsi" w:cs="Times New Roman"/>
        </w:rPr>
        <w:t xml:space="preserve"> in </w:t>
      </w:r>
      <w:r w:rsidR="00AE5A75" w:rsidRPr="001222F4">
        <w:rPr>
          <w:rFonts w:asciiTheme="majorHAnsi" w:hAnsiTheme="majorHAnsi" w:cs="Times New Roman"/>
          <w:b/>
          <w:color w:val="4F81BD" w:themeColor="accent1"/>
        </w:rPr>
        <w:t>public life and peace processes</w:t>
      </w:r>
      <w:r w:rsidR="00AE5A75" w:rsidRPr="001222F4">
        <w:rPr>
          <w:rFonts w:asciiTheme="majorHAnsi" w:hAnsiTheme="majorHAnsi" w:cs="Times New Roman"/>
          <w:b/>
        </w:rPr>
        <w:t xml:space="preserve"> </w:t>
      </w:r>
      <w:r w:rsidR="00AE5A75" w:rsidRPr="001222F4">
        <w:rPr>
          <w:rFonts w:asciiTheme="majorHAnsi" w:hAnsiTheme="majorHAnsi" w:cs="Times New Roman"/>
        </w:rPr>
        <w:t>in the DRC.</w:t>
      </w:r>
      <w:r w:rsidR="002826E5" w:rsidRPr="001222F4">
        <w:rPr>
          <w:rFonts w:asciiTheme="majorHAnsi" w:hAnsiTheme="majorHAnsi" w:cs="Times New Roman"/>
        </w:rPr>
        <w:t xml:space="preserve"> </w:t>
      </w:r>
    </w:p>
    <w:p w14:paraId="127BFA63" w14:textId="77777777" w:rsidR="00AE5A75" w:rsidRPr="001222F4" w:rsidRDefault="00AE5A75" w:rsidP="005C68CA">
      <w:pPr>
        <w:jc w:val="both"/>
        <w:rPr>
          <w:rFonts w:asciiTheme="majorHAnsi" w:hAnsiTheme="majorHAnsi" w:cs="Times New Roman"/>
        </w:rPr>
      </w:pPr>
    </w:p>
    <w:p w14:paraId="5AB3F567" w14:textId="75C83E5C" w:rsidR="00E43E93" w:rsidRPr="001222F4" w:rsidRDefault="00E43E93" w:rsidP="00B05609">
      <w:pPr>
        <w:spacing w:line="360" w:lineRule="auto"/>
        <w:jc w:val="both"/>
        <w:rPr>
          <w:rFonts w:asciiTheme="majorHAnsi" w:hAnsiTheme="majorHAnsi" w:cs="Times New Roman"/>
        </w:rPr>
      </w:pPr>
      <w:r w:rsidRPr="001222F4">
        <w:rPr>
          <w:rFonts w:asciiTheme="majorHAnsi" w:hAnsiTheme="majorHAnsi" w:cs="Times New Roman"/>
        </w:rPr>
        <w:t>Since the NAP was adopted, t</w:t>
      </w:r>
      <w:r w:rsidR="00AE5A75" w:rsidRPr="001222F4">
        <w:rPr>
          <w:rFonts w:asciiTheme="majorHAnsi" w:hAnsiTheme="majorHAnsi" w:cs="Times New Roman"/>
        </w:rPr>
        <w:t xml:space="preserve">he </w:t>
      </w:r>
      <w:r w:rsidR="00AE5A75" w:rsidRPr="001222F4">
        <w:rPr>
          <w:rFonts w:asciiTheme="majorHAnsi" w:hAnsiTheme="majorHAnsi" w:cs="Times New Roman"/>
          <w:b/>
          <w:color w:val="4F81BD" w:themeColor="accent1"/>
        </w:rPr>
        <w:t>rate of SGBV</w:t>
      </w:r>
      <w:r w:rsidR="00AE5A75" w:rsidRPr="001222F4">
        <w:rPr>
          <w:rFonts w:asciiTheme="majorHAnsi" w:hAnsiTheme="majorHAnsi" w:cs="Times New Roman"/>
        </w:rPr>
        <w:t xml:space="preserve"> in the DRC </w:t>
      </w:r>
      <w:r w:rsidR="00D82934" w:rsidRPr="001222F4">
        <w:rPr>
          <w:rFonts w:asciiTheme="majorHAnsi" w:hAnsiTheme="majorHAnsi" w:cs="Times New Roman"/>
        </w:rPr>
        <w:t>r</w:t>
      </w:r>
      <w:r w:rsidR="005C68CA" w:rsidRPr="001222F4">
        <w:rPr>
          <w:rFonts w:asciiTheme="majorHAnsi" w:hAnsiTheme="majorHAnsi" w:cs="Times New Roman"/>
        </w:rPr>
        <w:t>emains one of the highest in the world.</w:t>
      </w:r>
      <w:r w:rsidR="005C68CA" w:rsidRPr="001222F4">
        <w:rPr>
          <w:rStyle w:val="FootnoteReference"/>
          <w:rFonts w:asciiTheme="majorHAnsi" w:hAnsiTheme="majorHAnsi" w:cs="Times New Roman"/>
        </w:rPr>
        <w:footnoteReference w:id="133"/>
      </w:r>
      <w:r w:rsidR="005C68CA" w:rsidRPr="001222F4">
        <w:rPr>
          <w:rFonts w:asciiTheme="majorHAnsi" w:hAnsiTheme="majorHAnsi" w:cs="Times New Roman"/>
        </w:rPr>
        <w:t xml:space="preserve"> </w:t>
      </w:r>
      <w:r w:rsidR="0020207B" w:rsidRPr="001222F4">
        <w:rPr>
          <w:rFonts w:asciiTheme="majorHAnsi" w:hAnsiTheme="majorHAnsi" w:cs="Scala Offc"/>
          <w:color w:val="000000"/>
        </w:rPr>
        <w:t xml:space="preserve">Preventing and eliminating conflict-related SGBV </w:t>
      </w:r>
      <w:r w:rsidR="00517287" w:rsidRPr="001222F4">
        <w:rPr>
          <w:rFonts w:asciiTheme="majorHAnsi" w:hAnsiTheme="majorHAnsi" w:cs="Scala Offc"/>
          <w:color w:val="000000"/>
        </w:rPr>
        <w:t>is hampered by the DRC G</w:t>
      </w:r>
      <w:r w:rsidR="0020207B" w:rsidRPr="001222F4">
        <w:rPr>
          <w:rFonts w:asciiTheme="majorHAnsi" w:hAnsiTheme="majorHAnsi" w:cs="Scala Offc"/>
          <w:color w:val="000000"/>
        </w:rPr>
        <w:t xml:space="preserve">overnment’s denial that a </w:t>
      </w:r>
      <w:r w:rsidR="0020207B" w:rsidRPr="001222F4">
        <w:rPr>
          <w:rFonts w:asciiTheme="majorHAnsi" w:hAnsiTheme="majorHAnsi" w:cs="Scala Offc"/>
          <w:color w:val="000000"/>
        </w:rPr>
        <w:lastRenderedPageBreak/>
        <w:t>conflict exists and insistence that the country is at peace, with no more conflict-related SGBV.</w:t>
      </w:r>
      <w:r w:rsidR="0020207B" w:rsidRPr="001222F4">
        <w:rPr>
          <w:rStyle w:val="FootnoteReference"/>
          <w:rFonts w:asciiTheme="majorHAnsi" w:hAnsiTheme="majorHAnsi" w:cs="Scala Offc"/>
          <w:color w:val="000000"/>
        </w:rPr>
        <w:footnoteReference w:id="134"/>
      </w:r>
      <w:r w:rsidR="0020207B" w:rsidRPr="001222F4">
        <w:rPr>
          <w:rFonts w:asciiTheme="majorHAnsi" w:hAnsiTheme="majorHAnsi" w:cs="Scala Offc"/>
          <w:color w:val="000000"/>
        </w:rPr>
        <w:t xml:space="preserve"> This seems to be an effort to </w:t>
      </w:r>
      <w:r w:rsidRPr="001222F4">
        <w:rPr>
          <w:rFonts w:asciiTheme="majorHAnsi" w:hAnsiTheme="majorHAnsi" w:cs="Scala Offc"/>
          <w:color w:val="000000"/>
        </w:rPr>
        <w:t>erase</w:t>
      </w:r>
      <w:r w:rsidR="0020207B" w:rsidRPr="001222F4">
        <w:rPr>
          <w:rFonts w:asciiTheme="majorHAnsi" w:hAnsiTheme="majorHAnsi" w:cs="Scala Offc"/>
          <w:color w:val="000000"/>
        </w:rPr>
        <w:t xml:space="preserve"> the perception </w:t>
      </w:r>
      <w:r w:rsidR="00517287" w:rsidRPr="001222F4">
        <w:rPr>
          <w:rFonts w:asciiTheme="majorHAnsi" w:hAnsiTheme="majorHAnsi" w:cs="Scala Offc"/>
          <w:color w:val="000000"/>
        </w:rPr>
        <w:t>o</w:t>
      </w:r>
      <w:r w:rsidRPr="001222F4">
        <w:rPr>
          <w:rFonts w:asciiTheme="majorHAnsi" w:hAnsiTheme="majorHAnsi" w:cs="Scala Offc"/>
          <w:color w:val="000000"/>
        </w:rPr>
        <w:t>f</w:t>
      </w:r>
      <w:r w:rsidR="0020207B" w:rsidRPr="001222F4">
        <w:rPr>
          <w:rFonts w:asciiTheme="majorHAnsi" w:hAnsiTheme="majorHAnsi" w:cs="Scala Offc"/>
          <w:color w:val="000000"/>
        </w:rPr>
        <w:t xml:space="preserve"> the DRC </w:t>
      </w:r>
      <w:r w:rsidRPr="001222F4">
        <w:rPr>
          <w:rFonts w:asciiTheme="majorHAnsi" w:hAnsiTheme="majorHAnsi" w:cs="Scala Offc"/>
          <w:color w:val="000000"/>
        </w:rPr>
        <w:t>as the world’s “</w:t>
      </w:r>
      <w:r w:rsidR="0020207B" w:rsidRPr="001222F4">
        <w:rPr>
          <w:rFonts w:asciiTheme="majorHAnsi" w:hAnsiTheme="majorHAnsi" w:cs="Scala Offc"/>
          <w:color w:val="000000"/>
        </w:rPr>
        <w:t>rape capital”.</w:t>
      </w:r>
      <w:r w:rsidR="0020207B" w:rsidRPr="001222F4">
        <w:rPr>
          <w:rStyle w:val="FootnoteReference"/>
          <w:rFonts w:asciiTheme="majorHAnsi" w:hAnsiTheme="majorHAnsi" w:cs="Scala Offc"/>
          <w:color w:val="000000"/>
        </w:rPr>
        <w:footnoteReference w:id="135"/>
      </w:r>
      <w:r w:rsidR="0020207B" w:rsidRPr="001222F4">
        <w:rPr>
          <w:rFonts w:asciiTheme="majorHAnsi" w:hAnsiTheme="majorHAnsi" w:cs="Scala Offc"/>
          <w:color w:val="000000"/>
        </w:rPr>
        <w:t xml:space="preserve"> </w:t>
      </w:r>
    </w:p>
    <w:p w14:paraId="07901E6F" w14:textId="77777777" w:rsidR="00E43E93" w:rsidRPr="001222F4" w:rsidRDefault="00E43E93" w:rsidP="005C68CA">
      <w:pPr>
        <w:jc w:val="both"/>
        <w:rPr>
          <w:rFonts w:asciiTheme="majorHAnsi" w:hAnsiTheme="majorHAnsi" w:cs="Times New Roman"/>
        </w:rPr>
      </w:pPr>
    </w:p>
    <w:p w14:paraId="2ADA8AB8" w14:textId="3EEC3D60" w:rsidR="005C68CA" w:rsidRPr="001222F4" w:rsidRDefault="00E43E93" w:rsidP="004D0432">
      <w:pPr>
        <w:spacing w:line="360" w:lineRule="auto"/>
        <w:jc w:val="both"/>
        <w:rPr>
          <w:rFonts w:asciiTheme="majorHAnsi" w:hAnsiTheme="majorHAnsi" w:cs="Scala Offc"/>
          <w:color w:val="000000"/>
        </w:rPr>
      </w:pPr>
      <w:r w:rsidRPr="001222F4">
        <w:rPr>
          <w:rFonts w:asciiTheme="majorHAnsi" w:hAnsiTheme="majorHAnsi" w:cs="Times New Roman"/>
        </w:rPr>
        <w:t>R</w:t>
      </w:r>
      <w:r w:rsidR="005C68CA" w:rsidRPr="001222F4">
        <w:rPr>
          <w:rFonts w:asciiTheme="majorHAnsi" w:hAnsiTheme="majorHAnsi" w:cs="Times New Roman"/>
        </w:rPr>
        <w:t>eported instances of rape re</w:t>
      </w:r>
      <w:r w:rsidR="00CC72DB" w:rsidRPr="001222F4">
        <w:rPr>
          <w:rFonts w:asciiTheme="majorHAnsi" w:hAnsiTheme="majorHAnsi" w:cs="Times New Roman"/>
        </w:rPr>
        <w:t xml:space="preserve">main alarmingly high. The reported </w:t>
      </w:r>
      <w:r w:rsidR="00D82934" w:rsidRPr="001222F4">
        <w:rPr>
          <w:rFonts w:asciiTheme="majorHAnsi" w:hAnsiTheme="majorHAnsi" w:cs="Times New Roman"/>
        </w:rPr>
        <w:t>SGBV</w:t>
      </w:r>
      <w:r w:rsidR="005B34C3" w:rsidRPr="001222F4">
        <w:rPr>
          <w:rFonts w:asciiTheme="majorHAnsi" w:hAnsiTheme="majorHAnsi" w:cs="Times New Roman"/>
        </w:rPr>
        <w:t xml:space="preserve"> rate</w:t>
      </w:r>
      <w:r w:rsidR="005C68CA" w:rsidRPr="001222F4">
        <w:rPr>
          <w:rFonts w:asciiTheme="majorHAnsi" w:hAnsiTheme="majorHAnsi" w:cs="Times New Roman"/>
        </w:rPr>
        <w:t xml:space="preserve"> in the eastern regions are well above the</w:t>
      </w:r>
      <w:r w:rsidR="0000477C" w:rsidRPr="001222F4">
        <w:rPr>
          <w:rFonts w:asciiTheme="majorHAnsi" w:hAnsiTheme="majorHAnsi" w:cs="Times New Roman"/>
        </w:rPr>
        <w:t xml:space="preserve"> average in the</w:t>
      </w:r>
      <w:r w:rsidR="005C68CA" w:rsidRPr="001222F4">
        <w:rPr>
          <w:rFonts w:asciiTheme="majorHAnsi" w:hAnsiTheme="majorHAnsi" w:cs="Times New Roman"/>
        </w:rPr>
        <w:t xml:space="preserve"> rest of the country with 13,963 instances reported in North Kivu </w:t>
      </w:r>
      <w:r w:rsidR="0000477C" w:rsidRPr="001222F4">
        <w:rPr>
          <w:rFonts w:asciiTheme="majorHAnsi" w:hAnsiTheme="majorHAnsi" w:cs="Times New Roman"/>
        </w:rPr>
        <w:t>in</w:t>
      </w:r>
      <w:r w:rsidR="005C68CA" w:rsidRPr="001222F4">
        <w:rPr>
          <w:rFonts w:asciiTheme="majorHAnsi" w:hAnsiTheme="majorHAnsi" w:cs="Times New Roman"/>
        </w:rPr>
        <w:t xml:space="preserve"> 2011-2013, and 8,945 reported in South Kivu in the same time.</w:t>
      </w:r>
      <w:r w:rsidR="005C68CA" w:rsidRPr="001222F4">
        <w:rPr>
          <w:rStyle w:val="FootnoteReference"/>
          <w:rFonts w:asciiTheme="majorHAnsi" w:hAnsiTheme="majorHAnsi" w:cs="Times New Roman"/>
        </w:rPr>
        <w:footnoteReference w:id="136"/>
      </w:r>
      <w:r w:rsidR="005C68CA" w:rsidRPr="001222F4">
        <w:rPr>
          <w:rFonts w:asciiTheme="majorHAnsi" w:hAnsiTheme="majorHAnsi" w:cs="Times New Roman"/>
        </w:rPr>
        <w:t xml:space="preserve"> </w:t>
      </w:r>
      <w:r w:rsidR="005C68CA" w:rsidRPr="001222F4">
        <w:rPr>
          <w:rFonts w:asciiTheme="majorHAnsi" w:hAnsiTheme="majorHAnsi"/>
        </w:rPr>
        <w:t xml:space="preserve">During a period of increased conflict in 2013, </w:t>
      </w:r>
      <w:r w:rsidR="005B34C3" w:rsidRPr="001222F4">
        <w:rPr>
          <w:rFonts w:asciiTheme="majorHAnsi" w:hAnsiTheme="majorHAnsi"/>
        </w:rPr>
        <w:t>reported</w:t>
      </w:r>
      <w:r w:rsidR="00D82934" w:rsidRPr="001222F4">
        <w:rPr>
          <w:rFonts w:asciiTheme="majorHAnsi" w:hAnsiTheme="majorHAnsi"/>
        </w:rPr>
        <w:t xml:space="preserve"> </w:t>
      </w:r>
      <w:r w:rsidR="005C68CA" w:rsidRPr="001222F4">
        <w:rPr>
          <w:rFonts w:asciiTheme="majorHAnsi" w:hAnsiTheme="majorHAnsi"/>
        </w:rPr>
        <w:t xml:space="preserve">rapes and instances of </w:t>
      </w:r>
      <w:r w:rsidR="0000477C" w:rsidRPr="001222F4">
        <w:rPr>
          <w:rFonts w:asciiTheme="majorHAnsi" w:hAnsiTheme="majorHAnsi"/>
        </w:rPr>
        <w:t>SGBV</w:t>
      </w:r>
      <w:r w:rsidR="005C68CA" w:rsidRPr="001222F4">
        <w:rPr>
          <w:rFonts w:asciiTheme="majorHAnsi" w:hAnsiTheme="majorHAnsi"/>
        </w:rPr>
        <w:t xml:space="preserve"> </w:t>
      </w:r>
      <w:r w:rsidR="00D82934" w:rsidRPr="001222F4">
        <w:rPr>
          <w:rFonts w:asciiTheme="majorHAnsi" w:hAnsiTheme="majorHAnsi"/>
        </w:rPr>
        <w:t>rose,</w:t>
      </w:r>
      <w:r w:rsidR="005C68CA" w:rsidRPr="001222F4">
        <w:rPr>
          <w:rFonts w:asciiTheme="majorHAnsi" w:hAnsiTheme="majorHAnsi"/>
        </w:rPr>
        <w:t xml:space="preserve"> with 705 cases reported in North Kivu province alone in the first </w:t>
      </w:r>
      <w:r w:rsidR="0000477C" w:rsidRPr="001222F4">
        <w:rPr>
          <w:rFonts w:asciiTheme="majorHAnsi" w:hAnsiTheme="majorHAnsi"/>
        </w:rPr>
        <w:t xml:space="preserve">six </w:t>
      </w:r>
      <w:r w:rsidR="005C68CA" w:rsidRPr="001222F4">
        <w:rPr>
          <w:rFonts w:asciiTheme="majorHAnsi" w:hAnsiTheme="majorHAnsi"/>
        </w:rPr>
        <w:t>months of 2013</w:t>
      </w:r>
      <w:r w:rsidR="00CC72DB" w:rsidRPr="001222F4">
        <w:rPr>
          <w:rFonts w:asciiTheme="majorHAnsi" w:hAnsiTheme="majorHAnsi"/>
        </w:rPr>
        <w:t xml:space="preserve">, 619 </w:t>
      </w:r>
      <w:r w:rsidR="003F055E" w:rsidRPr="001222F4">
        <w:rPr>
          <w:rFonts w:asciiTheme="majorHAnsi" w:hAnsiTheme="majorHAnsi"/>
        </w:rPr>
        <w:t xml:space="preserve">of which were </w:t>
      </w:r>
      <w:r w:rsidR="00CC72DB" w:rsidRPr="001222F4">
        <w:rPr>
          <w:rFonts w:asciiTheme="majorHAnsi" w:hAnsiTheme="majorHAnsi"/>
        </w:rPr>
        <w:t>reports of rape</w:t>
      </w:r>
      <w:r w:rsidR="005C68CA" w:rsidRPr="001222F4">
        <w:rPr>
          <w:rFonts w:asciiTheme="majorHAnsi" w:hAnsiTheme="majorHAnsi"/>
        </w:rPr>
        <w:t>.</w:t>
      </w:r>
      <w:r w:rsidR="005C68CA" w:rsidRPr="001222F4">
        <w:rPr>
          <w:rStyle w:val="FootnoteReference"/>
          <w:rFonts w:asciiTheme="majorHAnsi" w:hAnsiTheme="majorHAnsi"/>
        </w:rPr>
        <w:footnoteReference w:id="137"/>
      </w:r>
      <w:r w:rsidR="005C68CA" w:rsidRPr="001222F4">
        <w:rPr>
          <w:rFonts w:asciiTheme="majorHAnsi" w:hAnsiTheme="majorHAnsi"/>
        </w:rPr>
        <w:t xml:space="preserve"> </w:t>
      </w:r>
      <w:r w:rsidR="00CC72DB" w:rsidRPr="001222F4">
        <w:rPr>
          <w:rFonts w:asciiTheme="majorHAnsi" w:hAnsiTheme="majorHAnsi"/>
        </w:rPr>
        <w:t>A</w:t>
      </w:r>
      <w:r w:rsidR="003A629D" w:rsidRPr="001222F4">
        <w:rPr>
          <w:rFonts w:asciiTheme="majorHAnsi" w:hAnsiTheme="majorHAnsi"/>
        </w:rPr>
        <w:t>rmed men were the</w:t>
      </w:r>
      <w:r w:rsidR="00CC72DB" w:rsidRPr="001222F4">
        <w:rPr>
          <w:rFonts w:asciiTheme="majorHAnsi" w:hAnsiTheme="majorHAnsi"/>
        </w:rPr>
        <w:t xml:space="preserve"> perpetrators in </w:t>
      </w:r>
      <w:r w:rsidR="00C179A2" w:rsidRPr="001222F4">
        <w:rPr>
          <w:rFonts w:asciiTheme="majorHAnsi" w:hAnsiTheme="majorHAnsi"/>
        </w:rPr>
        <w:t>more than half of these reports</w:t>
      </w:r>
      <w:r w:rsidR="005C68CA" w:rsidRPr="001222F4">
        <w:rPr>
          <w:rFonts w:asciiTheme="majorHAnsi" w:hAnsiTheme="majorHAnsi"/>
        </w:rPr>
        <w:t>.</w:t>
      </w:r>
      <w:r w:rsidR="005C68CA" w:rsidRPr="001222F4">
        <w:rPr>
          <w:rStyle w:val="FootnoteReference"/>
          <w:rFonts w:asciiTheme="majorHAnsi" w:hAnsiTheme="majorHAnsi"/>
        </w:rPr>
        <w:footnoteReference w:id="138"/>
      </w:r>
      <w:r w:rsidR="005C68CA" w:rsidRPr="001222F4">
        <w:rPr>
          <w:rFonts w:asciiTheme="majorHAnsi" w:hAnsiTheme="majorHAnsi"/>
        </w:rPr>
        <w:t xml:space="preserve">  </w:t>
      </w:r>
    </w:p>
    <w:p w14:paraId="1D089009" w14:textId="77777777" w:rsidR="005C68CA" w:rsidRPr="001222F4" w:rsidRDefault="005C68CA" w:rsidP="005C68CA">
      <w:pPr>
        <w:jc w:val="both"/>
        <w:rPr>
          <w:rFonts w:asciiTheme="majorHAnsi" w:hAnsiTheme="majorHAnsi"/>
        </w:rPr>
      </w:pPr>
    </w:p>
    <w:p w14:paraId="6C8A5EEA" w14:textId="108A63BB" w:rsidR="005C68CA" w:rsidRPr="001222F4" w:rsidRDefault="00A21C98" w:rsidP="004D0432">
      <w:pPr>
        <w:spacing w:line="360" w:lineRule="auto"/>
        <w:jc w:val="both"/>
        <w:rPr>
          <w:rFonts w:asciiTheme="majorHAnsi" w:hAnsiTheme="majorHAnsi" w:cs="Times New Roman"/>
        </w:rPr>
      </w:pPr>
      <w:r w:rsidRPr="001222F4">
        <w:rPr>
          <w:rFonts w:asciiTheme="majorHAnsi" w:hAnsiTheme="majorHAnsi"/>
        </w:rPr>
        <w:t xml:space="preserve">Despite the alarmingly high instances </w:t>
      </w:r>
      <w:r w:rsidR="005C68CA" w:rsidRPr="001222F4">
        <w:rPr>
          <w:rFonts w:asciiTheme="majorHAnsi" w:hAnsiTheme="majorHAnsi"/>
        </w:rPr>
        <w:t xml:space="preserve">of </w:t>
      </w:r>
      <w:r w:rsidR="00427695" w:rsidRPr="001222F4">
        <w:rPr>
          <w:rFonts w:asciiTheme="majorHAnsi" w:hAnsiTheme="majorHAnsi"/>
        </w:rPr>
        <w:t>SGBV</w:t>
      </w:r>
      <w:r w:rsidR="005C68CA" w:rsidRPr="001222F4">
        <w:rPr>
          <w:rFonts w:asciiTheme="majorHAnsi" w:hAnsiTheme="majorHAnsi"/>
        </w:rPr>
        <w:t xml:space="preserve">, </w:t>
      </w:r>
      <w:r w:rsidR="005C68CA" w:rsidRPr="001222F4">
        <w:rPr>
          <w:rFonts w:asciiTheme="majorHAnsi" w:hAnsiTheme="majorHAnsi"/>
          <w:b/>
        </w:rPr>
        <w:t>impunity is rife</w:t>
      </w:r>
      <w:r w:rsidR="00CC72DB" w:rsidRPr="001222F4">
        <w:rPr>
          <w:rFonts w:asciiTheme="majorHAnsi" w:hAnsiTheme="majorHAnsi"/>
        </w:rPr>
        <w:t xml:space="preserve"> in the DRC</w:t>
      </w:r>
      <w:r w:rsidRPr="001222F4">
        <w:rPr>
          <w:rFonts w:asciiTheme="majorHAnsi" w:hAnsiTheme="majorHAnsi"/>
        </w:rPr>
        <w:t xml:space="preserve">. </w:t>
      </w:r>
      <w:r w:rsidR="005C68CA" w:rsidRPr="001222F4">
        <w:rPr>
          <w:rFonts w:asciiTheme="majorHAnsi" w:hAnsiTheme="majorHAnsi"/>
        </w:rPr>
        <w:t xml:space="preserve"> </w:t>
      </w:r>
      <w:r w:rsidRPr="001222F4">
        <w:rPr>
          <w:rFonts w:asciiTheme="majorHAnsi" w:hAnsiTheme="majorHAnsi"/>
        </w:rPr>
        <w:t>Few</w:t>
      </w:r>
      <w:r w:rsidR="005C68CA" w:rsidRPr="001222F4">
        <w:rPr>
          <w:rFonts w:asciiTheme="majorHAnsi" w:hAnsiTheme="majorHAnsi"/>
        </w:rPr>
        <w:t xml:space="preserve"> cases are prosecuted due to “insufficient resources, lack of confidence in the justice system, fear of subjecting themselves to humiliation and possible reprisal, or family pressure.”</w:t>
      </w:r>
      <w:r w:rsidR="005C68CA" w:rsidRPr="001222F4">
        <w:rPr>
          <w:rStyle w:val="FootnoteReference"/>
          <w:rFonts w:asciiTheme="majorHAnsi" w:hAnsiTheme="majorHAnsi"/>
        </w:rPr>
        <w:footnoteReference w:id="139"/>
      </w:r>
      <w:r w:rsidR="005C68CA" w:rsidRPr="001222F4">
        <w:rPr>
          <w:rFonts w:asciiTheme="majorHAnsi" w:hAnsiTheme="majorHAnsi"/>
        </w:rPr>
        <w:t xml:space="preserve"> </w:t>
      </w:r>
      <w:r w:rsidR="005C68CA" w:rsidRPr="001222F4">
        <w:rPr>
          <w:rFonts w:asciiTheme="majorHAnsi" w:hAnsiTheme="majorHAnsi" w:cs="Times New Roman"/>
        </w:rPr>
        <w:t xml:space="preserve">Nationally, only 11% of all reported cases of </w:t>
      </w:r>
      <w:r w:rsidR="00427695" w:rsidRPr="001222F4">
        <w:rPr>
          <w:rFonts w:asciiTheme="majorHAnsi" w:hAnsiTheme="majorHAnsi" w:cs="Times New Roman"/>
        </w:rPr>
        <w:t>SGBV</w:t>
      </w:r>
      <w:r w:rsidR="005C68CA" w:rsidRPr="001222F4">
        <w:rPr>
          <w:rFonts w:asciiTheme="majorHAnsi" w:hAnsiTheme="majorHAnsi" w:cs="Times New Roman"/>
        </w:rPr>
        <w:t xml:space="preserve"> were investigated, and </w:t>
      </w:r>
      <w:r w:rsidR="002F44E4" w:rsidRPr="001222F4">
        <w:rPr>
          <w:rFonts w:asciiTheme="majorHAnsi" w:hAnsiTheme="majorHAnsi" w:cs="Times New Roman"/>
        </w:rPr>
        <w:t>the rate of penalization for rapes, rapes of minor</w:t>
      </w:r>
      <w:r w:rsidR="001F02FE" w:rsidRPr="001222F4">
        <w:rPr>
          <w:rFonts w:asciiTheme="majorHAnsi" w:hAnsiTheme="majorHAnsi" w:cs="Times New Roman"/>
        </w:rPr>
        <w:t>s</w:t>
      </w:r>
      <w:r w:rsidR="002F44E4" w:rsidRPr="001222F4">
        <w:rPr>
          <w:rFonts w:asciiTheme="majorHAnsi" w:hAnsiTheme="majorHAnsi" w:cs="Times New Roman"/>
        </w:rPr>
        <w:t>, aggression and other forms of SGBV was only 5.6% in 2012</w:t>
      </w:r>
      <w:r w:rsidR="005C68CA" w:rsidRPr="001222F4">
        <w:rPr>
          <w:rFonts w:asciiTheme="majorHAnsi" w:hAnsiTheme="majorHAnsi" w:cs="Times New Roman"/>
        </w:rPr>
        <w:t>.</w:t>
      </w:r>
      <w:r w:rsidR="005C68CA" w:rsidRPr="001222F4">
        <w:rPr>
          <w:rStyle w:val="FootnoteReference"/>
          <w:rFonts w:asciiTheme="majorHAnsi" w:hAnsiTheme="majorHAnsi" w:cs="Times New Roman"/>
        </w:rPr>
        <w:footnoteReference w:id="140"/>
      </w:r>
      <w:r w:rsidR="005C68CA" w:rsidRPr="001222F4">
        <w:rPr>
          <w:rFonts w:asciiTheme="majorHAnsi" w:hAnsiTheme="majorHAnsi" w:cs="Times New Roman"/>
        </w:rPr>
        <w:t xml:space="preserve"> Since</w:t>
      </w:r>
      <w:r w:rsidR="00427695" w:rsidRPr="001222F4">
        <w:rPr>
          <w:rFonts w:asciiTheme="majorHAnsi" w:hAnsiTheme="majorHAnsi" w:cs="Times New Roman"/>
        </w:rPr>
        <w:t xml:space="preserve"> the </w:t>
      </w:r>
      <w:r w:rsidR="0020207B" w:rsidRPr="001222F4">
        <w:rPr>
          <w:rFonts w:asciiTheme="majorHAnsi" w:hAnsiTheme="majorHAnsi" w:cs="Times New Roman"/>
        </w:rPr>
        <w:t>Security Council adopted</w:t>
      </w:r>
      <w:r w:rsidR="005C68CA" w:rsidRPr="001222F4">
        <w:rPr>
          <w:rFonts w:asciiTheme="majorHAnsi" w:hAnsiTheme="majorHAnsi" w:cs="Times New Roman"/>
        </w:rPr>
        <w:t xml:space="preserve"> </w:t>
      </w:r>
      <w:r w:rsidR="00427695" w:rsidRPr="001222F4">
        <w:rPr>
          <w:rFonts w:asciiTheme="majorHAnsi" w:hAnsiTheme="majorHAnsi" w:cs="Times New Roman"/>
        </w:rPr>
        <w:t>SCR</w:t>
      </w:r>
      <w:r w:rsidR="005C68CA" w:rsidRPr="001222F4">
        <w:rPr>
          <w:rFonts w:asciiTheme="majorHAnsi" w:hAnsiTheme="majorHAnsi" w:cs="Times New Roman"/>
        </w:rPr>
        <w:t xml:space="preserve"> 188</w:t>
      </w:r>
      <w:r w:rsidR="00531259" w:rsidRPr="001222F4">
        <w:rPr>
          <w:rFonts w:asciiTheme="majorHAnsi" w:hAnsiTheme="majorHAnsi" w:cs="Times New Roman"/>
        </w:rPr>
        <w:t>8</w:t>
      </w:r>
      <w:r w:rsidR="005C68CA" w:rsidRPr="001222F4">
        <w:rPr>
          <w:rFonts w:asciiTheme="majorHAnsi" w:hAnsiTheme="majorHAnsi" w:cs="Times New Roman"/>
        </w:rPr>
        <w:t xml:space="preserve"> in 2009, </w:t>
      </w:r>
      <w:r w:rsidR="00427695" w:rsidRPr="001222F4">
        <w:rPr>
          <w:rFonts w:asciiTheme="majorHAnsi" w:hAnsiTheme="majorHAnsi" w:cs="Times New Roman"/>
        </w:rPr>
        <w:t>which has a particular focus on accountability for rape and SGBV, some</w:t>
      </w:r>
      <w:r w:rsidR="005C68CA" w:rsidRPr="001222F4">
        <w:rPr>
          <w:rFonts w:asciiTheme="majorHAnsi" w:hAnsiTheme="majorHAnsi" w:cs="Times New Roman"/>
        </w:rPr>
        <w:t xml:space="preserve"> military commanders in North and South Kivu have been convicted for mass rapes and human rights breaches, including sexual violence.</w:t>
      </w:r>
      <w:r w:rsidR="005C68CA" w:rsidRPr="001222F4">
        <w:rPr>
          <w:rStyle w:val="FootnoteReference"/>
          <w:rFonts w:asciiTheme="majorHAnsi" w:hAnsiTheme="majorHAnsi" w:cs="Times New Roman"/>
        </w:rPr>
        <w:footnoteReference w:id="141"/>
      </w:r>
      <w:r w:rsidR="005C68CA" w:rsidRPr="001222F4">
        <w:rPr>
          <w:rFonts w:asciiTheme="majorHAnsi" w:hAnsiTheme="majorHAnsi" w:cs="Times New Roman"/>
        </w:rPr>
        <w:t xml:space="preserve"> </w:t>
      </w:r>
      <w:r w:rsidRPr="001222F4">
        <w:rPr>
          <w:rFonts w:asciiTheme="majorHAnsi" w:hAnsiTheme="majorHAnsi" w:cs="Times New Roman"/>
        </w:rPr>
        <w:t>However, impunity</w:t>
      </w:r>
      <w:r w:rsidR="005C68CA" w:rsidRPr="001222F4">
        <w:rPr>
          <w:rFonts w:asciiTheme="majorHAnsi" w:hAnsiTheme="majorHAnsi" w:cs="Times New Roman"/>
        </w:rPr>
        <w:t xml:space="preserve"> </w:t>
      </w:r>
      <w:r w:rsidRPr="001222F4">
        <w:rPr>
          <w:rFonts w:asciiTheme="majorHAnsi" w:hAnsiTheme="majorHAnsi" w:cs="Times New Roman"/>
        </w:rPr>
        <w:t>remains a serious problem that continues to contribute</w:t>
      </w:r>
      <w:r w:rsidR="005C68CA" w:rsidRPr="001222F4">
        <w:rPr>
          <w:rFonts w:asciiTheme="majorHAnsi" w:hAnsiTheme="majorHAnsi" w:cs="Times New Roman"/>
        </w:rPr>
        <w:t xml:space="preserve"> to the perpetuation of </w:t>
      </w:r>
      <w:r w:rsidRPr="001222F4">
        <w:rPr>
          <w:rFonts w:asciiTheme="majorHAnsi" w:hAnsiTheme="majorHAnsi" w:cs="Times New Roman"/>
        </w:rPr>
        <w:t xml:space="preserve">rape and </w:t>
      </w:r>
      <w:r w:rsidR="00427695" w:rsidRPr="001222F4">
        <w:rPr>
          <w:rFonts w:asciiTheme="majorHAnsi" w:hAnsiTheme="majorHAnsi" w:cs="Times New Roman"/>
        </w:rPr>
        <w:t>SGBV</w:t>
      </w:r>
      <w:r w:rsidR="005C68CA" w:rsidRPr="001222F4">
        <w:rPr>
          <w:rFonts w:asciiTheme="majorHAnsi" w:hAnsiTheme="majorHAnsi" w:cs="Times New Roman"/>
        </w:rPr>
        <w:t xml:space="preserve"> against women</w:t>
      </w:r>
      <w:r w:rsidR="00427695" w:rsidRPr="001222F4">
        <w:rPr>
          <w:rFonts w:asciiTheme="majorHAnsi" w:hAnsiTheme="majorHAnsi" w:cs="Times New Roman"/>
        </w:rPr>
        <w:t xml:space="preserve"> and girls</w:t>
      </w:r>
      <w:r w:rsidR="005C68CA" w:rsidRPr="001222F4">
        <w:rPr>
          <w:rFonts w:asciiTheme="majorHAnsi" w:hAnsiTheme="majorHAnsi" w:cs="Times New Roman"/>
        </w:rPr>
        <w:t>.</w:t>
      </w:r>
      <w:r w:rsidR="005C68CA" w:rsidRPr="001222F4">
        <w:rPr>
          <w:rStyle w:val="FootnoteReference"/>
          <w:rFonts w:asciiTheme="majorHAnsi" w:hAnsiTheme="majorHAnsi" w:cs="Times New Roman"/>
        </w:rPr>
        <w:footnoteReference w:id="142"/>
      </w:r>
    </w:p>
    <w:p w14:paraId="6DC3AD78" w14:textId="77777777" w:rsidR="00367518" w:rsidRPr="001222F4" w:rsidRDefault="00367518" w:rsidP="00367518">
      <w:pPr>
        <w:jc w:val="both"/>
        <w:rPr>
          <w:rFonts w:asciiTheme="majorHAnsi" w:hAnsiTheme="majorHAnsi" w:cs="Scala Offc"/>
          <w:color w:val="000000"/>
        </w:rPr>
      </w:pPr>
    </w:p>
    <w:p w14:paraId="1CBE6019" w14:textId="178D7250" w:rsidR="00310376" w:rsidRPr="001222F4" w:rsidRDefault="00310376" w:rsidP="004D0432">
      <w:pPr>
        <w:widowControl w:val="0"/>
        <w:autoSpaceDE w:val="0"/>
        <w:autoSpaceDN w:val="0"/>
        <w:adjustRightInd w:val="0"/>
        <w:spacing w:line="360" w:lineRule="auto"/>
        <w:jc w:val="both"/>
        <w:rPr>
          <w:rFonts w:asciiTheme="majorHAnsi" w:hAnsiTheme="majorHAnsi" w:cs="Times New Roman"/>
          <w:lang w:val="en-US"/>
        </w:rPr>
      </w:pPr>
      <w:r w:rsidRPr="001222F4">
        <w:rPr>
          <w:rFonts w:asciiTheme="majorHAnsi" w:hAnsiTheme="majorHAnsi" w:cs="Times New Roman"/>
        </w:rPr>
        <w:t>W</w:t>
      </w:r>
      <w:r w:rsidR="00367518" w:rsidRPr="001222F4">
        <w:rPr>
          <w:rFonts w:asciiTheme="majorHAnsi" w:hAnsiTheme="majorHAnsi" w:cs="Times New Roman"/>
        </w:rPr>
        <w:t xml:space="preserve">omen’s </w:t>
      </w:r>
      <w:r w:rsidR="00367518" w:rsidRPr="001222F4">
        <w:rPr>
          <w:rFonts w:asciiTheme="majorHAnsi" w:hAnsiTheme="majorHAnsi" w:cs="Times New Roman"/>
          <w:b/>
          <w:color w:val="4F81BD" w:themeColor="accent1"/>
        </w:rPr>
        <w:t>political participation in public life</w:t>
      </w:r>
      <w:r w:rsidRPr="001222F4">
        <w:rPr>
          <w:rFonts w:asciiTheme="majorHAnsi" w:hAnsiTheme="majorHAnsi" w:cs="Times New Roman"/>
          <w:b/>
          <w:color w:val="4F81BD" w:themeColor="accent1"/>
        </w:rPr>
        <w:t xml:space="preserve"> and peace processes</w:t>
      </w:r>
      <w:r w:rsidR="00367518" w:rsidRPr="001222F4">
        <w:rPr>
          <w:rFonts w:asciiTheme="majorHAnsi" w:hAnsiTheme="majorHAnsi" w:cs="Times New Roman"/>
          <w:b/>
          <w:color w:val="4F81BD" w:themeColor="accent1"/>
        </w:rPr>
        <w:t xml:space="preserve"> </w:t>
      </w:r>
      <w:r w:rsidRPr="001222F4">
        <w:rPr>
          <w:rFonts w:asciiTheme="majorHAnsi" w:hAnsiTheme="majorHAnsi" w:cs="Times New Roman"/>
        </w:rPr>
        <w:t xml:space="preserve">in the DRC </w:t>
      </w:r>
      <w:r w:rsidR="00E43E93" w:rsidRPr="001222F4">
        <w:rPr>
          <w:rFonts w:asciiTheme="majorHAnsi" w:hAnsiTheme="majorHAnsi" w:cs="Times New Roman"/>
        </w:rPr>
        <w:t>remains low</w:t>
      </w:r>
      <w:r w:rsidRPr="001222F4">
        <w:rPr>
          <w:rFonts w:asciiTheme="majorHAnsi" w:hAnsiTheme="majorHAnsi" w:cs="Times New Roman"/>
        </w:rPr>
        <w:t xml:space="preserve">. </w:t>
      </w:r>
      <w:r w:rsidR="00367518" w:rsidRPr="001222F4">
        <w:rPr>
          <w:rFonts w:asciiTheme="majorHAnsi" w:hAnsiTheme="majorHAnsi" w:cs="Times New Roman"/>
        </w:rPr>
        <w:t xml:space="preserve"> </w:t>
      </w:r>
      <w:r w:rsidRPr="001222F4">
        <w:rPr>
          <w:rFonts w:asciiTheme="majorHAnsi" w:hAnsiTheme="majorHAnsi" w:cs="Times New Roman"/>
        </w:rPr>
        <w:t>The Global Network of Wo</w:t>
      </w:r>
      <w:r w:rsidR="00E43E93" w:rsidRPr="001222F4">
        <w:rPr>
          <w:rFonts w:asciiTheme="majorHAnsi" w:hAnsiTheme="majorHAnsi" w:cs="Times New Roman"/>
        </w:rPr>
        <w:t xml:space="preserve">men </w:t>
      </w:r>
      <w:r w:rsidR="001222F4">
        <w:rPr>
          <w:rFonts w:asciiTheme="majorHAnsi" w:hAnsiTheme="majorHAnsi" w:cs="Times New Roman"/>
        </w:rPr>
        <w:t>Peace</w:t>
      </w:r>
      <w:r w:rsidR="00517287" w:rsidRPr="001222F4">
        <w:rPr>
          <w:rFonts w:asciiTheme="majorHAnsi" w:hAnsiTheme="majorHAnsi" w:cs="Times New Roman"/>
        </w:rPr>
        <w:t>builders</w:t>
      </w:r>
      <w:r w:rsidR="00E43E93" w:rsidRPr="001222F4">
        <w:rPr>
          <w:rFonts w:asciiTheme="majorHAnsi" w:hAnsiTheme="majorHAnsi" w:cs="Times New Roman"/>
        </w:rPr>
        <w:t xml:space="preserve"> links </w:t>
      </w:r>
      <w:r w:rsidRPr="001222F4">
        <w:rPr>
          <w:rFonts w:asciiTheme="majorHAnsi" w:hAnsiTheme="majorHAnsi" w:cs="Times New Roman"/>
        </w:rPr>
        <w:t>women’s</w:t>
      </w:r>
      <w:r w:rsidR="00E43E93" w:rsidRPr="001222F4">
        <w:rPr>
          <w:rFonts w:asciiTheme="majorHAnsi" w:hAnsiTheme="majorHAnsi" w:cs="Times New Roman"/>
        </w:rPr>
        <w:t xml:space="preserve"> insufficient</w:t>
      </w:r>
      <w:r w:rsidRPr="001222F4">
        <w:rPr>
          <w:rFonts w:asciiTheme="majorHAnsi" w:hAnsiTheme="majorHAnsi" w:cs="Times New Roman"/>
        </w:rPr>
        <w:t xml:space="preserve"> political </w:t>
      </w:r>
      <w:r w:rsidR="00E43E93" w:rsidRPr="001222F4">
        <w:rPr>
          <w:rFonts w:asciiTheme="majorHAnsi" w:hAnsiTheme="majorHAnsi" w:cs="Times New Roman"/>
        </w:rPr>
        <w:t>participation</w:t>
      </w:r>
      <w:r w:rsidRPr="001222F4">
        <w:rPr>
          <w:rFonts w:asciiTheme="majorHAnsi" w:hAnsiTheme="majorHAnsi" w:cs="Times New Roman"/>
        </w:rPr>
        <w:t xml:space="preserve"> to a lack of political will by the government to include women, as well as female illiteracy, cultural burdens, and a “weak political culture of women candidates and voters</w:t>
      </w:r>
      <w:r w:rsidRPr="001222F4">
        <w:rPr>
          <w:rFonts w:asciiTheme="majorHAnsi" w:hAnsiTheme="majorHAnsi" w:cs="Times New Roman"/>
          <w:lang w:val="en-US"/>
        </w:rPr>
        <w:t>”.</w:t>
      </w:r>
      <w:r w:rsidRPr="001222F4">
        <w:rPr>
          <w:rStyle w:val="FootnoteReference"/>
          <w:rFonts w:asciiTheme="majorHAnsi" w:hAnsiTheme="majorHAnsi" w:cs="Times New Roman"/>
          <w:lang w:val="en-US"/>
        </w:rPr>
        <w:footnoteReference w:id="143"/>
      </w:r>
    </w:p>
    <w:p w14:paraId="14988C62" w14:textId="77777777" w:rsidR="00310376" w:rsidRPr="001222F4" w:rsidRDefault="00310376" w:rsidP="00367518">
      <w:pPr>
        <w:jc w:val="both"/>
        <w:rPr>
          <w:rFonts w:asciiTheme="majorHAnsi" w:hAnsiTheme="majorHAnsi" w:cs="Times New Roman"/>
        </w:rPr>
      </w:pPr>
    </w:p>
    <w:p w14:paraId="06E2C9A3" w14:textId="480EBE58" w:rsidR="00367518" w:rsidRPr="001222F4" w:rsidRDefault="00F41315" w:rsidP="004D0432">
      <w:pPr>
        <w:spacing w:line="360" w:lineRule="auto"/>
        <w:jc w:val="both"/>
        <w:rPr>
          <w:rFonts w:asciiTheme="majorHAnsi" w:hAnsiTheme="majorHAnsi" w:cs="Times New Roman"/>
        </w:rPr>
      </w:pPr>
      <w:r w:rsidRPr="001222F4">
        <w:rPr>
          <w:rFonts w:asciiTheme="majorHAnsi" w:hAnsiTheme="majorHAnsi" w:cs="Times New Roman"/>
        </w:rPr>
        <w:lastRenderedPageBreak/>
        <w:t xml:space="preserve">Women’s low </w:t>
      </w:r>
      <w:r w:rsidR="00B53EA1" w:rsidRPr="001222F4">
        <w:rPr>
          <w:rFonts w:asciiTheme="majorHAnsi" w:hAnsiTheme="majorHAnsi" w:cs="Times New Roman"/>
        </w:rPr>
        <w:t>level of engagement in politics</w:t>
      </w:r>
      <w:r w:rsidRPr="001222F4">
        <w:rPr>
          <w:rFonts w:asciiTheme="majorHAnsi" w:hAnsiTheme="majorHAnsi" w:cs="Times New Roman"/>
        </w:rPr>
        <w:t xml:space="preserve"> is evident in all aspects of public life in the DRC. </w:t>
      </w:r>
      <w:r w:rsidR="00367518" w:rsidRPr="001222F4">
        <w:rPr>
          <w:rFonts w:asciiTheme="majorHAnsi" w:hAnsiTheme="majorHAnsi" w:cs="Times New Roman"/>
        </w:rPr>
        <w:t>There is no quota for women in parliament.</w:t>
      </w:r>
      <w:r w:rsidR="00367518" w:rsidRPr="001222F4">
        <w:rPr>
          <w:rStyle w:val="FootnoteReference"/>
          <w:rFonts w:asciiTheme="majorHAnsi" w:hAnsiTheme="majorHAnsi" w:cs="Times New Roman"/>
        </w:rPr>
        <w:footnoteReference w:id="144"/>
      </w:r>
      <w:r w:rsidR="00367518" w:rsidRPr="001222F4">
        <w:rPr>
          <w:rFonts w:asciiTheme="majorHAnsi" w:hAnsiTheme="majorHAnsi" w:cs="Times New Roman"/>
        </w:rPr>
        <w:t xml:space="preserve"> Women </w:t>
      </w:r>
      <w:r w:rsidR="002F1AA6" w:rsidRPr="001222F4">
        <w:rPr>
          <w:rFonts w:asciiTheme="majorHAnsi" w:hAnsiTheme="majorHAnsi" w:cs="Times New Roman"/>
        </w:rPr>
        <w:t>represent 5.5% of the senate, 10.4% of the National Assembly and 14% of cabinet appointments</w:t>
      </w:r>
      <w:r w:rsidR="00367518" w:rsidRPr="001222F4">
        <w:rPr>
          <w:rFonts w:asciiTheme="majorHAnsi" w:hAnsiTheme="majorHAnsi" w:cs="Times New Roman"/>
        </w:rPr>
        <w:t>.</w:t>
      </w:r>
      <w:r w:rsidR="00367518" w:rsidRPr="001222F4">
        <w:rPr>
          <w:rStyle w:val="FootnoteReference"/>
          <w:rFonts w:asciiTheme="majorHAnsi" w:hAnsiTheme="majorHAnsi" w:cs="Times New Roman"/>
        </w:rPr>
        <w:footnoteReference w:id="145"/>
      </w:r>
      <w:r w:rsidR="00367518" w:rsidRPr="001222F4">
        <w:rPr>
          <w:rFonts w:asciiTheme="majorHAnsi" w:hAnsiTheme="majorHAnsi" w:cs="Times New Roman"/>
        </w:rPr>
        <w:t xml:space="preserve"> Gender representation is even lower at the provincial level, with </w:t>
      </w:r>
      <w:r w:rsidR="00437A38" w:rsidRPr="001222F4">
        <w:rPr>
          <w:rFonts w:asciiTheme="majorHAnsi" w:hAnsiTheme="majorHAnsi" w:cs="Times New Roman"/>
        </w:rPr>
        <w:t>9</w:t>
      </w:r>
      <w:r w:rsidR="00367518" w:rsidRPr="001222F4">
        <w:rPr>
          <w:rFonts w:asciiTheme="majorHAnsi" w:hAnsiTheme="majorHAnsi" w:cs="Times New Roman"/>
        </w:rPr>
        <w:t>% of parliamentarians being women (61 of 618 seats), and only 7 women in cabinet across all provinces covering the east of the country.</w:t>
      </w:r>
      <w:r w:rsidR="00367518" w:rsidRPr="001222F4">
        <w:rPr>
          <w:rStyle w:val="FootnoteReference"/>
          <w:rFonts w:asciiTheme="majorHAnsi" w:hAnsiTheme="majorHAnsi" w:cs="Times New Roman"/>
        </w:rPr>
        <w:footnoteReference w:id="146"/>
      </w:r>
      <w:r w:rsidR="00367518" w:rsidRPr="001222F4">
        <w:rPr>
          <w:rFonts w:asciiTheme="majorHAnsi" w:hAnsiTheme="majorHAnsi" w:cs="Times New Roman"/>
        </w:rPr>
        <w:t xml:space="preserve"> The country is taking steps to increasing participation, and the representation of women in appointed positions is higher than in elected positions.</w:t>
      </w:r>
      <w:r w:rsidR="00367518" w:rsidRPr="001222F4">
        <w:rPr>
          <w:rStyle w:val="FootnoteReference"/>
          <w:rFonts w:asciiTheme="majorHAnsi" w:hAnsiTheme="majorHAnsi" w:cs="Times New Roman"/>
        </w:rPr>
        <w:footnoteReference w:id="147"/>
      </w:r>
      <w:r w:rsidR="00367518" w:rsidRPr="001222F4">
        <w:rPr>
          <w:rFonts w:asciiTheme="majorHAnsi" w:hAnsiTheme="majorHAnsi" w:cs="Times New Roman"/>
        </w:rPr>
        <w:t xml:space="preserve"> Women’s involvement in the justice and security sector is better, but still low. The number of female judges and prosecutors, at all levels, increased in 2013 to </w:t>
      </w:r>
      <w:r w:rsidR="00437A38" w:rsidRPr="001222F4">
        <w:rPr>
          <w:rFonts w:asciiTheme="majorHAnsi" w:hAnsiTheme="majorHAnsi" w:cs="Times New Roman"/>
        </w:rPr>
        <w:t>20</w:t>
      </w:r>
      <w:r w:rsidR="00367518" w:rsidRPr="001222F4">
        <w:rPr>
          <w:rFonts w:asciiTheme="majorHAnsi" w:hAnsiTheme="majorHAnsi" w:cs="Times New Roman"/>
        </w:rPr>
        <w:t xml:space="preserve">% from </w:t>
      </w:r>
      <w:r w:rsidR="00437A38" w:rsidRPr="001222F4">
        <w:rPr>
          <w:rFonts w:asciiTheme="majorHAnsi" w:hAnsiTheme="majorHAnsi" w:cs="Times New Roman"/>
        </w:rPr>
        <w:t>17</w:t>
      </w:r>
      <w:r w:rsidR="00367518" w:rsidRPr="001222F4">
        <w:rPr>
          <w:rFonts w:asciiTheme="majorHAnsi" w:hAnsiTheme="majorHAnsi" w:cs="Times New Roman"/>
        </w:rPr>
        <w:t>% in 2012.</w:t>
      </w:r>
      <w:r w:rsidR="00367518" w:rsidRPr="001222F4">
        <w:rPr>
          <w:rStyle w:val="FootnoteReference"/>
          <w:rFonts w:asciiTheme="majorHAnsi" w:hAnsiTheme="majorHAnsi" w:cs="Times New Roman"/>
        </w:rPr>
        <w:footnoteReference w:id="148"/>
      </w:r>
      <w:r w:rsidR="00367518" w:rsidRPr="001222F4">
        <w:rPr>
          <w:rFonts w:asciiTheme="majorHAnsi" w:hAnsiTheme="majorHAnsi" w:cs="Times New Roman"/>
        </w:rPr>
        <w:t xml:space="preserve"> In policing, this percentage drops to 5.6%.</w:t>
      </w:r>
      <w:r w:rsidR="00367518" w:rsidRPr="001222F4">
        <w:rPr>
          <w:rStyle w:val="FootnoteReference"/>
          <w:rFonts w:asciiTheme="majorHAnsi" w:hAnsiTheme="majorHAnsi" w:cs="Times New Roman"/>
        </w:rPr>
        <w:footnoteReference w:id="149"/>
      </w:r>
      <w:r w:rsidR="00E43E93" w:rsidRPr="001222F4">
        <w:rPr>
          <w:rFonts w:asciiTheme="majorHAnsi" w:hAnsiTheme="majorHAnsi" w:cs="Times New Roman"/>
        </w:rPr>
        <w:t xml:space="preserve"> Military statistics are even lower, with women representing 2-3% of all levels of the military.</w:t>
      </w:r>
      <w:r w:rsidR="00E43E93" w:rsidRPr="001222F4">
        <w:rPr>
          <w:rStyle w:val="FootnoteReference"/>
          <w:rFonts w:asciiTheme="majorHAnsi" w:hAnsiTheme="majorHAnsi" w:cs="Times New Roman"/>
        </w:rPr>
        <w:footnoteReference w:id="150"/>
      </w:r>
      <w:r w:rsidR="00E43E93" w:rsidRPr="001222F4">
        <w:rPr>
          <w:rFonts w:asciiTheme="majorHAnsi" w:hAnsiTheme="majorHAnsi" w:cs="Times New Roman"/>
        </w:rPr>
        <w:t xml:space="preserve"> </w:t>
      </w:r>
    </w:p>
    <w:p w14:paraId="455E1B33" w14:textId="77777777" w:rsidR="00367518" w:rsidRPr="001222F4" w:rsidRDefault="00367518" w:rsidP="00367518">
      <w:pPr>
        <w:jc w:val="both"/>
        <w:rPr>
          <w:rFonts w:asciiTheme="majorHAnsi" w:hAnsiTheme="majorHAnsi" w:cs="Times New Roman"/>
        </w:rPr>
      </w:pPr>
    </w:p>
    <w:p w14:paraId="46465B14" w14:textId="2CAEF6EE" w:rsidR="00367518" w:rsidRPr="001222F4" w:rsidRDefault="00367518" w:rsidP="004D0432">
      <w:pPr>
        <w:spacing w:line="360" w:lineRule="auto"/>
        <w:jc w:val="both"/>
        <w:rPr>
          <w:rFonts w:asciiTheme="majorHAnsi" w:hAnsiTheme="majorHAnsi" w:cs="Times New Roman"/>
        </w:rPr>
      </w:pPr>
      <w:r w:rsidRPr="001222F4">
        <w:rPr>
          <w:rFonts w:asciiTheme="majorHAnsi" w:hAnsiTheme="majorHAnsi" w:cs="Times New Roman"/>
        </w:rPr>
        <w:t xml:space="preserve">Very few women have been involved in </w:t>
      </w:r>
      <w:r w:rsidRPr="001222F4">
        <w:rPr>
          <w:rFonts w:asciiTheme="majorHAnsi" w:hAnsiTheme="majorHAnsi" w:cs="Times New Roman"/>
          <w:b/>
          <w:color w:val="4F81BD" w:themeColor="accent1"/>
        </w:rPr>
        <w:t>peace negotiations</w:t>
      </w:r>
      <w:r w:rsidRPr="001222F4">
        <w:rPr>
          <w:rFonts w:asciiTheme="majorHAnsi" w:hAnsiTheme="majorHAnsi" w:cs="Times New Roman"/>
        </w:rPr>
        <w:t>. Most recently, no women were included in delegations during talks in Addis Ababa in February 2013, and during the Kampala Negotiations, only four women participated during all three rounds.</w:t>
      </w:r>
      <w:r w:rsidRPr="001222F4">
        <w:rPr>
          <w:rStyle w:val="FootnoteReference"/>
          <w:rFonts w:asciiTheme="majorHAnsi" w:hAnsiTheme="majorHAnsi" w:cs="Times New Roman"/>
        </w:rPr>
        <w:footnoteReference w:id="151"/>
      </w:r>
      <w:r w:rsidRPr="001222F4">
        <w:rPr>
          <w:rFonts w:asciiTheme="majorHAnsi" w:hAnsiTheme="majorHAnsi" w:cs="Times New Roman"/>
        </w:rPr>
        <w:t xml:space="preserve"> Despite their low numbers, female delegates played an important role in the Sun City negotiations to include gender equality and women’s rights in the final document.</w:t>
      </w:r>
      <w:r w:rsidRPr="001222F4">
        <w:rPr>
          <w:rStyle w:val="FootnoteReference"/>
          <w:rFonts w:asciiTheme="majorHAnsi" w:hAnsiTheme="majorHAnsi" w:cs="Times New Roman"/>
        </w:rPr>
        <w:footnoteReference w:id="152"/>
      </w:r>
      <w:r w:rsidRPr="001222F4">
        <w:rPr>
          <w:rFonts w:asciiTheme="majorHAnsi" w:hAnsiTheme="majorHAnsi" w:cs="Times New Roman"/>
        </w:rPr>
        <w:t xml:space="preserve"> </w:t>
      </w:r>
    </w:p>
    <w:p w14:paraId="3DBBBBC5" w14:textId="77777777" w:rsidR="00367518" w:rsidRPr="001222F4" w:rsidRDefault="00367518" w:rsidP="005C68CA">
      <w:pPr>
        <w:jc w:val="both"/>
        <w:rPr>
          <w:rFonts w:asciiTheme="majorHAnsi" w:hAnsiTheme="majorHAnsi" w:cs="Times New Roman"/>
          <w:color w:val="000000"/>
          <w:lang w:val="en-US"/>
        </w:rPr>
      </w:pPr>
    </w:p>
    <w:p w14:paraId="5FAF0D28" w14:textId="5D313750" w:rsidR="00AE5A75" w:rsidRPr="001222F4" w:rsidRDefault="005C68CA" w:rsidP="004D0432">
      <w:pPr>
        <w:spacing w:line="360" w:lineRule="auto"/>
        <w:jc w:val="both"/>
        <w:rPr>
          <w:rFonts w:asciiTheme="majorHAnsi" w:hAnsiTheme="majorHAnsi" w:cs="Times New Roman"/>
        </w:rPr>
      </w:pPr>
      <w:r w:rsidRPr="001222F4">
        <w:rPr>
          <w:rFonts w:asciiTheme="majorHAnsi" w:hAnsiTheme="majorHAnsi" w:cs="Times New Roman"/>
        </w:rPr>
        <w:t xml:space="preserve">The three levels of </w:t>
      </w:r>
      <w:r w:rsidR="003F5D03" w:rsidRPr="001222F4">
        <w:rPr>
          <w:rFonts w:asciiTheme="majorHAnsi" w:hAnsiTheme="majorHAnsi" w:cs="Times New Roman"/>
        </w:rPr>
        <w:t xml:space="preserve">the NAP’s </w:t>
      </w:r>
      <w:r w:rsidRPr="001222F4">
        <w:rPr>
          <w:rFonts w:asciiTheme="majorHAnsi" w:hAnsiTheme="majorHAnsi" w:cs="Times New Roman"/>
        </w:rPr>
        <w:t>Steering Committees</w:t>
      </w:r>
      <w:r w:rsidR="00F816E3" w:rsidRPr="001222F4">
        <w:rPr>
          <w:rFonts w:asciiTheme="majorHAnsi" w:hAnsiTheme="majorHAnsi" w:cs="Times New Roman"/>
        </w:rPr>
        <w:t xml:space="preserve"> </w:t>
      </w:r>
      <w:r w:rsidRPr="001222F4">
        <w:rPr>
          <w:rFonts w:asciiTheme="majorHAnsi" w:hAnsiTheme="majorHAnsi" w:cs="Times New Roman"/>
        </w:rPr>
        <w:t>do not appear to be operational. The National Steering Committee remained non-functioning until June 2013.</w:t>
      </w:r>
      <w:r w:rsidRPr="001222F4">
        <w:rPr>
          <w:rStyle w:val="FootnoteReference"/>
          <w:rFonts w:asciiTheme="majorHAnsi" w:hAnsiTheme="majorHAnsi" w:cs="Times New Roman"/>
        </w:rPr>
        <w:footnoteReference w:id="153"/>
      </w:r>
      <w:r w:rsidRPr="001222F4">
        <w:rPr>
          <w:rFonts w:asciiTheme="majorHAnsi" w:hAnsiTheme="majorHAnsi" w:cs="Times New Roman"/>
        </w:rPr>
        <w:t xml:space="preserve"> On 15 June 2013, the Minister for Gender, Family and Children issued a ministerial order regarding Steering Committees. The order reduced the number of civil society organisations involved in the National Steering Committee from 16% to 10%, and also established a Trust Fund.</w:t>
      </w:r>
      <w:r w:rsidRPr="001222F4">
        <w:rPr>
          <w:rStyle w:val="FootnoteReference"/>
          <w:rFonts w:asciiTheme="majorHAnsi" w:hAnsiTheme="majorHAnsi" w:cs="Times New Roman"/>
        </w:rPr>
        <w:footnoteReference w:id="154"/>
      </w:r>
      <w:r w:rsidRPr="001222F4">
        <w:rPr>
          <w:rFonts w:asciiTheme="majorHAnsi" w:hAnsiTheme="majorHAnsi" w:cs="Times New Roman"/>
        </w:rPr>
        <w:t xml:space="preserve"> The Trust Fund is now under the administration of UN Women.</w:t>
      </w:r>
      <w:r w:rsidRPr="001222F4">
        <w:rPr>
          <w:rStyle w:val="FootnoteReference"/>
          <w:rFonts w:asciiTheme="majorHAnsi" w:hAnsiTheme="majorHAnsi" w:cs="Times New Roman"/>
        </w:rPr>
        <w:footnoteReference w:id="155"/>
      </w:r>
      <w:r w:rsidRPr="001222F4">
        <w:rPr>
          <w:rFonts w:asciiTheme="majorHAnsi" w:hAnsiTheme="majorHAnsi" w:cs="Times New Roman"/>
        </w:rPr>
        <w:t xml:space="preserve"> The NAP made provision for biennial review of implementation but there does not appear to have been </w:t>
      </w:r>
      <w:r w:rsidR="003F5D03" w:rsidRPr="001222F4">
        <w:rPr>
          <w:rFonts w:asciiTheme="majorHAnsi" w:hAnsiTheme="majorHAnsi" w:cs="Times New Roman"/>
        </w:rPr>
        <w:t>such a review undertaken by the central g</w:t>
      </w:r>
      <w:r w:rsidRPr="001222F4">
        <w:rPr>
          <w:rFonts w:asciiTheme="majorHAnsi" w:hAnsiTheme="majorHAnsi" w:cs="Times New Roman"/>
        </w:rPr>
        <w:t>overnment to date.</w:t>
      </w:r>
      <w:r w:rsidR="00E43E93" w:rsidRPr="001222F4">
        <w:rPr>
          <w:rFonts w:asciiTheme="majorHAnsi" w:hAnsiTheme="majorHAnsi" w:cs="Times New Roman"/>
        </w:rPr>
        <w:t xml:space="preserve"> The reduction of civil society involvement</w:t>
      </w:r>
      <w:r w:rsidR="003F5D03" w:rsidRPr="001222F4">
        <w:rPr>
          <w:rFonts w:asciiTheme="majorHAnsi" w:hAnsiTheme="majorHAnsi" w:cs="Times New Roman"/>
        </w:rPr>
        <w:t xml:space="preserve"> in the ministerial order has</w:t>
      </w:r>
      <w:r w:rsidR="00E43E93" w:rsidRPr="001222F4">
        <w:rPr>
          <w:rFonts w:asciiTheme="majorHAnsi" w:hAnsiTheme="majorHAnsi" w:cs="Times New Roman"/>
        </w:rPr>
        <w:t xml:space="preserve"> also limited the possibility for women’s participation in implementing the NAP at the national level. </w:t>
      </w:r>
    </w:p>
    <w:p w14:paraId="7D361DC3" w14:textId="77777777" w:rsidR="00F41315" w:rsidRPr="001222F4" w:rsidRDefault="00F41315" w:rsidP="005C68CA">
      <w:pPr>
        <w:jc w:val="both"/>
        <w:rPr>
          <w:rFonts w:asciiTheme="majorHAnsi" w:hAnsiTheme="majorHAnsi" w:cs="Times New Roman"/>
        </w:rPr>
      </w:pPr>
    </w:p>
    <w:p w14:paraId="22BB5D70" w14:textId="2E4D8CEE" w:rsidR="00F41315" w:rsidRPr="001222F4" w:rsidRDefault="00F41315" w:rsidP="004D0432">
      <w:pPr>
        <w:spacing w:line="360" w:lineRule="auto"/>
        <w:jc w:val="both"/>
        <w:rPr>
          <w:rFonts w:asciiTheme="majorHAnsi" w:hAnsiTheme="majorHAnsi" w:cs="Times New Roman"/>
        </w:rPr>
      </w:pPr>
      <w:r w:rsidRPr="001222F4">
        <w:rPr>
          <w:rFonts w:asciiTheme="majorHAnsi" w:hAnsiTheme="majorHAnsi" w:cs="Times New Roman"/>
        </w:rPr>
        <w:lastRenderedPageBreak/>
        <w:t xml:space="preserve">The Government’s </w:t>
      </w:r>
      <w:r w:rsidRPr="001222F4">
        <w:rPr>
          <w:rFonts w:asciiTheme="majorHAnsi" w:hAnsiTheme="majorHAnsi" w:cs="Times New Roman"/>
          <w:b/>
          <w:color w:val="4F81BD" w:themeColor="accent1"/>
        </w:rPr>
        <w:t>obligations under the legal framework</w:t>
      </w:r>
      <w:r w:rsidRPr="001222F4">
        <w:rPr>
          <w:rFonts w:asciiTheme="majorHAnsi" w:hAnsiTheme="majorHAnsi" w:cs="Times New Roman"/>
        </w:rPr>
        <w:t xml:space="preserve">, while referenced in the text of the NAP, are insufficiently addressed in its </w:t>
      </w:r>
      <w:r w:rsidRPr="001222F4">
        <w:rPr>
          <w:rFonts w:asciiTheme="majorHAnsi" w:hAnsiTheme="majorHAnsi" w:cs="Times New Roman"/>
          <w:b/>
          <w:color w:val="4F81BD" w:themeColor="accent1"/>
        </w:rPr>
        <w:t>content</w:t>
      </w:r>
      <w:r w:rsidRPr="001222F4">
        <w:rPr>
          <w:rFonts w:asciiTheme="majorHAnsi" w:hAnsiTheme="majorHAnsi" w:cs="Times New Roman"/>
        </w:rPr>
        <w:t xml:space="preserve"> and </w:t>
      </w:r>
      <w:r w:rsidRPr="001222F4">
        <w:rPr>
          <w:rFonts w:asciiTheme="majorHAnsi" w:hAnsiTheme="majorHAnsi" w:cs="Times New Roman"/>
          <w:b/>
          <w:color w:val="4F81BD" w:themeColor="accent1"/>
        </w:rPr>
        <w:t>implementation</w:t>
      </w:r>
      <w:r w:rsidRPr="001222F4">
        <w:rPr>
          <w:rFonts w:asciiTheme="majorHAnsi" w:hAnsiTheme="majorHAnsi" w:cs="Times New Roman"/>
        </w:rPr>
        <w:t>.  The NAP appears</w:t>
      </w:r>
      <w:r w:rsidR="00517287" w:rsidRPr="001222F4">
        <w:rPr>
          <w:rFonts w:asciiTheme="majorHAnsi" w:hAnsiTheme="majorHAnsi" w:cs="Times New Roman"/>
        </w:rPr>
        <w:t xml:space="preserve"> to have been designed via a</w:t>
      </w:r>
      <w:r w:rsidRPr="001222F4">
        <w:rPr>
          <w:rFonts w:asciiTheme="majorHAnsi" w:hAnsiTheme="majorHAnsi" w:cs="Times New Roman"/>
        </w:rPr>
        <w:t xml:space="preserve"> participatory process that was led by the national women’s ministry. However this inclusive approach has not been followed through in the rest of the NAP process. This is evident in women’s low level of participation in implementing, monitoring and evaluating the NAP, as well as the lack of women’s inclusion more broadly in public life and peace processes. </w:t>
      </w:r>
    </w:p>
    <w:p w14:paraId="08FC6277" w14:textId="77777777" w:rsidR="00F41315" w:rsidRPr="001222F4" w:rsidRDefault="00F41315" w:rsidP="00F41315">
      <w:pPr>
        <w:jc w:val="both"/>
        <w:rPr>
          <w:rFonts w:asciiTheme="majorHAnsi" w:hAnsiTheme="majorHAnsi" w:cs="Arial"/>
          <w:b/>
          <w:lang w:val="en-US"/>
        </w:rPr>
      </w:pPr>
    </w:p>
    <w:p w14:paraId="555A1B5D" w14:textId="77777777" w:rsidR="00F41315" w:rsidRPr="001222F4" w:rsidRDefault="00F41315" w:rsidP="004D0432">
      <w:pPr>
        <w:spacing w:line="360" w:lineRule="auto"/>
        <w:jc w:val="both"/>
        <w:rPr>
          <w:rFonts w:asciiTheme="majorHAnsi" w:hAnsiTheme="majorHAnsi" w:cs="Times New Roman"/>
          <w:b/>
        </w:rPr>
      </w:pPr>
      <w:r w:rsidRPr="001222F4">
        <w:rPr>
          <w:rFonts w:asciiTheme="majorHAnsi" w:hAnsiTheme="majorHAnsi" w:cs="Times New Roman"/>
        </w:rPr>
        <w:t>As a whole, the</w:t>
      </w:r>
      <w:r w:rsidRPr="001222F4">
        <w:rPr>
          <w:rFonts w:asciiTheme="majorHAnsi" w:hAnsiTheme="majorHAnsi" w:cs="Times New Roman"/>
          <w:b/>
        </w:rPr>
        <w:t xml:space="preserve"> </w:t>
      </w:r>
      <w:r w:rsidRPr="001222F4">
        <w:rPr>
          <w:rFonts w:asciiTheme="majorHAnsi" w:hAnsiTheme="majorHAnsi" w:cs="Times New Roman"/>
          <w:b/>
          <w:color w:val="4F81BD" w:themeColor="accent1"/>
        </w:rPr>
        <w:t>NAP</w:t>
      </w:r>
      <w:r w:rsidRPr="001222F4">
        <w:rPr>
          <w:rFonts w:asciiTheme="majorHAnsi" w:hAnsiTheme="majorHAnsi" w:cs="Times New Roman"/>
          <w:color w:val="4F81BD" w:themeColor="accent1"/>
        </w:rPr>
        <w:t xml:space="preserve"> </w:t>
      </w:r>
      <w:r w:rsidRPr="001222F4">
        <w:rPr>
          <w:rFonts w:asciiTheme="majorHAnsi" w:hAnsiTheme="majorHAnsi" w:cs="Times New Roman"/>
          <w:b/>
          <w:color w:val="4F81BD" w:themeColor="accent1"/>
        </w:rPr>
        <w:t>lacks specificity in its content</w:t>
      </w:r>
      <w:r w:rsidRPr="001222F4">
        <w:rPr>
          <w:rFonts w:asciiTheme="majorHAnsi" w:hAnsiTheme="majorHAnsi" w:cs="Times New Roman"/>
        </w:rPr>
        <w:t>.</w:t>
      </w:r>
      <w:r w:rsidRPr="001222F4">
        <w:rPr>
          <w:rStyle w:val="FootnoteReference"/>
          <w:rFonts w:asciiTheme="majorHAnsi" w:hAnsiTheme="majorHAnsi" w:cs="Times New Roman"/>
        </w:rPr>
        <w:footnoteReference w:id="156"/>
      </w:r>
      <w:r w:rsidRPr="001222F4">
        <w:rPr>
          <w:rFonts w:asciiTheme="majorHAnsi" w:hAnsiTheme="majorHAnsi" w:cs="Times New Roman"/>
        </w:rPr>
        <w:t xml:space="preserve"> Whilst the areas of priority are listed, the remainder of the document does not provide for mechanisms to achieve those goals other than the establishment of Steering Committees. Much of the document discusses the achievements of the government of the DRC to date, and acknowledges the disproportionate effect of conflict on women. A number of ‘opportunities’ are then presented, but it is not clear as to whether they are areas for improvement, and whether they are to form part of the implementation of the NAP.  </w:t>
      </w:r>
    </w:p>
    <w:p w14:paraId="7CD89819" w14:textId="77777777" w:rsidR="00F41315" w:rsidRPr="001222F4" w:rsidRDefault="00F41315" w:rsidP="00F41315">
      <w:pPr>
        <w:jc w:val="both"/>
        <w:rPr>
          <w:rFonts w:asciiTheme="majorHAnsi" w:hAnsiTheme="majorHAnsi" w:cs="Times New Roman"/>
        </w:rPr>
      </w:pPr>
    </w:p>
    <w:p w14:paraId="2020BB3A" w14:textId="2DB852DA" w:rsidR="00F41315" w:rsidRPr="001222F4" w:rsidRDefault="00F41315" w:rsidP="004D0432">
      <w:pPr>
        <w:spacing w:line="360" w:lineRule="auto"/>
        <w:jc w:val="both"/>
        <w:rPr>
          <w:rFonts w:asciiTheme="majorHAnsi" w:hAnsiTheme="majorHAnsi" w:cs="Times New Roman"/>
        </w:rPr>
      </w:pPr>
      <w:r w:rsidRPr="001222F4">
        <w:rPr>
          <w:rFonts w:asciiTheme="majorHAnsi" w:hAnsiTheme="majorHAnsi" w:cs="Times New Roman"/>
        </w:rPr>
        <w:t>Most significantly, the document fails to provide the following key information</w:t>
      </w:r>
      <w:r w:rsidR="00E265E2" w:rsidRPr="001222F4">
        <w:rPr>
          <w:rFonts w:asciiTheme="majorHAnsi" w:hAnsiTheme="majorHAnsi" w:cs="Times New Roman"/>
        </w:rPr>
        <w:t>:</w:t>
      </w:r>
      <w:r w:rsidRPr="001222F4">
        <w:rPr>
          <w:rStyle w:val="FootnoteReference"/>
          <w:rFonts w:asciiTheme="majorHAnsi" w:hAnsiTheme="majorHAnsi" w:cs="Times New Roman"/>
        </w:rPr>
        <w:footnoteReference w:id="157"/>
      </w:r>
      <w:r w:rsidRPr="001222F4">
        <w:rPr>
          <w:rFonts w:asciiTheme="majorHAnsi" w:hAnsiTheme="majorHAnsi" w:cs="Times New Roman"/>
        </w:rPr>
        <w:t xml:space="preserve"> (1) </w:t>
      </w:r>
      <w:r w:rsidR="00E37292" w:rsidRPr="001222F4">
        <w:rPr>
          <w:rFonts w:asciiTheme="majorHAnsi" w:hAnsiTheme="majorHAnsi" w:cs="Times New Roman"/>
        </w:rPr>
        <w:t>ti</w:t>
      </w:r>
      <w:r w:rsidRPr="001222F4">
        <w:rPr>
          <w:rFonts w:asciiTheme="majorHAnsi" w:hAnsiTheme="majorHAnsi" w:cs="Times New Roman"/>
        </w:rPr>
        <w:t xml:space="preserve">meline – none specified for implementation; (2) </w:t>
      </w:r>
      <w:r w:rsidR="00E37292" w:rsidRPr="001222F4">
        <w:rPr>
          <w:rFonts w:asciiTheme="majorHAnsi" w:hAnsiTheme="majorHAnsi" w:cs="Times New Roman"/>
        </w:rPr>
        <w:t>r</w:t>
      </w:r>
      <w:r w:rsidRPr="001222F4">
        <w:rPr>
          <w:rFonts w:asciiTheme="majorHAnsi" w:hAnsiTheme="majorHAnsi" w:cs="Times New Roman"/>
        </w:rPr>
        <w:t xml:space="preserve">oles – the NAP does not clarify which agencies will be responsible for implementation; (3) </w:t>
      </w:r>
      <w:r w:rsidR="00E37292" w:rsidRPr="001222F4">
        <w:rPr>
          <w:rFonts w:asciiTheme="majorHAnsi" w:hAnsiTheme="majorHAnsi" w:cs="Times New Roman"/>
        </w:rPr>
        <w:t>f</w:t>
      </w:r>
      <w:r w:rsidRPr="001222F4">
        <w:rPr>
          <w:rFonts w:asciiTheme="majorHAnsi" w:hAnsiTheme="majorHAnsi" w:cs="Times New Roman"/>
        </w:rPr>
        <w:t xml:space="preserve">inancial allocation – there is no mention of sources of funds for any of the implementation activities, nor for the Steering Committees; </w:t>
      </w:r>
      <w:r w:rsidR="00E37292" w:rsidRPr="001222F4">
        <w:rPr>
          <w:rFonts w:asciiTheme="majorHAnsi" w:hAnsiTheme="majorHAnsi" w:cs="Times New Roman"/>
        </w:rPr>
        <w:t xml:space="preserve">and </w:t>
      </w:r>
      <w:r w:rsidRPr="001222F4">
        <w:rPr>
          <w:rFonts w:asciiTheme="majorHAnsi" w:hAnsiTheme="majorHAnsi" w:cs="Times New Roman"/>
        </w:rPr>
        <w:t xml:space="preserve">(4) </w:t>
      </w:r>
      <w:r w:rsidR="00E37292" w:rsidRPr="001222F4">
        <w:rPr>
          <w:rFonts w:asciiTheme="majorHAnsi" w:hAnsiTheme="majorHAnsi" w:cs="Times New Roman"/>
        </w:rPr>
        <w:t>i</w:t>
      </w:r>
      <w:r w:rsidRPr="001222F4">
        <w:rPr>
          <w:rFonts w:asciiTheme="majorHAnsi" w:hAnsiTheme="majorHAnsi" w:cs="Times New Roman"/>
        </w:rPr>
        <w:t xml:space="preserve">ndicators – none specified in the monitoring and evaluation of implementation of the NAP. </w:t>
      </w:r>
    </w:p>
    <w:p w14:paraId="4229DCA6" w14:textId="72BCFAE1" w:rsidR="005C68CA" w:rsidRPr="001222F4" w:rsidRDefault="005C68CA" w:rsidP="005C68CA">
      <w:pPr>
        <w:widowControl w:val="0"/>
        <w:autoSpaceDE w:val="0"/>
        <w:autoSpaceDN w:val="0"/>
        <w:adjustRightInd w:val="0"/>
        <w:jc w:val="both"/>
        <w:rPr>
          <w:rFonts w:asciiTheme="majorHAnsi" w:hAnsiTheme="majorHAnsi" w:cs="Times New Roman"/>
          <w:lang w:val="en-US"/>
        </w:rPr>
      </w:pPr>
    </w:p>
    <w:p w14:paraId="5B029D27" w14:textId="5DEC1F71" w:rsidR="005C68CA" w:rsidRPr="001222F4" w:rsidRDefault="005C68CA" w:rsidP="005C68CA">
      <w:pPr>
        <w:jc w:val="both"/>
        <w:rPr>
          <w:rFonts w:asciiTheme="majorHAnsi" w:hAnsiTheme="majorHAnsi" w:cs="Times New Roman"/>
          <w:b/>
          <w:color w:val="1F497D" w:themeColor="text2"/>
          <w:u w:val="single"/>
        </w:rPr>
      </w:pPr>
      <w:r w:rsidRPr="001222F4">
        <w:rPr>
          <w:rFonts w:asciiTheme="majorHAnsi" w:hAnsiTheme="majorHAnsi" w:cs="Times New Roman"/>
          <w:b/>
          <w:color w:val="1F497D" w:themeColor="text2"/>
          <w:u w:val="single"/>
        </w:rPr>
        <w:t>Development Agencies and Civil Society</w:t>
      </w:r>
    </w:p>
    <w:p w14:paraId="05BB765D" w14:textId="77777777" w:rsidR="00F41315" w:rsidRPr="001222F4" w:rsidRDefault="00F41315" w:rsidP="00F41315">
      <w:pPr>
        <w:jc w:val="both"/>
        <w:rPr>
          <w:rFonts w:asciiTheme="majorHAnsi" w:hAnsiTheme="majorHAnsi"/>
        </w:rPr>
      </w:pPr>
    </w:p>
    <w:p w14:paraId="03B88E87" w14:textId="725057F0" w:rsidR="00F41315" w:rsidRPr="001222F4" w:rsidRDefault="00F41315" w:rsidP="004D0432">
      <w:pPr>
        <w:spacing w:line="360" w:lineRule="auto"/>
        <w:jc w:val="both"/>
        <w:rPr>
          <w:rFonts w:asciiTheme="majorHAnsi" w:hAnsiTheme="majorHAnsi" w:cs="Scala Offc"/>
          <w:color w:val="000000"/>
        </w:rPr>
      </w:pPr>
      <w:r w:rsidRPr="001222F4">
        <w:rPr>
          <w:rFonts w:asciiTheme="majorHAnsi" w:hAnsiTheme="majorHAnsi" w:cs="Scala Offc"/>
          <w:color w:val="000000"/>
        </w:rPr>
        <w:t xml:space="preserve">Efforts to implement the NAP have largely been the result of the work of civil society, including women’s </w:t>
      </w:r>
      <w:r w:rsidR="00E265E2" w:rsidRPr="001222F4">
        <w:rPr>
          <w:rFonts w:asciiTheme="majorHAnsi" w:hAnsiTheme="majorHAnsi" w:cs="Scala Offc"/>
          <w:color w:val="000000"/>
        </w:rPr>
        <w:t>organizations</w:t>
      </w:r>
      <w:r w:rsidRPr="001222F4">
        <w:rPr>
          <w:rFonts w:asciiTheme="majorHAnsi" w:hAnsiTheme="majorHAnsi" w:cs="Scala Offc"/>
          <w:color w:val="000000"/>
        </w:rPr>
        <w:t>, and not that of the government.</w:t>
      </w:r>
      <w:r w:rsidRPr="001222F4">
        <w:rPr>
          <w:rStyle w:val="FootnoteReference"/>
          <w:rFonts w:asciiTheme="majorHAnsi" w:hAnsiTheme="majorHAnsi" w:cs="Scala Offc"/>
          <w:color w:val="000000"/>
        </w:rPr>
        <w:footnoteReference w:id="158"/>
      </w:r>
      <w:r w:rsidRPr="001222F4">
        <w:rPr>
          <w:rFonts w:asciiTheme="majorHAnsi" w:hAnsiTheme="majorHAnsi" w:cs="Scala Offc"/>
          <w:color w:val="000000"/>
        </w:rPr>
        <w:t xml:space="preserve"> The government has exhibited a lack of political will to implement SCR 1325, as evidenced by the fact that the National Steering Committee was non-functioning for many years. In 2011, the Ministry of Gender, Family and Children reallocated funds that were earmarked for implementation of SCR 1325 to other areas of priority.</w:t>
      </w:r>
      <w:r w:rsidRPr="001222F4">
        <w:rPr>
          <w:rStyle w:val="FootnoteReference"/>
          <w:rFonts w:asciiTheme="majorHAnsi" w:hAnsiTheme="majorHAnsi" w:cs="Scala Offc"/>
          <w:color w:val="000000"/>
        </w:rPr>
        <w:footnoteReference w:id="159"/>
      </w:r>
      <w:r w:rsidRPr="001222F4">
        <w:rPr>
          <w:rStyle w:val="FootnoteReference"/>
          <w:rFonts w:asciiTheme="majorHAnsi" w:hAnsiTheme="majorHAnsi" w:cs="Scala Offc"/>
          <w:color w:val="000000"/>
        </w:rPr>
        <w:t xml:space="preserve"> </w:t>
      </w:r>
      <w:r w:rsidRPr="001222F4">
        <w:rPr>
          <w:rFonts w:asciiTheme="majorHAnsi" w:hAnsiTheme="majorHAnsi" w:cs="Scala Offc"/>
          <w:color w:val="000000"/>
        </w:rPr>
        <w:t xml:space="preserve">Such actions indicate that the women’s concerns are not a priority for the government of the DRC, and </w:t>
      </w:r>
      <w:r w:rsidR="00E265E2" w:rsidRPr="001222F4">
        <w:rPr>
          <w:rFonts w:asciiTheme="majorHAnsi" w:hAnsiTheme="majorHAnsi" w:cs="Scala Offc"/>
          <w:color w:val="000000"/>
        </w:rPr>
        <w:t xml:space="preserve">reflect </w:t>
      </w:r>
      <w:r w:rsidRPr="001222F4">
        <w:rPr>
          <w:rFonts w:asciiTheme="majorHAnsi" w:hAnsiTheme="majorHAnsi" w:cs="Scala Offc"/>
          <w:color w:val="000000"/>
        </w:rPr>
        <w:t>a misconception that women’s issues are separate from other concerns.</w:t>
      </w:r>
      <w:r w:rsidRPr="001222F4">
        <w:rPr>
          <w:rStyle w:val="FootnoteReference"/>
          <w:rFonts w:asciiTheme="majorHAnsi" w:hAnsiTheme="majorHAnsi" w:cs="Scala Offc"/>
          <w:color w:val="000000"/>
        </w:rPr>
        <w:footnoteReference w:id="160"/>
      </w:r>
    </w:p>
    <w:p w14:paraId="4EFAC745" w14:textId="77777777" w:rsidR="00F41315" w:rsidRPr="001222F4" w:rsidRDefault="00F41315" w:rsidP="00BE2A97">
      <w:pPr>
        <w:jc w:val="both"/>
        <w:rPr>
          <w:rFonts w:asciiTheme="majorHAnsi" w:hAnsiTheme="majorHAnsi"/>
        </w:rPr>
      </w:pPr>
    </w:p>
    <w:p w14:paraId="1F1F3F09" w14:textId="20E9CDA9" w:rsidR="00BE2A97" w:rsidRPr="001222F4" w:rsidRDefault="00BE2A97" w:rsidP="004D0432">
      <w:pPr>
        <w:spacing w:line="360" w:lineRule="auto"/>
        <w:jc w:val="both"/>
        <w:rPr>
          <w:rFonts w:asciiTheme="majorHAnsi" w:hAnsiTheme="majorHAnsi"/>
        </w:rPr>
      </w:pPr>
      <w:r w:rsidRPr="001222F4">
        <w:rPr>
          <w:rFonts w:asciiTheme="majorHAnsi" w:hAnsiTheme="majorHAnsi"/>
        </w:rPr>
        <w:lastRenderedPageBreak/>
        <w:t xml:space="preserve">The work of </w:t>
      </w:r>
      <w:r w:rsidR="00E265E2" w:rsidRPr="001222F4">
        <w:rPr>
          <w:rFonts w:asciiTheme="majorHAnsi" w:hAnsiTheme="majorHAnsi"/>
        </w:rPr>
        <w:t>NGOs</w:t>
      </w:r>
      <w:r w:rsidRPr="001222F4">
        <w:rPr>
          <w:rFonts w:asciiTheme="majorHAnsi" w:hAnsiTheme="majorHAnsi"/>
        </w:rPr>
        <w:t xml:space="preserve"> and development agencies has been crucial in assisting </w:t>
      </w:r>
      <w:r w:rsidR="00423A81" w:rsidRPr="001222F4">
        <w:rPr>
          <w:rFonts w:asciiTheme="majorHAnsi" w:hAnsiTheme="majorHAnsi"/>
        </w:rPr>
        <w:t>victims and</w:t>
      </w:r>
      <w:r w:rsidRPr="001222F4">
        <w:rPr>
          <w:rFonts w:asciiTheme="majorHAnsi" w:hAnsiTheme="majorHAnsi"/>
        </w:rPr>
        <w:t xml:space="preserve"> survivors of SGBV, </w:t>
      </w:r>
      <w:r w:rsidR="00423A81" w:rsidRPr="001222F4">
        <w:rPr>
          <w:rFonts w:asciiTheme="majorHAnsi" w:hAnsiTheme="majorHAnsi"/>
        </w:rPr>
        <w:t>by providing support services</w:t>
      </w:r>
      <w:r w:rsidRPr="001222F4">
        <w:rPr>
          <w:rFonts w:asciiTheme="majorHAnsi" w:hAnsiTheme="majorHAnsi"/>
        </w:rPr>
        <w:t xml:space="preserve"> </w:t>
      </w:r>
      <w:r w:rsidR="00423A81" w:rsidRPr="001222F4">
        <w:rPr>
          <w:rFonts w:asciiTheme="majorHAnsi" w:hAnsiTheme="majorHAnsi"/>
        </w:rPr>
        <w:t>that have been life-</w:t>
      </w:r>
      <w:r w:rsidRPr="001222F4">
        <w:rPr>
          <w:rFonts w:asciiTheme="majorHAnsi" w:hAnsiTheme="majorHAnsi"/>
        </w:rPr>
        <w:t xml:space="preserve">saving </w:t>
      </w:r>
      <w:r w:rsidR="00423A81" w:rsidRPr="001222F4">
        <w:rPr>
          <w:rFonts w:asciiTheme="majorHAnsi" w:hAnsiTheme="majorHAnsi"/>
        </w:rPr>
        <w:t>for many women and girls</w:t>
      </w:r>
      <w:r w:rsidRPr="001222F4">
        <w:rPr>
          <w:rFonts w:asciiTheme="majorHAnsi" w:hAnsiTheme="majorHAnsi"/>
        </w:rPr>
        <w:t>.</w:t>
      </w:r>
      <w:r w:rsidRPr="001222F4">
        <w:rPr>
          <w:rStyle w:val="FootnoteReference"/>
          <w:rFonts w:asciiTheme="majorHAnsi" w:hAnsiTheme="majorHAnsi"/>
        </w:rPr>
        <w:footnoteReference w:id="161"/>
      </w:r>
      <w:r w:rsidRPr="001222F4">
        <w:rPr>
          <w:rFonts w:asciiTheme="majorHAnsi" w:hAnsiTheme="majorHAnsi"/>
        </w:rPr>
        <w:t xml:space="preserve"> The volume of donor services available, however, has</w:t>
      </w:r>
      <w:r w:rsidR="00423A81" w:rsidRPr="001222F4">
        <w:rPr>
          <w:rFonts w:asciiTheme="majorHAnsi" w:hAnsiTheme="majorHAnsi"/>
        </w:rPr>
        <w:t xml:space="preserve"> created an almost paternalistic relationship between humanitarian agencies and the DRC Government. This creates a risk</w:t>
      </w:r>
      <w:r w:rsidRPr="001222F4">
        <w:rPr>
          <w:rFonts w:asciiTheme="majorHAnsi" w:hAnsiTheme="majorHAnsi"/>
        </w:rPr>
        <w:t xml:space="preserve"> </w:t>
      </w:r>
      <w:r w:rsidR="00423A81" w:rsidRPr="001222F4">
        <w:rPr>
          <w:rFonts w:asciiTheme="majorHAnsi" w:hAnsiTheme="majorHAnsi"/>
        </w:rPr>
        <w:t>of</w:t>
      </w:r>
      <w:r w:rsidRPr="001222F4">
        <w:rPr>
          <w:rFonts w:asciiTheme="majorHAnsi" w:hAnsiTheme="majorHAnsi"/>
        </w:rPr>
        <w:t xml:space="preserve"> government </w:t>
      </w:r>
      <w:r w:rsidR="00423A81" w:rsidRPr="001222F4">
        <w:rPr>
          <w:rFonts w:asciiTheme="majorHAnsi" w:hAnsiTheme="majorHAnsi"/>
        </w:rPr>
        <w:t>complacency towards</w:t>
      </w:r>
      <w:r w:rsidRPr="001222F4">
        <w:rPr>
          <w:rFonts w:asciiTheme="majorHAnsi" w:hAnsiTheme="majorHAnsi"/>
        </w:rPr>
        <w:t xml:space="preserve"> responsibility to provide </w:t>
      </w:r>
      <w:r w:rsidR="00423A81" w:rsidRPr="001222F4">
        <w:rPr>
          <w:rFonts w:asciiTheme="majorHAnsi" w:hAnsiTheme="majorHAnsi"/>
        </w:rPr>
        <w:t>basic social</w:t>
      </w:r>
      <w:r w:rsidRPr="001222F4">
        <w:rPr>
          <w:rFonts w:asciiTheme="majorHAnsi" w:hAnsiTheme="majorHAnsi"/>
        </w:rPr>
        <w:t xml:space="preserve"> services</w:t>
      </w:r>
      <w:r w:rsidR="00423A81" w:rsidRPr="001222F4">
        <w:rPr>
          <w:rFonts w:asciiTheme="majorHAnsi" w:hAnsiTheme="majorHAnsi"/>
        </w:rPr>
        <w:t>, and does not</w:t>
      </w:r>
      <w:r w:rsidRPr="001222F4">
        <w:rPr>
          <w:rFonts w:asciiTheme="majorHAnsi" w:hAnsiTheme="majorHAnsi"/>
        </w:rPr>
        <w:t xml:space="preserve"> </w:t>
      </w:r>
      <w:r w:rsidR="00423A81" w:rsidRPr="001222F4">
        <w:rPr>
          <w:rFonts w:asciiTheme="majorHAnsi" w:hAnsiTheme="majorHAnsi"/>
        </w:rPr>
        <w:t>encourage</w:t>
      </w:r>
      <w:r w:rsidRPr="001222F4">
        <w:rPr>
          <w:rFonts w:asciiTheme="majorHAnsi" w:hAnsiTheme="majorHAnsi"/>
        </w:rPr>
        <w:t xml:space="preserve"> the government to take a more active role </w:t>
      </w:r>
      <w:r w:rsidR="00423A81" w:rsidRPr="001222F4">
        <w:rPr>
          <w:rFonts w:asciiTheme="majorHAnsi" w:hAnsiTheme="majorHAnsi"/>
        </w:rPr>
        <w:t>to address SGBV</w:t>
      </w:r>
      <w:r w:rsidRPr="001222F4">
        <w:rPr>
          <w:rFonts w:asciiTheme="majorHAnsi" w:hAnsiTheme="majorHAnsi"/>
        </w:rPr>
        <w:t>.</w:t>
      </w:r>
      <w:r w:rsidRPr="001222F4">
        <w:rPr>
          <w:rStyle w:val="FootnoteReference"/>
          <w:rFonts w:asciiTheme="majorHAnsi" w:hAnsiTheme="majorHAnsi"/>
        </w:rPr>
        <w:footnoteReference w:id="162"/>
      </w:r>
      <w:r w:rsidRPr="001222F4">
        <w:rPr>
          <w:rFonts w:asciiTheme="majorHAnsi" w:hAnsiTheme="majorHAnsi"/>
        </w:rPr>
        <w:t xml:space="preserve"> </w:t>
      </w:r>
    </w:p>
    <w:p w14:paraId="0E53BAA3" w14:textId="5D18E53D" w:rsidR="005C68CA" w:rsidRPr="001222F4" w:rsidRDefault="005C68CA" w:rsidP="005C68CA">
      <w:pPr>
        <w:jc w:val="both"/>
        <w:rPr>
          <w:rFonts w:asciiTheme="majorHAnsi" w:hAnsiTheme="majorHAnsi" w:cs="Times New Roman"/>
          <w:color w:val="000000"/>
          <w:lang w:val="en-US"/>
        </w:rPr>
      </w:pPr>
    </w:p>
    <w:p w14:paraId="69999E0E" w14:textId="77777777" w:rsidR="0011081A" w:rsidRPr="001222F4" w:rsidRDefault="005C68CA" w:rsidP="004D0432">
      <w:pPr>
        <w:spacing w:line="360" w:lineRule="auto"/>
        <w:jc w:val="both"/>
        <w:rPr>
          <w:rFonts w:asciiTheme="majorHAnsi" w:hAnsiTheme="majorHAnsi"/>
        </w:rPr>
      </w:pPr>
      <w:r w:rsidRPr="001222F4">
        <w:rPr>
          <w:rFonts w:asciiTheme="majorHAnsi" w:hAnsiTheme="majorHAnsi"/>
        </w:rPr>
        <w:t xml:space="preserve">Programs established and run by development agencies and civil society have been effective in providing care to survivors of </w:t>
      </w:r>
      <w:r w:rsidR="00423A81" w:rsidRPr="001222F4">
        <w:rPr>
          <w:rFonts w:asciiTheme="majorHAnsi" w:hAnsiTheme="majorHAnsi"/>
        </w:rPr>
        <w:t>SGBV</w:t>
      </w:r>
      <w:r w:rsidRPr="001222F4">
        <w:rPr>
          <w:rFonts w:asciiTheme="majorHAnsi" w:hAnsiTheme="majorHAnsi"/>
        </w:rPr>
        <w:t xml:space="preserve"> by assisting women and children to reintegrate socially and to cope with trauma, through accessing medical and social services.</w:t>
      </w:r>
      <w:r w:rsidRPr="001222F4">
        <w:rPr>
          <w:rStyle w:val="FootnoteReference"/>
          <w:rFonts w:asciiTheme="majorHAnsi" w:hAnsiTheme="majorHAnsi"/>
        </w:rPr>
        <w:footnoteReference w:id="163"/>
      </w:r>
      <w:r w:rsidRPr="001222F4">
        <w:rPr>
          <w:rFonts w:asciiTheme="majorHAnsi" w:hAnsiTheme="majorHAnsi"/>
        </w:rPr>
        <w:t xml:space="preserve"> Where such services are available, it has been much easier for women and girls to report rape</w:t>
      </w:r>
      <w:r w:rsidR="00423A81" w:rsidRPr="001222F4">
        <w:rPr>
          <w:rFonts w:asciiTheme="majorHAnsi" w:hAnsiTheme="majorHAnsi"/>
        </w:rPr>
        <w:t xml:space="preserve"> and SGBV</w:t>
      </w:r>
      <w:r w:rsidRPr="001222F4">
        <w:rPr>
          <w:rFonts w:asciiTheme="majorHAnsi" w:hAnsiTheme="majorHAnsi"/>
        </w:rPr>
        <w:t>.</w:t>
      </w:r>
      <w:r w:rsidRPr="001222F4">
        <w:rPr>
          <w:rStyle w:val="FootnoteReference"/>
          <w:rFonts w:asciiTheme="majorHAnsi" w:hAnsiTheme="majorHAnsi"/>
        </w:rPr>
        <w:footnoteReference w:id="164"/>
      </w:r>
      <w:r w:rsidRPr="001222F4">
        <w:rPr>
          <w:rFonts w:asciiTheme="majorHAnsi" w:hAnsiTheme="majorHAnsi"/>
        </w:rPr>
        <w:t xml:space="preserve"> The US Agency for International Development (USAID) has been the main source of funding for programs addressing gender based violence in the eastern DRC.</w:t>
      </w:r>
      <w:r w:rsidRPr="001222F4">
        <w:rPr>
          <w:rStyle w:val="FootnoteReference"/>
          <w:rFonts w:asciiTheme="majorHAnsi" w:hAnsiTheme="majorHAnsi"/>
        </w:rPr>
        <w:footnoteReference w:id="165"/>
      </w:r>
      <w:r w:rsidR="00423A81" w:rsidRPr="001222F4">
        <w:rPr>
          <w:rFonts w:asciiTheme="majorHAnsi" w:hAnsiTheme="majorHAnsi"/>
        </w:rPr>
        <w:t xml:space="preserve"> </w:t>
      </w:r>
    </w:p>
    <w:p w14:paraId="600EE843" w14:textId="77777777" w:rsidR="0011081A" w:rsidRPr="001222F4" w:rsidRDefault="0011081A" w:rsidP="005C68CA">
      <w:pPr>
        <w:jc w:val="both"/>
        <w:rPr>
          <w:rFonts w:asciiTheme="majorHAnsi" w:hAnsiTheme="majorHAnsi"/>
        </w:rPr>
      </w:pPr>
    </w:p>
    <w:p w14:paraId="57F292DF" w14:textId="172B4491" w:rsidR="00F41315" w:rsidRPr="001222F4" w:rsidRDefault="00423A81" w:rsidP="004D0432">
      <w:pPr>
        <w:spacing w:line="360" w:lineRule="auto"/>
        <w:jc w:val="both"/>
        <w:rPr>
          <w:rFonts w:asciiTheme="majorHAnsi" w:hAnsiTheme="majorHAnsi"/>
        </w:rPr>
      </w:pPr>
      <w:r w:rsidRPr="001222F4">
        <w:rPr>
          <w:rFonts w:asciiTheme="majorHAnsi" w:hAnsiTheme="majorHAnsi"/>
        </w:rPr>
        <w:t>While the USAID-funded programming has taken a holistic approach to addressing SGBV</w:t>
      </w:r>
      <w:r w:rsidR="0011081A" w:rsidRPr="001222F4">
        <w:rPr>
          <w:rFonts w:asciiTheme="majorHAnsi" w:hAnsiTheme="majorHAnsi"/>
        </w:rPr>
        <w:t xml:space="preserve"> in the DRC</w:t>
      </w:r>
      <w:r w:rsidRPr="001222F4">
        <w:rPr>
          <w:rFonts w:asciiTheme="majorHAnsi" w:hAnsiTheme="majorHAnsi"/>
        </w:rPr>
        <w:t>, much of the financing to tackle SGBV in 2010-15 has been in response</w:t>
      </w:r>
      <w:r w:rsidR="00E265E2" w:rsidRPr="001222F4">
        <w:rPr>
          <w:rFonts w:asciiTheme="majorHAnsi" w:hAnsiTheme="majorHAnsi"/>
        </w:rPr>
        <w:t xml:space="preserve"> to</w:t>
      </w:r>
      <w:r w:rsidRPr="001222F4">
        <w:rPr>
          <w:rFonts w:asciiTheme="majorHAnsi" w:hAnsiTheme="majorHAnsi"/>
        </w:rPr>
        <w:t xml:space="preserve"> </w:t>
      </w:r>
      <w:r w:rsidR="0011081A" w:rsidRPr="001222F4">
        <w:rPr>
          <w:rFonts w:asciiTheme="majorHAnsi" w:hAnsiTheme="majorHAnsi"/>
        </w:rPr>
        <w:t>violence</w:t>
      </w:r>
      <w:r w:rsidRPr="001222F4">
        <w:rPr>
          <w:rFonts w:asciiTheme="majorHAnsi" w:hAnsiTheme="majorHAnsi"/>
        </w:rPr>
        <w:t xml:space="preserve">, not an effort to prevent it. Holistic efforts </w:t>
      </w:r>
      <w:r w:rsidR="0011081A" w:rsidRPr="001222F4">
        <w:rPr>
          <w:rFonts w:asciiTheme="majorHAnsi" w:hAnsiTheme="majorHAnsi"/>
        </w:rPr>
        <w:t>can save women’s lives and help them reintegrate into society, but they cannot address the underlying causes of SGBV. Therefore, the persistence of SGBV in the country should not be linked to development programs falling short.</w:t>
      </w:r>
      <w:r w:rsidR="0011081A" w:rsidRPr="001222F4">
        <w:rPr>
          <w:rStyle w:val="FootnoteReference"/>
          <w:rFonts w:asciiTheme="majorHAnsi" w:hAnsiTheme="majorHAnsi"/>
        </w:rPr>
        <w:footnoteReference w:id="166"/>
      </w:r>
      <w:r w:rsidR="0011081A" w:rsidRPr="001222F4">
        <w:rPr>
          <w:rFonts w:asciiTheme="majorHAnsi" w:hAnsiTheme="majorHAnsi"/>
        </w:rPr>
        <w:t xml:space="preserve">  There is a need for concerted action, led by the government, to address the systemic and structural causes of SGBV, with a view towards achieving substantive and transformative equality, as outlined in the provisions of CEDAW and other international </w:t>
      </w:r>
      <w:r w:rsidR="00583713">
        <w:rPr>
          <w:rFonts w:asciiTheme="majorHAnsi" w:hAnsiTheme="majorHAnsi"/>
        </w:rPr>
        <w:t xml:space="preserve">legal </w:t>
      </w:r>
      <w:r w:rsidR="00E265E2" w:rsidRPr="001222F4">
        <w:rPr>
          <w:rFonts w:asciiTheme="majorHAnsi" w:hAnsiTheme="majorHAnsi"/>
        </w:rPr>
        <w:t>obligations held by the DRC (s</w:t>
      </w:r>
      <w:r w:rsidR="0011081A" w:rsidRPr="001222F4">
        <w:rPr>
          <w:rFonts w:asciiTheme="majorHAnsi" w:hAnsiTheme="majorHAnsi"/>
        </w:rPr>
        <w:t>ee Section 1).</w:t>
      </w:r>
    </w:p>
    <w:p w14:paraId="184D2384" w14:textId="77777777" w:rsidR="008B6E37" w:rsidRPr="001222F4" w:rsidRDefault="008B6E37" w:rsidP="008B6E37">
      <w:pPr>
        <w:jc w:val="both"/>
        <w:rPr>
          <w:rFonts w:asciiTheme="majorHAnsi" w:hAnsiTheme="majorHAnsi" w:cs="Arial"/>
          <w:lang w:val="en-US"/>
        </w:rPr>
      </w:pPr>
    </w:p>
    <w:p w14:paraId="0A4CC322" w14:textId="54FE654E" w:rsidR="00F41315" w:rsidRPr="001222F4" w:rsidRDefault="00F41315" w:rsidP="007F364C">
      <w:pPr>
        <w:pStyle w:val="ListParagraph"/>
        <w:numPr>
          <w:ilvl w:val="0"/>
          <w:numId w:val="15"/>
        </w:numPr>
        <w:jc w:val="both"/>
        <w:rPr>
          <w:rFonts w:asciiTheme="majorHAnsi" w:hAnsiTheme="majorHAnsi" w:cs="Arial"/>
          <w:b/>
          <w:color w:val="1F497D" w:themeColor="text2"/>
          <w:lang w:val="en-US"/>
        </w:rPr>
      </w:pPr>
      <w:r w:rsidRPr="001222F4">
        <w:rPr>
          <w:rFonts w:asciiTheme="majorHAnsi" w:hAnsiTheme="majorHAnsi" w:cs="Arial"/>
          <w:b/>
          <w:color w:val="1F497D" w:themeColor="text2"/>
          <w:lang w:val="en-US"/>
        </w:rPr>
        <w:t>Other Actions by Government, Development Agencies and Civil Society</w:t>
      </w:r>
    </w:p>
    <w:p w14:paraId="01DB9B97" w14:textId="77777777" w:rsidR="00F41315" w:rsidRPr="001222F4" w:rsidRDefault="00F41315" w:rsidP="00F41315">
      <w:pPr>
        <w:jc w:val="both"/>
        <w:rPr>
          <w:rFonts w:asciiTheme="majorHAnsi" w:hAnsiTheme="majorHAnsi" w:cs="Scala Offc"/>
          <w:color w:val="000000"/>
        </w:rPr>
      </w:pPr>
    </w:p>
    <w:p w14:paraId="60EC923F" w14:textId="3827375F" w:rsidR="00F41315" w:rsidRPr="001222F4" w:rsidRDefault="00F41315" w:rsidP="004D0432">
      <w:pPr>
        <w:spacing w:line="360" w:lineRule="auto"/>
        <w:jc w:val="both"/>
        <w:rPr>
          <w:rFonts w:asciiTheme="majorHAnsi" w:hAnsiTheme="majorHAnsi"/>
        </w:rPr>
      </w:pPr>
      <w:r w:rsidRPr="001222F4">
        <w:rPr>
          <w:rFonts w:asciiTheme="majorHAnsi" w:hAnsiTheme="majorHAnsi" w:cs="Scala Offc"/>
          <w:color w:val="000000"/>
        </w:rPr>
        <w:t xml:space="preserve">In addition to adopting the National Strategy, the government established a number of agencies to address the problem of SGBV in conflict-affected areas including the </w:t>
      </w:r>
      <w:r w:rsidRPr="001222F4">
        <w:rPr>
          <w:rFonts w:asciiTheme="majorHAnsi" w:hAnsiTheme="majorHAnsi"/>
        </w:rPr>
        <w:t xml:space="preserve">National Agency </w:t>
      </w:r>
      <w:r w:rsidR="001222F4">
        <w:rPr>
          <w:rFonts w:asciiTheme="majorHAnsi" w:hAnsiTheme="majorHAnsi"/>
        </w:rPr>
        <w:t>a</w:t>
      </w:r>
      <w:r w:rsidRPr="001222F4">
        <w:rPr>
          <w:rFonts w:asciiTheme="majorHAnsi" w:hAnsiTheme="majorHAnsi"/>
        </w:rPr>
        <w:t>gainst Violence to Women and Girls (AVIFEM) and National Fund for the Promotion of Women and Child Protection (FONAFEN). These have been largely ineffective as they do not operate independently of active politicians, are under resourced, and only operate programs in and around Kinshasa.</w:t>
      </w:r>
      <w:r w:rsidRPr="001222F4">
        <w:rPr>
          <w:rStyle w:val="FootnoteReference"/>
          <w:rFonts w:asciiTheme="majorHAnsi" w:hAnsiTheme="majorHAnsi"/>
        </w:rPr>
        <w:footnoteReference w:id="167"/>
      </w:r>
    </w:p>
    <w:p w14:paraId="349782D6" w14:textId="77777777" w:rsidR="00F41315" w:rsidRPr="001222F4" w:rsidRDefault="00F41315" w:rsidP="00F41315">
      <w:pPr>
        <w:jc w:val="both"/>
        <w:rPr>
          <w:rFonts w:asciiTheme="majorHAnsi" w:hAnsiTheme="majorHAnsi" w:cs="Times New Roman"/>
        </w:rPr>
      </w:pPr>
    </w:p>
    <w:p w14:paraId="6CCAA136" w14:textId="25D996D1" w:rsidR="00F41315" w:rsidRPr="001222F4" w:rsidRDefault="00F41315" w:rsidP="004D0432">
      <w:pPr>
        <w:spacing w:line="360" w:lineRule="auto"/>
        <w:jc w:val="both"/>
        <w:rPr>
          <w:rFonts w:asciiTheme="majorHAnsi" w:hAnsiTheme="majorHAnsi"/>
        </w:rPr>
      </w:pPr>
      <w:r w:rsidRPr="001222F4">
        <w:rPr>
          <w:rFonts w:asciiTheme="majorHAnsi" w:hAnsiTheme="majorHAnsi"/>
        </w:rPr>
        <w:t xml:space="preserve">Since 2009, the DRC has been the site of a UN pilot project called the </w:t>
      </w:r>
      <w:r w:rsidR="0065315A" w:rsidRPr="001222F4">
        <w:rPr>
          <w:rFonts w:asciiTheme="majorHAnsi" w:hAnsiTheme="majorHAnsi"/>
        </w:rPr>
        <w:t>‘</w:t>
      </w:r>
      <w:r w:rsidRPr="001222F4">
        <w:rPr>
          <w:rFonts w:asciiTheme="majorHAnsi" w:hAnsiTheme="majorHAnsi"/>
        </w:rPr>
        <w:t>Comprehensive Str</w:t>
      </w:r>
      <w:r w:rsidR="0065315A" w:rsidRPr="001222F4">
        <w:rPr>
          <w:rFonts w:asciiTheme="majorHAnsi" w:hAnsiTheme="majorHAnsi"/>
        </w:rPr>
        <w:t>ategy to Combat Sexual Violence’</w:t>
      </w:r>
      <w:r w:rsidRPr="001222F4">
        <w:rPr>
          <w:rFonts w:asciiTheme="majorHAnsi" w:hAnsiTheme="majorHAnsi"/>
        </w:rPr>
        <w:t>. This pilot project incorporates UN agencies, NGOs, government and civil society actors.</w:t>
      </w:r>
      <w:r w:rsidRPr="001222F4">
        <w:rPr>
          <w:rStyle w:val="FootnoteReference"/>
          <w:rFonts w:asciiTheme="majorHAnsi" w:hAnsiTheme="majorHAnsi"/>
        </w:rPr>
        <w:footnoteReference w:id="168"/>
      </w:r>
      <w:r w:rsidRPr="001222F4">
        <w:rPr>
          <w:rFonts w:asciiTheme="majorHAnsi" w:hAnsiTheme="majorHAnsi"/>
        </w:rPr>
        <w:t xml:space="preserve"> The project was intended to be a coordination strategy and to provide a common framework for different actors working towards ending SGBV in the DRC.</w:t>
      </w:r>
      <w:r w:rsidRPr="001222F4">
        <w:rPr>
          <w:rStyle w:val="FootnoteReference"/>
          <w:rFonts w:asciiTheme="majorHAnsi" w:hAnsiTheme="majorHAnsi"/>
        </w:rPr>
        <w:footnoteReference w:id="169"/>
      </w:r>
      <w:r w:rsidRPr="001222F4">
        <w:rPr>
          <w:rFonts w:asciiTheme="majorHAnsi" w:hAnsiTheme="majorHAnsi"/>
        </w:rPr>
        <w:t xml:space="preserve"> However, the Comprehensive Strategy framework has at times been unable to prevent the duplication of activities or generate momentum on tackling SGBV, and has added to the bureaucratic hurdles faced by humanitarian actors.</w:t>
      </w:r>
      <w:r w:rsidRPr="001222F4">
        <w:rPr>
          <w:rStyle w:val="FootnoteReference"/>
          <w:rFonts w:asciiTheme="majorHAnsi" w:hAnsiTheme="majorHAnsi"/>
        </w:rPr>
        <w:footnoteReference w:id="170"/>
      </w:r>
    </w:p>
    <w:p w14:paraId="3E814FB5" w14:textId="77777777" w:rsidR="00F41315" w:rsidRPr="001222F4" w:rsidRDefault="00F41315" w:rsidP="00F41315">
      <w:pPr>
        <w:pStyle w:val="ListParagraph"/>
        <w:ind w:left="0"/>
        <w:jc w:val="both"/>
        <w:rPr>
          <w:rFonts w:asciiTheme="majorHAnsi" w:hAnsiTheme="majorHAnsi" w:cs="Arial"/>
          <w:b/>
          <w:lang w:val="en-US"/>
        </w:rPr>
      </w:pPr>
    </w:p>
    <w:p w14:paraId="0D1EA874" w14:textId="14618B9F" w:rsidR="00634326" w:rsidRPr="001222F4" w:rsidRDefault="008B6E37" w:rsidP="007F364C">
      <w:pPr>
        <w:pStyle w:val="ListParagraph"/>
        <w:numPr>
          <w:ilvl w:val="0"/>
          <w:numId w:val="15"/>
        </w:numPr>
        <w:jc w:val="both"/>
        <w:rPr>
          <w:rFonts w:asciiTheme="majorHAnsi" w:hAnsiTheme="majorHAnsi" w:cs="Arial"/>
          <w:b/>
          <w:color w:val="1F497D" w:themeColor="text2"/>
          <w:lang w:val="en-US"/>
        </w:rPr>
      </w:pPr>
      <w:r w:rsidRPr="001222F4">
        <w:rPr>
          <w:rFonts w:asciiTheme="majorHAnsi" w:hAnsiTheme="majorHAnsi" w:cs="Arial"/>
          <w:b/>
          <w:color w:val="1F497D" w:themeColor="text2"/>
          <w:lang w:val="en-US"/>
        </w:rPr>
        <w:t xml:space="preserve">Conclusion </w:t>
      </w:r>
    </w:p>
    <w:p w14:paraId="43B96D99" w14:textId="77777777" w:rsidR="003F5D03" w:rsidRPr="001222F4" w:rsidRDefault="003F5D03" w:rsidP="00634326">
      <w:pPr>
        <w:widowControl w:val="0"/>
        <w:autoSpaceDE w:val="0"/>
        <w:autoSpaceDN w:val="0"/>
        <w:adjustRightInd w:val="0"/>
        <w:jc w:val="both"/>
        <w:rPr>
          <w:rFonts w:asciiTheme="majorHAnsi" w:hAnsiTheme="majorHAnsi" w:cs="Times New Roman"/>
        </w:rPr>
      </w:pPr>
    </w:p>
    <w:p w14:paraId="3718FE26" w14:textId="644F5637" w:rsidR="00634326" w:rsidRPr="001222F4" w:rsidRDefault="003F5D03" w:rsidP="004D0432">
      <w:pPr>
        <w:widowControl w:val="0"/>
        <w:autoSpaceDE w:val="0"/>
        <w:autoSpaceDN w:val="0"/>
        <w:adjustRightInd w:val="0"/>
        <w:spacing w:line="360" w:lineRule="auto"/>
        <w:jc w:val="both"/>
        <w:rPr>
          <w:rFonts w:asciiTheme="majorHAnsi" w:hAnsiTheme="majorHAnsi" w:cs="Times New Roman"/>
        </w:rPr>
      </w:pPr>
      <w:r w:rsidRPr="001222F4">
        <w:rPr>
          <w:rFonts w:asciiTheme="majorHAnsi" w:hAnsiTheme="majorHAnsi" w:cs="Times New Roman"/>
        </w:rPr>
        <w:t xml:space="preserve">The most urgent concern yet to be addressed by the NAP is the persistence of SGBV. This submission recommends that systemic, structural reforms are urgently needed to address SGBV and women’s low level of engagement in politics and peace processes.  These reforms should be led by the government (with development partners and civil society playing a supportive, secondary role) to prevent, eliminate and end impunity for rape and all forms of sexual violence. </w:t>
      </w:r>
    </w:p>
    <w:p w14:paraId="316C54E5" w14:textId="77777777" w:rsidR="0065315A" w:rsidRPr="001222F4" w:rsidRDefault="0065315A" w:rsidP="00634326">
      <w:pPr>
        <w:widowControl w:val="0"/>
        <w:autoSpaceDE w:val="0"/>
        <w:autoSpaceDN w:val="0"/>
        <w:adjustRightInd w:val="0"/>
        <w:jc w:val="both"/>
        <w:rPr>
          <w:rFonts w:asciiTheme="majorHAnsi" w:hAnsiTheme="majorHAnsi" w:cs="Times New Roman"/>
        </w:rPr>
      </w:pPr>
    </w:p>
    <w:p w14:paraId="6B57A91C" w14:textId="77777777" w:rsidR="0065315A" w:rsidRPr="001222F4" w:rsidRDefault="0065315A" w:rsidP="004D0432">
      <w:pPr>
        <w:widowControl w:val="0"/>
        <w:autoSpaceDE w:val="0"/>
        <w:autoSpaceDN w:val="0"/>
        <w:adjustRightInd w:val="0"/>
        <w:spacing w:line="360" w:lineRule="auto"/>
        <w:jc w:val="both"/>
        <w:rPr>
          <w:rFonts w:asciiTheme="majorHAnsi" w:hAnsiTheme="majorHAnsi" w:cs="Times New Roman"/>
        </w:rPr>
      </w:pPr>
      <w:r w:rsidRPr="001222F4">
        <w:rPr>
          <w:rFonts w:asciiTheme="majorHAnsi" w:hAnsiTheme="majorHAnsi" w:cs="Arial"/>
        </w:rPr>
        <w:t xml:space="preserve">The government’s failure to adhere to its international legal obligations as laid out in SCR 1325, and the wider framework on women, peace and security, has been highlighted in the CEDAW Committee’s Concluding Observations on the DRC’s state reports under the Convention. </w:t>
      </w:r>
      <w:r w:rsidRPr="001222F4">
        <w:rPr>
          <w:rFonts w:asciiTheme="majorHAnsi" w:hAnsiTheme="majorHAnsi" w:cs="Times New Roman"/>
        </w:rPr>
        <w:t>In 2006, the Committee expressed deep concern “about the continuing occurrences of rapes and other forms of sexual violence against women and the ingrained culture of impunity for such crimes.”</w:t>
      </w:r>
      <w:r w:rsidRPr="001222F4">
        <w:rPr>
          <w:rStyle w:val="FootnoteReference"/>
          <w:rFonts w:asciiTheme="majorHAnsi" w:hAnsiTheme="majorHAnsi" w:cs="Times New Roman"/>
        </w:rPr>
        <w:footnoteReference w:id="171"/>
      </w:r>
      <w:r w:rsidRPr="001222F4">
        <w:rPr>
          <w:rFonts w:asciiTheme="majorHAnsi" w:hAnsiTheme="majorHAnsi" w:cs="Times New Roman"/>
        </w:rPr>
        <w:t xml:space="preserve"> Most recently, in its Concluding Observations of July 2013, the Committee expressed extreme concern about: “the failure of the authorities to prioritize the protection of civilians and the denial by key State officials of the extent of the violence committed against women in conflict-affected areas.”</w:t>
      </w:r>
      <w:r w:rsidRPr="001222F4">
        <w:rPr>
          <w:rStyle w:val="FootnoteReference"/>
          <w:rFonts w:asciiTheme="majorHAnsi" w:hAnsiTheme="majorHAnsi" w:cs="Times New Roman"/>
        </w:rPr>
        <w:footnoteReference w:id="172"/>
      </w:r>
      <w:r w:rsidRPr="001222F4">
        <w:rPr>
          <w:rFonts w:asciiTheme="majorHAnsi" w:hAnsiTheme="majorHAnsi" w:cs="Times New Roman"/>
        </w:rPr>
        <w:t xml:space="preserve"> These emphatic comments underscore the importance of reporting processes like those of the CEDAW Committee that remind states of their obligations under the wider international legal framework on women, peace and security. </w:t>
      </w:r>
    </w:p>
    <w:p w14:paraId="24019256" w14:textId="77777777" w:rsidR="0065315A" w:rsidRPr="001222F4" w:rsidRDefault="0065315A" w:rsidP="00634326">
      <w:pPr>
        <w:widowControl w:val="0"/>
        <w:autoSpaceDE w:val="0"/>
        <w:autoSpaceDN w:val="0"/>
        <w:adjustRightInd w:val="0"/>
        <w:jc w:val="both"/>
        <w:rPr>
          <w:rFonts w:asciiTheme="majorHAnsi" w:hAnsiTheme="majorHAnsi" w:cs="Arial"/>
        </w:rPr>
      </w:pPr>
    </w:p>
    <w:p w14:paraId="301438E3" w14:textId="77777777" w:rsidR="00634326" w:rsidRPr="001222F4" w:rsidRDefault="00634326" w:rsidP="008B6E37">
      <w:pPr>
        <w:jc w:val="both"/>
        <w:rPr>
          <w:rFonts w:asciiTheme="majorHAnsi" w:hAnsiTheme="majorHAnsi" w:cs="Arial"/>
          <w:b/>
          <w:lang w:val="en-US"/>
        </w:rPr>
      </w:pPr>
    </w:p>
    <w:p w14:paraId="295DEA00" w14:textId="77777777" w:rsidR="008B6E37" w:rsidRPr="001222F4" w:rsidRDefault="008B6E37" w:rsidP="008B6E37">
      <w:pPr>
        <w:jc w:val="both"/>
        <w:rPr>
          <w:rFonts w:asciiTheme="majorHAnsi" w:hAnsiTheme="majorHAnsi" w:cs="Arial"/>
          <w:b/>
          <w:lang w:val="en-US"/>
        </w:rPr>
      </w:pPr>
    </w:p>
    <w:p w14:paraId="04804155" w14:textId="77777777" w:rsidR="005C68CA" w:rsidRPr="001222F4" w:rsidRDefault="005C68CA" w:rsidP="008B6E37">
      <w:pPr>
        <w:rPr>
          <w:rFonts w:asciiTheme="majorHAnsi" w:hAnsiTheme="majorHAnsi" w:cs="Times New Roman"/>
        </w:rPr>
      </w:pPr>
      <w:r w:rsidRPr="001222F4">
        <w:rPr>
          <w:rFonts w:asciiTheme="majorHAnsi" w:hAnsiTheme="majorHAnsi" w:cs="Times New Roman"/>
        </w:rPr>
        <w:br w:type="page"/>
      </w:r>
    </w:p>
    <w:p w14:paraId="2EFC6E33" w14:textId="77777777" w:rsidR="00245277" w:rsidRPr="003330F3" w:rsidRDefault="00245277" w:rsidP="00245277">
      <w:pPr>
        <w:pStyle w:val="Heading3"/>
        <w:keepLines/>
        <w:spacing w:before="20" w:after="0"/>
        <w:jc w:val="center"/>
        <w:rPr>
          <w:b w:val="0"/>
          <w:color w:val="1F497D" w:themeColor="text2"/>
          <w:spacing w:val="14"/>
          <w:sz w:val="32"/>
          <w:szCs w:val="32"/>
          <w:u w:val="single"/>
          <w:lang w:val="en-GB"/>
        </w:rPr>
      </w:pPr>
      <w:bookmarkStart w:id="11" w:name="_Toc416867089"/>
      <w:r>
        <w:rPr>
          <w:b w:val="0"/>
          <w:color w:val="1F497D" w:themeColor="text2"/>
          <w:spacing w:val="14"/>
          <w:sz w:val="32"/>
          <w:szCs w:val="32"/>
          <w:u w:val="single"/>
          <w:lang w:val="en-GB"/>
        </w:rPr>
        <w:lastRenderedPageBreak/>
        <w:t>ASIA</w:t>
      </w:r>
      <w:bookmarkEnd w:id="11"/>
    </w:p>
    <w:p w14:paraId="251C5D37" w14:textId="77777777" w:rsidR="00245277" w:rsidRDefault="00245277" w:rsidP="00245277">
      <w:pPr>
        <w:jc w:val="both"/>
        <w:rPr>
          <w:rFonts w:ascii="Calibri" w:hAnsi="Calibri"/>
          <w:b/>
        </w:rPr>
      </w:pPr>
    </w:p>
    <w:p w14:paraId="4C30D3C8" w14:textId="210887E7" w:rsidR="00245277" w:rsidRPr="000E78A5" w:rsidRDefault="00245277" w:rsidP="00245277">
      <w:pPr>
        <w:pStyle w:val="Heading3"/>
        <w:keepLines/>
        <w:spacing w:before="20" w:after="0"/>
        <w:jc w:val="center"/>
        <w:rPr>
          <w:b w:val="0"/>
          <w:color w:val="1F497D" w:themeColor="text2"/>
          <w:spacing w:val="14"/>
          <w:sz w:val="32"/>
          <w:szCs w:val="32"/>
          <w:lang w:val="en-GB"/>
        </w:rPr>
      </w:pPr>
      <w:bookmarkStart w:id="12" w:name="_Toc416867090"/>
      <w:r>
        <w:rPr>
          <w:b w:val="0"/>
          <w:color w:val="1F497D" w:themeColor="text2"/>
          <w:spacing w:val="14"/>
          <w:sz w:val="32"/>
          <w:szCs w:val="32"/>
          <w:lang w:val="en-GB"/>
        </w:rPr>
        <w:t>NEPAL– WOMEN’S PARTICIPATION AND CIVIL SOCIETY LEADERSHIP IN A POST-CONFLICT NAP</w:t>
      </w:r>
      <w:bookmarkEnd w:id="12"/>
    </w:p>
    <w:p w14:paraId="01A69FEE" w14:textId="0F068D69" w:rsidR="005C68CA" w:rsidRPr="00BC2C39" w:rsidRDefault="00942D4B" w:rsidP="007F364C">
      <w:pPr>
        <w:pStyle w:val="ListParagraph"/>
        <w:numPr>
          <w:ilvl w:val="0"/>
          <w:numId w:val="10"/>
        </w:numPr>
        <w:spacing w:before="100" w:beforeAutospacing="1" w:after="100" w:afterAutospacing="1"/>
        <w:jc w:val="both"/>
        <w:rPr>
          <w:rFonts w:ascii="Calibri" w:hAnsi="Calibri"/>
          <w:b/>
          <w:color w:val="1F497D" w:themeColor="text2"/>
        </w:rPr>
      </w:pPr>
      <w:r w:rsidRPr="00BC2C39">
        <w:rPr>
          <w:rFonts w:ascii="Calibri" w:hAnsi="Calibri"/>
          <w:b/>
          <w:color w:val="1F497D" w:themeColor="text2"/>
        </w:rPr>
        <w:t xml:space="preserve">An </w:t>
      </w:r>
      <w:r w:rsidR="005C68CA" w:rsidRPr="00BC2C39">
        <w:rPr>
          <w:rFonts w:ascii="Calibri" w:hAnsi="Calibri"/>
          <w:b/>
          <w:color w:val="1F497D" w:themeColor="text2"/>
        </w:rPr>
        <w:t xml:space="preserve">Overview </w:t>
      </w:r>
      <w:r w:rsidR="009F3AF0" w:rsidRPr="00BC2C39">
        <w:rPr>
          <w:rFonts w:ascii="Calibri" w:hAnsi="Calibri"/>
          <w:b/>
          <w:color w:val="1F497D" w:themeColor="text2"/>
        </w:rPr>
        <w:t xml:space="preserve">of </w:t>
      </w:r>
      <w:r w:rsidRPr="00BC2C39">
        <w:rPr>
          <w:rFonts w:ascii="Calibri" w:hAnsi="Calibri"/>
          <w:b/>
          <w:color w:val="1F497D" w:themeColor="text2"/>
        </w:rPr>
        <w:t>Conflict</w:t>
      </w:r>
      <w:r w:rsidR="005C68CA" w:rsidRPr="00BC2C39">
        <w:rPr>
          <w:rFonts w:ascii="Calibri" w:hAnsi="Calibri"/>
          <w:b/>
          <w:color w:val="1F497D" w:themeColor="text2"/>
        </w:rPr>
        <w:t xml:space="preserve"> in Nepal </w:t>
      </w:r>
    </w:p>
    <w:p w14:paraId="705225BB" w14:textId="14E8DAAE" w:rsidR="005C68CA" w:rsidRPr="00D344A1" w:rsidRDefault="005C68CA" w:rsidP="00BC2C39">
      <w:pPr>
        <w:spacing w:before="100" w:beforeAutospacing="1" w:after="100" w:afterAutospacing="1" w:line="360" w:lineRule="auto"/>
        <w:jc w:val="both"/>
        <w:rPr>
          <w:rFonts w:ascii="Calibri" w:hAnsi="Calibri"/>
        </w:rPr>
      </w:pPr>
      <w:r w:rsidRPr="00D344A1">
        <w:rPr>
          <w:rFonts w:ascii="Calibri" w:hAnsi="Calibri"/>
        </w:rPr>
        <w:t xml:space="preserve">Nepal </w:t>
      </w:r>
      <w:r w:rsidR="006F35AD">
        <w:rPr>
          <w:rFonts w:ascii="Calibri" w:hAnsi="Calibri"/>
        </w:rPr>
        <w:t xml:space="preserve">is a post-conflict </w:t>
      </w:r>
      <w:r w:rsidR="00942D4B">
        <w:rPr>
          <w:rFonts w:ascii="Calibri" w:hAnsi="Calibri"/>
        </w:rPr>
        <w:t>country</w:t>
      </w:r>
      <w:r w:rsidR="006F35AD">
        <w:rPr>
          <w:rFonts w:ascii="Calibri" w:hAnsi="Calibri"/>
        </w:rPr>
        <w:t xml:space="preserve">. </w:t>
      </w:r>
      <w:r w:rsidR="004112D1">
        <w:rPr>
          <w:rFonts w:ascii="Calibri" w:hAnsi="Calibri"/>
        </w:rPr>
        <w:t>A</w:t>
      </w:r>
      <w:r w:rsidR="008B50A8">
        <w:rPr>
          <w:rFonts w:ascii="Calibri" w:hAnsi="Calibri"/>
        </w:rPr>
        <w:t xml:space="preserve"> </w:t>
      </w:r>
      <w:r w:rsidR="00942D4B">
        <w:rPr>
          <w:rFonts w:ascii="Calibri" w:hAnsi="Calibri"/>
        </w:rPr>
        <w:t>decade-long</w:t>
      </w:r>
      <w:r w:rsidR="006F35AD">
        <w:rPr>
          <w:rFonts w:ascii="Calibri" w:hAnsi="Calibri"/>
        </w:rPr>
        <w:t xml:space="preserve"> civil war</w:t>
      </w:r>
      <w:r w:rsidR="008B50A8">
        <w:rPr>
          <w:rFonts w:ascii="Calibri" w:hAnsi="Calibri"/>
        </w:rPr>
        <w:t>, which ended in 2006,</w:t>
      </w:r>
      <w:r w:rsidRPr="00D344A1">
        <w:rPr>
          <w:rFonts w:ascii="Calibri" w:hAnsi="Calibri"/>
        </w:rPr>
        <w:t xml:space="preserve"> </w:t>
      </w:r>
      <w:r w:rsidR="00942D4B">
        <w:rPr>
          <w:rFonts w:ascii="Calibri" w:hAnsi="Calibri"/>
        </w:rPr>
        <w:t>took place between</w:t>
      </w:r>
      <w:r w:rsidRPr="00D344A1">
        <w:rPr>
          <w:rFonts w:ascii="Calibri" w:hAnsi="Calibri"/>
        </w:rPr>
        <w:t xml:space="preserve"> the Communist Party of Nepal (Maoists) </w:t>
      </w:r>
      <w:r w:rsidR="00942D4B">
        <w:rPr>
          <w:rFonts w:ascii="Calibri" w:hAnsi="Calibri"/>
        </w:rPr>
        <w:t>and the monarchy, resulting in at</w:t>
      </w:r>
      <w:r w:rsidRPr="00D344A1">
        <w:rPr>
          <w:rFonts w:ascii="Calibri" w:hAnsi="Calibri"/>
        </w:rPr>
        <w:t xml:space="preserve"> least 13,000 </w:t>
      </w:r>
      <w:r w:rsidR="004112D1">
        <w:rPr>
          <w:rFonts w:ascii="Calibri" w:hAnsi="Calibri"/>
        </w:rPr>
        <w:t>deaths</w:t>
      </w:r>
      <w:r w:rsidRPr="00D344A1">
        <w:rPr>
          <w:rFonts w:ascii="Calibri" w:hAnsi="Calibri"/>
        </w:rPr>
        <w:t xml:space="preserve"> and over 1,300 fo</w:t>
      </w:r>
      <w:r w:rsidR="00942D4B">
        <w:rPr>
          <w:rFonts w:ascii="Calibri" w:hAnsi="Calibri"/>
        </w:rPr>
        <w:t>rced disappearances</w:t>
      </w:r>
      <w:r w:rsidRPr="00D344A1">
        <w:rPr>
          <w:rFonts w:ascii="Calibri" w:hAnsi="Calibri"/>
        </w:rPr>
        <w:t xml:space="preserve">. </w:t>
      </w:r>
      <w:r w:rsidRPr="00D344A1">
        <w:rPr>
          <w:rStyle w:val="FootnoteReference"/>
          <w:rFonts w:ascii="Calibri" w:hAnsi="Calibri"/>
        </w:rPr>
        <w:footnoteReference w:id="173"/>
      </w:r>
      <w:r w:rsidRPr="00D344A1">
        <w:rPr>
          <w:rFonts w:ascii="Calibri" w:hAnsi="Calibri"/>
        </w:rPr>
        <w:t xml:space="preserve"> In recent years, human rights organisations have documented wide scale sexual, physical and verbal abuse of women, perpetrated by both government security forces and Maoist fighters during the conflict.</w:t>
      </w:r>
      <w:r w:rsidRPr="00D344A1">
        <w:rPr>
          <w:rStyle w:val="FootnoteReference"/>
          <w:rFonts w:ascii="Calibri" w:hAnsi="Calibri"/>
        </w:rPr>
        <w:footnoteReference w:id="174"/>
      </w:r>
      <w:r w:rsidRPr="00D344A1">
        <w:rPr>
          <w:rFonts w:ascii="Calibri" w:hAnsi="Calibri"/>
        </w:rPr>
        <w:t xml:space="preserve"> The government has publicly acknowledged the violence directed at women during this time. </w:t>
      </w:r>
      <w:r w:rsidRPr="00D344A1">
        <w:rPr>
          <w:rStyle w:val="FootnoteReference"/>
          <w:rFonts w:ascii="Calibri" w:hAnsi="Calibri"/>
        </w:rPr>
        <w:footnoteReference w:id="175"/>
      </w:r>
      <w:r w:rsidRPr="00D344A1">
        <w:rPr>
          <w:rFonts w:ascii="Calibri" w:hAnsi="Calibri"/>
        </w:rPr>
        <w:t xml:space="preserve"> The conflict</w:t>
      </w:r>
      <w:r w:rsidR="00020F48">
        <w:rPr>
          <w:rFonts w:ascii="Calibri" w:hAnsi="Calibri"/>
        </w:rPr>
        <w:t xml:space="preserve"> officially</w:t>
      </w:r>
      <w:r w:rsidRPr="00D344A1">
        <w:rPr>
          <w:rFonts w:ascii="Calibri" w:hAnsi="Calibri"/>
        </w:rPr>
        <w:t xml:space="preserve"> </w:t>
      </w:r>
      <w:r w:rsidR="00942D4B">
        <w:rPr>
          <w:rFonts w:ascii="Calibri" w:hAnsi="Calibri"/>
        </w:rPr>
        <w:t>ended on</w:t>
      </w:r>
      <w:r w:rsidRPr="00D344A1">
        <w:rPr>
          <w:rFonts w:ascii="Calibri" w:hAnsi="Calibri"/>
        </w:rPr>
        <w:t xml:space="preserve"> 21 November 2006</w:t>
      </w:r>
      <w:r w:rsidR="008B50A8">
        <w:rPr>
          <w:rFonts w:ascii="Calibri" w:hAnsi="Calibri"/>
        </w:rPr>
        <w:t>,</w:t>
      </w:r>
      <w:r w:rsidRPr="00D344A1">
        <w:rPr>
          <w:rFonts w:ascii="Calibri" w:hAnsi="Calibri"/>
        </w:rPr>
        <w:t xml:space="preserve"> when </w:t>
      </w:r>
      <w:r w:rsidR="008B50A8">
        <w:rPr>
          <w:rFonts w:ascii="Calibri" w:hAnsi="Calibri"/>
        </w:rPr>
        <w:t>the government</w:t>
      </w:r>
      <w:r w:rsidRPr="00D344A1">
        <w:rPr>
          <w:rFonts w:ascii="Calibri" w:hAnsi="Calibri"/>
        </w:rPr>
        <w:t xml:space="preserve"> and Maoists signed the Comprehensive Peace Accord (CPA).</w:t>
      </w:r>
      <w:r w:rsidRPr="00D344A1">
        <w:rPr>
          <w:rStyle w:val="FootnoteReference"/>
          <w:rFonts w:ascii="Calibri" w:hAnsi="Calibri"/>
        </w:rPr>
        <w:footnoteReference w:id="176"/>
      </w:r>
      <w:r w:rsidRPr="00D344A1">
        <w:rPr>
          <w:rFonts w:ascii="Calibri" w:hAnsi="Calibri"/>
        </w:rPr>
        <w:t xml:space="preserve"> The resulting election showed a marked preference for a federal democratic republic over a monarchy. </w:t>
      </w:r>
      <w:r w:rsidR="00942D4B">
        <w:rPr>
          <w:rFonts w:ascii="Calibri" w:hAnsi="Calibri"/>
        </w:rPr>
        <w:t>T</w:t>
      </w:r>
      <w:r w:rsidRPr="00D344A1">
        <w:rPr>
          <w:rFonts w:ascii="Calibri" w:hAnsi="Calibri"/>
        </w:rPr>
        <w:t xml:space="preserve">he interim constitution </w:t>
      </w:r>
      <w:r w:rsidR="00942D4B">
        <w:rPr>
          <w:rFonts w:ascii="Calibri" w:hAnsi="Calibri"/>
        </w:rPr>
        <w:t>of</w:t>
      </w:r>
      <w:r w:rsidRPr="00D344A1">
        <w:rPr>
          <w:rFonts w:ascii="Calibri" w:hAnsi="Calibri"/>
        </w:rPr>
        <w:t xml:space="preserve"> 2006 </w:t>
      </w:r>
      <w:r w:rsidR="00D914BB">
        <w:rPr>
          <w:rFonts w:ascii="Calibri" w:hAnsi="Calibri"/>
        </w:rPr>
        <w:t>replaced the monarch</w:t>
      </w:r>
      <w:r w:rsidRPr="00D344A1">
        <w:rPr>
          <w:rFonts w:ascii="Calibri" w:hAnsi="Calibri"/>
        </w:rPr>
        <w:t xml:space="preserve"> King with an in</w:t>
      </w:r>
      <w:r w:rsidR="00942D4B">
        <w:rPr>
          <w:rFonts w:ascii="Calibri" w:hAnsi="Calibri"/>
        </w:rPr>
        <w:t>te</w:t>
      </w:r>
      <w:r w:rsidR="00D914BB">
        <w:rPr>
          <w:rFonts w:ascii="Calibri" w:hAnsi="Calibri"/>
        </w:rPr>
        <w:t>rim House of Representatives. In</w:t>
      </w:r>
      <w:r w:rsidRPr="00D344A1">
        <w:rPr>
          <w:rFonts w:ascii="Calibri" w:hAnsi="Calibri"/>
        </w:rPr>
        <w:t xml:space="preserve"> 2007, Nepal became a federal republic with a president as the head of state. A key aspect of the CPA was </w:t>
      </w:r>
      <w:r w:rsidR="00D914BB">
        <w:rPr>
          <w:rFonts w:ascii="Calibri" w:hAnsi="Calibri"/>
        </w:rPr>
        <w:t xml:space="preserve">drafting </w:t>
      </w:r>
      <w:r w:rsidRPr="00D344A1">
        <w:rPr>
          <w:rFonts w:ascii="Calibri" w:hAnsi="Calibri"/>
        </w:rPr>
        <w:t>a new constitution</w:t>
      </w:r>
      <w:r w:rsidR="006F35AD">
        <w:rPr>
          <w:rFonts w:ascii="Calibri" w:hAnsi="Calibri"/>
        </w:rPr>
        <w:t>,</w:t>
      </w:r>
      <w:r w:rsidRPr="00D344A1">
        <w:rPr>
          <w:rFonts w:ascii="Calibri" w:hAnsi="Calibri"/>
        </w:rPr>
        <w:t xml:space="preserve"> which afforded equal rights to the peoples of Nepal, with particular emphasis placed on </w:t>
      </w:r>
      <w:r w:rsidR="00D914BB">
        <w:rPr>
          <w:rFonts w:ascii="Calibri" w:hAnsi="Calibri"/>
        </w:rPr>
        <w:t xml:space="preserve">eradicating </w:t>
      </w:r>
      <w:r w:rsidRPr="00D344A1">
        <w:rPr>
          <w:rFonts w:ascii="Calibri" w:hAnsi="Calibri"/>
        </w:rPr>
        <w:t xml:space="preserve">caste and ethnic divisions </w:t>
      </w:r>
      <w:r w:rsidR="00D914BB">
        <w:rPr>
          <w:rFonts w:ascii="Calibri" w:hAnsi="Calibri"/>
        </w:rPr>
        <w:t>in</w:t>
      </w:r>
      <w:r w:rsidRPr="00D344A1">
        <w:rPr>
          <w:rFonts w:ascii="Calibri" w:hAnsi="Calibri"/>
        </w:rPr>
        <w:t xml:space="preserve"> the country.</w:t>
      </w:r>
      <w:r w:rsidRPr="00D344A1">
        <w:rPr>
          <w:rStyle w:val="FootnoteReference"/>
          <w:rFonts w:ascii="Calibri" w:hAnsi="Calibri"/>
        </w:rPr>
        <w:footnoteReference w:id="177"/>
      </w:r>
      <w:r w:rsidRPr="00D344A1">
        <w:rPr>
          <w:rFonts w:ascii="Calibri" w:hAnsi="Calibri"/>
        </w:rPr>
        <w:t xml:space="preserve"> However, progress on this project has been hamstrung by differing visions for the future of Nepal and an agreed draft remains forthcoming.</w:t>
      </w:r>
      <w:r w:rsidRPr="00D344A1">
        <w:rPr>
          <w:rStyle w:val="FootnoteReference"/>
          <w:rFonts w:ascii="Calibri" w:hAnsi="Calibri"/>
        </w:rPr>
        <w:footnoteReference w:id="178"/>
      </w:r>
      <w:r w:rsidRPr="00D344A1">
        <w:rPr>
          <w:rFonts w:ascii="Calibri" w:hAnsi="Calibri"/>
        </w:rPr>
        <w:t xml:space="preserve"> This uncertainty has left the nation in a seemingly intractable state of political deadlock for some years. </w:t>
      </w:r>
    </w:p>
    <w:p w14:paraId="6C221959" w14:textId="02658C20" w:rsidR="005C68CA" w:rsidRPr="00BC2C39" w:rsidRDefault="005C68CA" w:rsidP="007F364C">
      <w:pPr>
        <w:pStyle w:val="ListParagraph"/>
        <w:numPr>
          <w:ilvl w:val="0"/>
          <w:numId w:val="10"/>
        </w:numPr>
        <w:spacing w:before="100" w:beforeAutospacing="1" w:after="100" w:afterAutospacing="1"/>
        <w:jc w:val="both"/>
        <w:rPr>
          <w:rFonts w:ascii="Calibri" w:hAnsi="Calibri"/>
          <w:b/>
          <w:color w:val="1F497D" w:themeColor="text2"/>
        </w:rPr>
      </w:pPr>
      <w:r w:rsidRPr="00BC2C39">
        <w:rPr>
          <w:rFonts w:ascii="Calibri" w:hAnsi="Calibri"/>
          <w:b/>
          <w:color w:val="1F497D" w:themeColor="text2"/>
        </w:rPr>
        <w:t>Nepal’s National Action Plan</w:t>
      </w:r>
      <w:r w:rsidR="000976C3" w:rsidRPr="00BC2C39">
        <w:rPr>
          <w:rFonts w:ascii="Calibri" w:hAnsi="Calibri"/>
          <w:b/>
          <w:color w:val="1F497D" w:themeColor="text2"/>
        </w:rPr>
        <w:t xml:space="preserve"> (2011-16)</w:t>
      </w:r>
    </w:p>
    <w:p w14:paraId="73334D8F" w14:textId="202309DE" w:rsidR="005C68CA" w:rsidRPr="00D344A1" w:rsidRDefault="00F55EA8" w:rsidP="00BC2C39">
      <w:pPr>
        <w:spacing w:before="100" w:beforeAutospacing="1" w:after="100" w:afterAutospacing="1" w:line="360" w:lineRule="auto"/>
        <w:jc w:val="both"/>
        <w:rPr>
          <w:rFonts w:ascii="Calibri" w:hAnsi="Calibri"/>
        </w:rPr>
      </w:pPr>
      <w:r>
        <w:rPr>
          <w:rFonts w:ascii="Calibri" w:hAnsi="Calibri"/>
        </w:rPr>
        <w:t>By adopting a</w:t>
      </w:r>
      <w:r w:rsidR="000976C3">
        <w:rPr>
          <w:rFonts w:ascii="Calibri" w:hAnsi="Calibri"/>
        </w:rPr>
        <w:t xml:space="preserve"> National Action Plan (NAP) </w:t>
      </w:r>
      <w:r w:rsidR="00AC27C7">
        <w:rPr>
          <w:rFonts w:ascii="Calibri" w:hAnsi="Calibri"/>
        </w:rPr>
        <w:t>on the Imple</w:t>
      </w:r>
      <w:r w:rsidR="00627211">
        <w:rPr>
          <w:rFonts w:ascii="Calibri" w:hAnsi="Calibri"/>
        </w:rPr>
        <w:t>mentation of Security Council Resolution</w:t>
      </w:r>
      <w:r w:rsidR="0097569B">
        <w:rPr>
          <w:rFonts w:ascii="Calibri" w:hAnsi="Calibri"/>
        </w:rPr>
        <w:t>s 1325 and 1820</w:t>
      </w:r>
      <w:r w:rsidR="00AC27C7">
        <w:rPr>
          <w:rFonts w:ascii="Calibri" w:hAnsi="Calibri"/>
        </w:rPr>
        <w:t xml:space="preserve"> (which condemns rape and sexual violence)</w:t>
      </w:r>
      <w:r w:rsidR="00627211">
        <w:rPr>
          <w:rStyle w:val="FootnoteReference"/>
          <w:rFonts w:ascii="Calibri" w:hAnsi="Calibri"/>
        </w:rPr>
        <w:footnoteReference w:id="179"/>
      </w:r>
      <w:r w:rsidR="00AC27C7">
        <w:rPr>
          <w:rFonts w:ascii="Calibri" w:hAnsi="Calibri"/>
        </w:rPr>
        <w:t xml:space="preserve"> on </w:t>
      </w:r>
      <w:r w:rsidR="005C68CA" w:rsidRPr="00D344A1">
        <w:rPr>
          <w:rFonts w:ascii="Calibri" w:hAnsi="Calibri"/>
        </w:rPr>
        <w:t>1</w:t>
      </w:r>
      <w:r>
        <w:rPr>
          <w:rFonts w:ascii="Calibri" w:hAnsi="Calibri"/>
        </w:rPr>
        <w:t xml:space="preserve">7 February 2011, </w:t>
      </w:r>
      <w:r w:rsidR="006F35AD">
        <w:rPr>
          <w:rFonts w:ascii="Calibri" w:hAnsi="Calibri"/>
        </w:rPr>
        <w:t xml:space="preserve">Nepal was the </w:t>
      </w:r>
      <w:r w:rsidR="005C68CA" w:rsidRPr="00D344A1">
        <w:rPr>
          <w:rFonts w:ascii="Calibri" w:hAnsi="Calibri"/>
        </w:rPr>
        <w:t>first country in South Asia and the second in Asia</w:t>
      </w:r>
      <w:r w:rsidR="00AC2C21">
        <w:rPr>
          <w:rFonts w:ascii="Calibri" w:hAnsi="Calibri"/>
        </w:rPr>
        <w:t xml:space="preserve"> to implement a NAP</w:t>
      </w:r>
      <w:r>
        <w:rPr>
          <w:rFonts w:ascii="Calibri" w:hAnsi="Calibri"/>
        </w:rPr>
        <w:t>.</w:t>
      </w:r>
      <w:r w:rsidR="005C68CA" w:rsidRPr="00D344A1">
        <w:rPr>
          <w:rStyle w:val="FootnoteReference"/>
          <w:rFonts w:ascii="Calibri" w:hAnsi="Calibri"/>
        </w:rPr>
        <w:footnoteReference w:id="180"/>
      </w:r>
      <w:r w:rsidR="005C68CA" w:rsidRPr="00D344A1">
        <w:rPr>
          <w:rFonts w:ascii="Calibri" w:hAnsi="Calibri"/>
        </w:rPr>
        <w:t xml:space="preserve"> The NAP</w:t>
      </w:r>
      <w:r w:rsidR="00AC2C21">
        <w:rPr>
          <w:rFonts w:ascii="Calibri" w:hAnsi="Calibri"/>
        </w:rPr>
        <w:t xml:space="preserve">, which was adopted by the Ministry of Peace and Reconstruction (the Ministry) remains in force until 2016. The </w:t>
      </w:r>
      <w:r w:rsidR="00E70167">
        <w:rPr>
          <w:rFonts w:ascii="Calibri" w:hAnsi="Calibri"/>
        </w:rPr>
        <w:t>NAP</w:t>
      </w:r>
      <w:r w:rsidR="00AC2C21">
        <w:rPr>
          <w:rFonts w:ascii="Calibri" w:hAnsi="Calibri"/>
        </w:rPr>
        <w:t xml:space="preserve"> was the result</w:t>
      </w:r>
      <w:r w:rsidR="005C68CA" w:rsidRPr="00D344A1">
        <w:rPr>
          <w:rFonts w:ascii="Calibri" w:hAnsi="Calibri"/>
        </w:rPr>
        <w:t xml:space="preserve"> </w:t>
      </w:r>
      <w:r w:rsidR="00AC2C21">
        <w:rPr>
          <w:rFonts w:ascii="Calibri" w:hAnsi="Calibri"/>
        </w:rPr>
        <w:t>of</w:t>
      </w:r>
      <w:r w:rsidR="005C68CA" w:rsidRPr="00D344A1">
        <w:rPr>
          <w:rFonts w:ascii="Calibri" w:hAnsi="Calibri"/>
        </w:rPr>
        <w:t xml:space="preserve"> an </w:t>
      </w:r>
      <w:r w:rsidR="005C68CA" w:rsidRPr="00BC2C39">
        <w:rPr>
          <w:rFonts w:ascii="Calibri" w:hAnsi="Calibri"/>
          <w:b/>
          <w:color w:val="1F497D" w:themeColor="text2"/>
        </w:rPr>
        <w:lastRenderedPageBreak/>
        <w:t>extensive consultation</w:t>
      </w:r>
      <w:r w:rsidR="005C68CA" w:rsidRPr="00D344A1">
        <w:rPr>
          <w:rFonts w:ascii="Calibri" w:hAnsi="Calibri"/>
        </w:rPr>
        <w:t xml:space="preserve"> process</w:t>
      </w:r>
      <w:r w:rsidR="00350E67">
        <w:rPr>
          <w:rFonts w:ascii="Calibri" w:hAnsi="Calibri"/>
        </w:rPr>
        <w:t>,</w:t>
      </w:r>
      <w:r w:rsidR="005C68CA" w:rsidRPr="00D344A1">
        <w:rPr>
          <w:rFonts w:ascii="Calibri" w:hAnsi="Calibri"/>
        </w:rPr>
        <w:t xml:space="preserve"> led by the Ministry </w:t>
      </w:r>
      <w:r w:rsidR="00350E67">
        <w:rPr>
          <w:rFonts w:ascii="Calibri" w:hAnsi="Calibri"/>
        </w:rPr>
        <w:t>and including</w:t>
      </w:r>
      <w:r w:rsidR="005C68CA" w:rsidRPr="00D344A1">
        <w:rPr>
          <w:rFonts w:ascii="Calibri" w:hAnsi="Calibri"/>
        </w:rPr>
        <w:t xml:space="preserve"> other government agencies, international NGOs and donor organisations, development partners, and civil society.</w:t>
      </w:r>
      <w:r w:rsidR="005C68CA" w:rsidRPr="00D344A1">
        <w:rPr>
          <w:rStyle w:val="FootnoteReference"/>
          <w:rFonts w:ascii="Calibri" w:hAnsi="Calibri"/>
        </w:rPr>
        <w:footnoteReference w:id="181"/>
      </w:r>
      <w:r w:rsidR="005C68CA" w:rsidRPr="00D344A1">
        <w:rPr>
          <w:rFonts w:ascii="Calibri" w:hAnsi="Calibri"/>
        </w:rPr>
        <w:t xml:space="preserve"> </w:t>
      </w:r>
      <w:r>
        <w:rPr>
          <w:rFonts w:ascii="Calibri" w:hAnsi="Calibri"/>
        </w:rPr>
        <w:t>Nepal has been praised for holding</w:t>
      </w:r>
      <w:r w:rsidR="005C68CA" w:rsidRPr="00D344A1">
        <w:rPr>
          <w:rFonts w:ascii="Calibri" w:hAnsi="Calibri"/>
        </w:rPr>
        <w:t xml:space="preserve"> “of one of the most, if not the most, consultative processes including 52 district level consultations, 10 regional consultations, and separate special consultations with women and girls directly affected by conflict.”</w:t>
      </w:r>
      <w:r w:rsidR="005C68CA" w:rsidRPr="00D344A1">
        <w:rPr>
          <w:rStyle w:val="FootnoteReference"/>
          <w:rFonts w:ascii="Calibri" w:hAnsi="Calibri"/>
        </w:rPr>
        <w:footnoteReference w:id="182"/>
      </w:r>
      <w:r w:rsidR="005C68CA" w:rsidRPr="00D344A1">
        <w:rPr>
          <w:rFonts w:ascii="Calibri" w:hAnsi="Calibri"/>
        </w:rPr>
        <w:t xml:space="preserve"> The NAP has also been lauded for its comprehensiveness</w:t>
      </w:r>
      <w:r>
        <w:rPr>
          <w:rFonts w:ascii="Calibri" w:hAnsi="Calibri"/>
        </w:rPr>
        <w:t xml:space="preserve">, both in providing a </w:t>
      </w:r>
      <w:r w:rsidR="005C68CA" w:rsidRPr="00D344A1">
        <w:rPr>
          <w:rFonts w:ascii="Calibri" w:hAnsi="Calibri"/>
        </w:rPr>
        <w:t xml:space="preserve">detailed and frank background </w:t>
      </w:r>
      <w:r>
        <w:rPr>
          <w:rFonts w:ascii="Calibri" w:hAnsi="Calibri"/>
        </w:rPr>
        <w:t>to conflict and post-conflict issues in Nepal</w:t>
      </w:r>
      <w:r w:rsidR="005C68CA" w:rsidRPr="00D344A1">
        <w:rPr>
          <w:rFonts w:ascii="Calibri" w:hAnsi="Calibri"/>
        </w:rPr>
        <w:t xml:space="preserve"> and in setting out a rigorous and detailed plan.</w:t>
      </w:r>
      <w:r w:rsidR="005C68CA" w:rsidRPr="00D344A1">
        <w:rPr>
          <w:rStyle w:val="FootnoteReference"/>
          <w:rFonts w:ascii="Calibri" w:hAnsi="Calibri"/>
        </w:rPr>
        <w:footnoteReference w:id="183"/>
      </w:r>
    </w:p>
    <w:p w14:paraId="12336C40" w14:textId="41F095CD" w:rsidR="005C68CA" w:rsidRDefault="005C68CA" w:rsidP="00BC2C39">
      <w:pPr>
        <w:spacing w:before="100" w:beforeAutospacing="1" w:after="100" w:afterAutospacing="1" w:line="360" w:lineRule="auto"/>
        <w:jc w:val="both"/>
        <w:rPr>
          <w:rFonts w:ascii="Calibri" w:hAnsi="Calibri"/>
        </w:rPr>
      </w:pPr>
      <w:r w:rsidRPr="00D344A1">
        <w:rPr>
          <w:rFonts w:ascii="Calibri" w:hAnsi="Calibri"/>
        </w:rPr>
        <w:t xml:space="preserve">The NAP is </w:t>
      </w:r>
      <w:r w:rsidR="00820159">
        <w:rPr>
          <w:rFonts w:ascii="Calibri" w:hAnsi="Calibri"/>
        </w:rPr>
        <w:t>structured around five pillars</w:t>
      </w:r>
      <w:r w:rsidRPr="00D344A1">
        <w:rPr>
          <w:rFonts w:ascii="Calibri" w:hAnsi="Calibri"/>
        </w:rPr>
        <w:t>.</w:t>
      </w:r>
      <w:r w:rsidRPr="00D344A1">
        <w:rPr>
          <w:rStyle w:val="FootnoteReference"/>
          <w:rFonts w:ascii="Calibri" w:hAnsi="Calibri"/>
        </w:rPr>
        <w:footnoteReference w:id="184"/>
      </w:r>
      <w:r w:rsidR="0098580C">
        <w:rPr>
          <w:rFonts w:ascii="Calibri" w:hAnsi="Calibri"/>
        </w:rPr>
        <w:t xml:space="preserve"> These include the four pillars of SCR 1325, </w:t>
      </w:r>
      <w:r w:rsidR="00AC27C7">
        <w:rPr>
          <w:rFonts w:ascii="Calibri" w:hAnsi="Calibri"/>
        </w:rPr>
        <w:t xml:space="preserve">and </w:t>
      </w:r>
      <w:r w:rsidR="00C8102E">
        <w:rPr>
          <w:rFonts w:ascii="Calibri" w:hAnsi="Calibri"/>
        </w:rPr>
        <w:t xml:space="preserve">an </w:t>
      </w:r>
      <w:r w:rsidR="00C8102E" w:rsidRPr="00BC2C39">
        <w:rPr>
          <w:rFonts w:ascii="Calibri" w:hAnsi="Calibri"/>
          <w:b/>
          <w:color w:val="4F81BD" w:themeColor="accent1"/>
        </w:rPr>
        <w:t>important</w:t>
      </w:r>
      <w:r w:rsidR="0098580C" w:rsidRPr="00BC2C39">
        <w:rPr>
          <w:rFonts w:ascii="Calibri" w:hAnsi="Calibri"/>
          <w:b/>
          <w:color w:val="4F81BD" w:themeColor="accent1"/>
        </w:rPr>
        <w:t xml:space="preserve"> fifth pillar </w:t>
      </w:r>
      <w:r w:rsidR="00AC27C7" w:rsidRPr="00BC2C39">
        <w:rPr>
          <w:rFonts w:ascii="Calibri" w:hAnsi="Calibri"/>
          <w:b/>
          <w:color w:val="4F81BD" w:themeColor="accent1"/>
        </w:rPr>
        <w:t>on resourcing</w:t>
      </w:r>
      <w:r w:rsidR="00AC27C7" w:rsidRPr="00BC2C39">
        <w:rPr>
          <w:rFonts w:ascii="Calibri" w:hAnsi="Calibri"/>
          <w:color w:val="4F81BD" w:themeColor="accent1"/>
        </w:rPr>
        <w:t xml:space="preserve"> </w:t>
      </w:r>
      <w:r w:rsidR="0098580C" w:rsidRPr="00BC2C39">
        <w:rPr>
          <w:rFonts w:ascii="Calibri" w:hAnsi="Calibri"/>
          <w:b/>
          <w:color w:val="4F81BD" w:themeColor="accent1"/>
        </w:rPr>
        <w:t>that should arguably be included in every country’s NAP</w:t>
      </w:r>
      <w:r w:rsidR="0098580C">
        <w:rPr>
          <w:rFonts w:ascii="Calibri" w:hAnsi="Calibri"/>
        </w:rPr>
        <w:t xml:space="preserve">. </w:t>
      </w:r>
      <w:r w:rsidRPr="00D344A1">
        <w:rPr>
          <w:rFonts w:ascii="Calibri" w:hAnsi="Calibri"/>
        </w:rPr>
        <w:t>The</w:t>
      </w:r>
      <w:r w:rsidR="00AC27C7">
        <w:rPr>
          <w:rFonts w:ascii="Calibri" w:hAnsi="Calibri"/>
        </w:rPr>
        <w:t xml:space="preserve"> pillars </w:t>
      </w:r>
      <w:r w:rsidR="00820159">
        <w:rPr>
          <w:rFonts w:ascii="Calibri" w:hAnsi="Calibri"/>
        </w:rPr>
        <w:t>are: 1)</w:t>
      </w:r>
      <w:r w:rsidRPr="00D344A1">
        <w:rPr>
          <w:rFonts w:ascii="Calibri" w:hAnsi="Calibri"/>
        </w:rPr>
        <w:t xml:space="preserve"> </w:t>
      </w:r>
      <w:r w:rsidR="00820159">
        <w:rPr>
          <w:rFonts w:ascii="Calibri" w:hAnsi="Calibri"/>
        </w:rPr>
        <w:t>E</w:t>
      </w:r>
      <w:r w:rsidRPr="00D344A1">
        <w:rPr>
          <w:rFonts w:ascii="Calibri" w:hAnsi="Calibri"/>
        </w:rPr>
        <w:t>nsuring that women gain equal and meaningful opportunities to participate in decision-making du</w:t>
      </w:r>
      <w:r w:rsidR="00820159">
        <w:rPr>
          <w:rFonts w:ascii="Calibri" w:hAnsi="Calibri"/>
        </w:rPr>
        <w:t>ring the peace building process; 2)</w:t>
      </w:r>
      <w:r w:rsidRPr="00D344A1">
        <w:rPr>
          <w:rFonts w:ascii="Calibri" w:hAnsi="Calibri"/>
        </w:rPr>
        <w:t xml:space="preserve"> </w:t>
      </w:r>
      <w:r w:rsidR="00820159">
        <w:rPr>
          <w:rFonts w:ascii="Calibri" w:hAnsi="Calibri"/>
        </w:rPr>
        <w:t>The</w:t>
      </w:r>
      <w:r w:rsidRPr="00D344A1">
        <w:rPr>
          <w:rFonts w:ascii="Calibri" w:hAnsi="Calibri"/>
        </w:rPr>
        <w:t xml:space="preserve"> protection of women and girls from the violation of their rights during the post-conflict period and</w:t>
      </w:r>
      <w:r w:rsidR="00820159">
        <w:rPr>
          <w:rFonts w:ascii="Calibri" w:hAnsi="Calibri"/>
        </w:rPr>
        <w:t xml:space="preserve"> prevention of such violations; 3) Promoting</w:t>
      </w:r>
      <w:r w:rsidRPr="00D344A1">
        <w:rPr>
          <w:rFonts w:ascii="Calibri" w:hAnsi="Calibri"/>
        </w:rPr>
        <w:t xml:space="preserve"> the rights of women and girls and particularly the importance of gender-mainstreaming in all phases of the conflict transformat</w:t>
      </w:r>
      <w:r w:rsidR="00820159">
        <w:rPr>
          <w:rFonts w:ascii="Calibri" w:hAnsi="Calibri"/>
        </w:rPr>
        <w:t>ion and peace building process; 4) Ensuring</w:t>
      </w:r>
      <w:r w:rsidRPr="00D344A1">
        <w:rPr>
          <w:rFonts w:ascii="Calibri" w:hAnsi="Calibri"/>
        </w:rPr>
        <w:t xml:space="preserve"> that women are a part of the formulation and implementation of post-conflict relief and recovery measures to ensure that their sp</w:t>
      </w:r>
      <w:r w:rsidR="00820159">
        <w:rPr>
          <w:rFonts w:ascii="Calibri" w:hAnsi="Calibri"/>
        </w:rPr>
        <w:t>ecial needs are adequately met; and 5) Ensuring</w:t>
      </w:r>
      <w:r w:rsidRPr="00D344A1">
        <w:rPr>
          <w:rFonts w:ascii="Calibri" w:hAnsi="Calibri"/>
        </w:rPr>
        <w:t xml:space="preserve"> that resource mobilisation, and monitoring and evaluation of the NAP is sufficient </w:t>
      </w:r>
      <w:r w:rsidR="00AC27C7">
        <w:rPr>
          <w:rFonts w:ascii="Calibri" w:hAnsi="Calibri"/>
        </w:rPr>
        <w:t>to efficiently meet its stated</w:t>
      </w:r>
      <w:r w:rsidRPr="00D344A1">
        <w:rPr>
          <w:rFonts w:ascii="Calibri" w:hAnsi="Calibri"/>
        </w:rPr>
        <w:t xml:space="preserve"> goals. </w:t>
      </w:r>
    </w:p>
    <w:p w14:paraId="370D53BF" w14:textId="22CB1C6E" w:rsidR="00C9177E" w:rsidRDefault="00A61E6C" w:rsidP="00BC2C39">
      <w:pPr>
        <w:spacing w:before="100" w:beforeAutospacing="1" w:after="100" w:afterAutospacing="1" w:line="360" w:lineRule="auto"/>
        <w:jc w:val="both"/>
        <w:rPr>
          <w:rFonts w:ascii="Calibri" w:hAnsi="Calibri"/>
        </w:rPr>
      </w:pPr>
      <w:r>
        <w:rPr>
          <w:rFonts w:ascii="Calibri" w:hAnsi="Calibri"/>
        </w:rPr>
        <w:t>Nepal’s</w:t>
      </w:r>
      <w:r w:rsidR="00627211">
        <w:rPr>
          <w:rFonts w:ascii="Calibri" w:hAnsi="Calibri"/>
        </w:rPr>
        <w:t xml:space="preserve"> NAP</w:t>
      </w:r>
      <w:r>
        <w:rPr>
          <w:rFonts w:ascii="Calibri" w:hAnsi="Calibri"/>
        </w:rPr>
        <w:t>,</w:t>
      </w:r>
      <w:r w:rsidR="00627211">
        <w:rPr>
          <w:rFonts w:ascii="Calibri" w:hAnsi="Calibri"/>
        </w:rPr>
        <w:t xml:space="preserve"> like that of the DRC, </w:t>
      </w:r>
      <w:r w:rsidR="00BA1663" w:rsidRPr="00BC2C39">
        <w:rPr>
          <w:rFonts w:ascii="Calibri" w:hAnsi="Calibri"/>
          <w:b/>
          <w:color w:val="4F81BD" w:themeColor="accent1"/>
        </w:rPr>
        <w:t>reflects</w:t>
      </w:r>
      <w:r w:rsidR="00627211" w:rsidRPr="00BC2C39">
        <w:rPr>
          <w:rFonts w:ascii="Calibri" w:hAnsi="Calibri"/>
          <w:b/>
          <w:color w:val="4F81BD" w:themeColor="accent1"/>
        </w:rPr>
        <w:t xml:space="preserve"> </w:t>
      </w:r>
      <w:r w:rsidR="00BA1663" w:rsidRPr="00BC2C39">
        <w:rPr>
          <w:rFonts w:ascii="Calibri" w:hAnsi="Calibri"/>
          <w:b/>
          <w:color w:val="4F81BD" w:themeColor="accent1"/>
        </w:rPr>
        <w:t>binding</w:t>
      </w:r>
      <w:r w:rsidR="00627211" w:rsidRPr="00BC2C39">
        <w:rPr>
          <w:rFonts w:ascii="Calibri" w:hAnsi="Calibri"/>
          <w:b/>
          <w:color w:val="4F81BD" w:themeColor="accent1"/>
        </w:rPr>
        <w:t xml:space="preserve"> obligations under the legal framework</w:t>
      </w:r>
      <w:r w:rsidR="00627211">
        <w:rPr>
          <w:rFonts w:ascii="Calibri" w:hAnsi="Calibri"/>
        </w:rPr>
        <w:t xml:space="preserve"> on women, peace and security, drawn not only from the SCRs but also from CEDAW and the BPfA. The NAP lists several policies and plans that are relevant to women, peace and security. These include </w:t>
      </w:r>
      <w:r w:rsidR="00C9177E">
        <w:rPr>
          <w:rFonts w:ascii="Calibri" w:hAnsi="Calibri"/>
        </w:rPr>
        <w:t xml:space="preserve">the </w:t>
      </w:r>
      <w:r w:rsidR="00627211">
        <w:rPr>
          <w:rFonts w:ascii="Calibri" w:hAnsi="Calibri"/>
        </w:rPr>
        <w:t>Nationa</w:t>
      </w:r>
      <w:r>
        <w:rPr>
          <w:rFonts w:ascii="Calibri" w:hAnsi="Calibri"/>
        </w:rPr>
        <w:t>l Action Plans</w:t>
      </w:r>
      <w:r w:rsidR="00AF7F0B">
        <w:rPr>
          <w:rFonts w:ascii="Calibri" w:hAnsi="Calibri"/>
        </w:rPr>
        <w:t>:</w:t>
      </w:r>
      <w:r w:rsidR="00627211">
        <w:rPr>
          <w:rFonts w:ascii="Calibri" w:hAnsi="Calibri"/>
        </w:rPr>
        <w:t xml:space="preserve"> </w:t>
      </w:r>
      <w:r w:rsidR="00C9177E">
        <w:rPr>
          <w:rFonts w:ascii="Calibri" w:hAnsi="Calibri"/>
        </w:rPr>
        <w:t xml:space="preserve">on the Implementation of </w:t>
      </w:r>
      <w:r w:rsidR="00627211">
        <w:rPr>
          <w:rFonts w:ascii="Calibri" w:hAnsi="Calibri"/>
        </w:rPr>
        <w:t>CEDA</w:t>
      </w:r>
      <w:r w:rsidR="00AF7F0B">
        <w:rPr>
          <w:rFonts w:ascii="Calibri" w:hAnsi="Calibri"/>
        </w:rPr>
        <w:t xml:space="preserve">W (2004); on </w:t>
      </w:r>
      <w:r w:rsidR="00C9177E">
        <w:rPr>
          <w:rFonts w:ascii="Calibri" w:hAnsi="Calibri"/>
        </w:rPr>
        <w:t xml:space="preserve">Gender Equality and Empowerment of Women (2005) which </w:t>
      </w:r>
      <w:r w:rsidR="00AC2C21">
        <w:rPr>
          <w:rFonts w:ascii="Calibri" w:hAnsi="Calibri"/>
        </w:rPr>
        <w:t>outlines</w:t>
      </w:r>
      <w:r w:rsidR="00C9177E">
        <w:rPr>
          <w:rFonts w:ascii="Calibri" w:hAnsi="Calibri"/>
        </w:rPr>
        <w:t xml:space="preserve"> Nepal’s commitments </w:t>
      </w:r>
      <w:r w:rsidR="00AC2C21">
        <w:rPr>
          <w:rFonts w:ascii="Calibri" w:hAnsi="Calibri"/>
        </w:rPr>
        <w:t>in relation to t</w:t>
      </w:r>
      <w:r>
        <w:rPr>
          <w:rFonts w:ascii="Calibri" w:hAnsi="Calibri"/>
        </w:rPr>
        <w:t>he BPfA</w:t>
      </w:r>
      <w:r w:rsidR="00AF7F0B">
        <w:rPr>
          <w:rFonts w:ascii="Calibri" w:hAnsi="Calibri"/>
        </w:rPr>
        <w:t xml:space="preserve">; and </w:t>
      </w:r>
      <w:r>
        <w:rPr>
          <w:rFonts w:ascii="Calibri" w:hAnsi="Calibri"/>
        </w:rPr>
        <w:t>against Gender-Based Violence is also relevant to</w:t>
      </w:r>
      <w:r w:rsidR="00C9177E">
        <w:rPr>
          <w:rFonts w:ascii="Calibri" w:hAnsi="Calibri"/>
        </w:rPr>
        <w:t xml:space="preserve"> addressing conflict</w:t>
      </w:r>
      <w:r w:rsidR="00AF7F0B">
        <w:rPr>
          <w:rFonts w:ascii="Calibri" w:hAnsi="Calibri"/>
        </w:rPr>
        <w:t xml:space="preserve">-related SGBV. The </w:t>
      </w:r>
      <w:r w:rsidR="00C9177E">
        <w:rPr>
          <w:rFonts w:ascii="Calibri" w:hAnsi="Calibri"/>
        </w:rPr>
        <w:t>Government’s three-year national human rights plan and its Local Peace Committees</w:t>
      </w:r>
      <w:r w:rsidR="00AF7F0B">
        <w:rPr>
          <w:rFonts w:ascii="Calibri" w:hAnsi="Calibri"/>
        </w:rPr>
        <w:t xml:space="preserve"> are also relevant to the legal framework, and the NAP notes the need for women’s participation in the latter</w:t>
      </w:r>
      <w:r w:rsidR="00C9177E">
        <w:rPr>
          <w:rFonts w:ascii="Calibri" w:hAnsi="Calibri"/>
        </w:rPr>
        <w:t>.</w:t>
      </w:r>
      <w:r w:rsidR="00C9177E" w:rsidRPr="00C9177E">
        <w:rPr>
          <w:rStyle w:val="FootnoteReference"/>
          <w:rFonts w:ascii="Calibri" w:hAnsi="Calibri"/>
        </w:rPr>
        <w:t xml:space="preserve"> </w:t>
      </w:r>
      <w:r w:rsidR="00C9177E">
        <w:rPr>
          <w:rStyle w:val="FootnoteReference"/>
          <w:rFonts w:ascii="Calibri" w:hAnsi="Calibri"/>
        </w:rPr>
        <w:footnoteReference w:id="185"/>
      </w:r>
      <w:r w:rsidR="00C9177E">
        <w:rPr>
          <w:rFonts w:ascii="Calibri" w:hAnsi="Calibri"/>
        </w:rPr>
        <w:t xml:space="preserve"> Although</w:t>
      </w:r>
      <w:r>
        <w:rPr>
          <w:rFonts w:ascii="Calibri" w:hAnsi="Calibri"/>
        </w:rPr>
        <w:t xml:space="preserve"> Nepal’s</w:t>
      </w:r>
      <w:r w:rsidR="00C9177E">
        <w:rPr>
          <w:rFonts w:ascii="Calibri" w:hAnsi="Calibri"/>
        </w:rPr>
        <w:t xml:space="preserve"> international l</w:t>
      </w:r>
      <w:r w:rsidR="002C30B7">
        <w:rPr>
          <w:rFonts w:ascii="Calibri" w:hAnsi="Calibri"/>
        </w:rPr>
        <w:t xml:space="preserve">egal obligations </w:t>
      </w:r>
      <w:r>
        <w:rPr>
          <w:rFonts w:ascii="Calibri" w:hAnsi="Calibri"/>
        </w:rPr>
        <w:t>are</w:t>
      </w:r>
      <w:r w:rsidR="00C9177E">
        <w:rPr>
          <w:rFonts w:ascii="Calibri" w:hAnsi="Calibri"/>
        </w:rPr>
        <w:t xml:space="preserve"> not a</w:t>
      </w:r>
      <w:r w:rsidR="00AC2C21">
        <w:rPr>
          <w:rFonts w:ascii="Calibri" w:hAnsi="Calibri"/>
        </w:rPr>
        <w:t>n explicit</w:t>
      </w:r>
      <w:r w:rsidR="00C9177E">
        <w:rPr>
          <w:rFonts w:ascii="Calibri" w:hAnsi="Calibri"/>
        </w:rPr>
        <w:t xml:space="preserve"> focus of the NAP, the inclusion of these documents</w:t>
      </w:r>
      <w:r w:rsidR="002C30B7">
        <w:rPr>
          <w:rFonts w:ascii="Calibri" w:hAnsi="Calibri"/>
        </w:rPr>
        <w:t xml:space="preserve"> in the NAP</w:t>
      </w:r>
      <w:r w:rsidR="00C9177E">
        <w:rPr>
          <w:rFonts w:ascii="Calibri" w:hAnsi="Calibri"/>
        </w:rPr>
        <w:t xml:space="preserve"> </w:t>
      </w:r>
      <w:r w:rsidR="002C30B7">
        <w:rPr>
          <w:rFonts w:ascii="Calibri" w:hAnsi="Calibri"/>
        </w:rPr>
        <w:t>reflects Nepal’s</w:t>
      </w:r>
      <w:r w:rsidR="00C9177E">
        <w:rPr>
          <w:rFonts w:ascii="Calibri" w:hAnsi="Calibri"/>
        </w:rPr>
        <w:t xml:space="preserve"> whole-of-government, multi-sectoral and holistic approach</w:t>
      </w:r>
      <w:r w:rsidR="00C8102E">
        <w:rPr>
          <w:rFonts w:ascii="Calibri" w:hAnsi="Calibri"/>
        </w:rPr>
        <w:t xml:space="preserve">, grounded in the legal framework, </w:t>
      </w:r>
      <w:r w:rsidR="00C9177E">
        <w:rPr>
          <w:rFonts w:ascii="Calibri" w:hAnsi="Calibri"/>
        </w:rPr>
        <w:t xml:space="preserve">to </w:t>
      </w:r>
      <w:r w:rsidR="002C30B7">
        <w:rPr>
          <w:rFonts w:ascii="Calibri" w:hAnsi="Calibri"/>
        </w:rPr>
        <w:t>upholding</w:t>
      </w:r>
      <w:r w:rsidR="00C9177E">
        <w:rPr>
          <w:rFonts w:ascii="Calibri" w:hAnsi="Calibri"/>
        </w:rPr>
        <w:t xml:space="preserve"> the rights of conflict-affected women, girls, men and boys</w:t>
      </w:r>
      <w:r w:rsidR="00AC2C21">
        <w:rPr>
          <w:rFonts w:ascii="Calibri" w:hAnsi="Calibri"/>
        </w:rPr>
        <w:t xml:space="preserve">. </w:t>
      </w:r>
    </w:p>
    <w:p w14:paraId="59CC8C1F" w14:textId="0C442554" w:rsidR="005C68CA" w:rsidRPr="00BC2C39" w:rsidRDefault="005C68CA" w:rsidP="007F364C">
      <w:pPr>
        <w:pStyle w:val="ListParagraph"/>
        <w:numPr>
          <w:ilvl w:val="0"/>
          <w:numId w:val="10"/>
        </w:numPr>
        <w:spacing w:before="100" w:beforeAutospacing="1" w:after="100" w:afterAutospacing="1"/>
        <w:jc w:val="both"/>
        <w:rPr>
          <w:rFonts w:ascii="Calibri" w:hAnsi="Calibri"/>
          <w:b/>
          <w:color w:val="1F497D" w:themeColor="text2"/>
        </w:rPr>
      </w:pPr>
      <w:r w:rsidRPr="00BC2C39">
        <w:rPr>
          <w:rFonts w:ascii="Calibri" w:hAnsi="Calibri"/>
          <w:b/>
          <w:color w:val="1F497D" w:themeColor="text2"/>
        </w:rPr>
        <w:lastRenderedPageBreak/>
        <w:t xml:space="preserve">Implementation </w:t>
      </w:r>
      <w:r w:rsidR="000F530A" w:rsidRPr="00BC2C39">
        <w:rPr>
          <w:rFonts w:ascii="Calibri" w:hAnsi="Calibri"/>
          <w:b/>
          <w:color w:val="1F497D" w:themeColor="text2"/>
        </w:rPr>
        <w:t xml:space="preserve">of the NAP </w:t>
      </w:r>
      <w:r w:rsidRPr="00BC2C39">
        <w:rPr>
          <w:rFonts w:ascii="Calibri" w:hAnsi="Calibri"/>
          <w:b/>
          <w:color w:val="1F497D" w:themeColor="text2"/>
        </w:rPr>
        <w:t>by the Government, Development Agencies and Civil Society</w:t>
      </w:r>
    </w:p>
    <w:p w14:paraId="172855EF" w14:textId="77777777" w:rsidR="005C68CA" w:rsidRPr="00BC2C39" w:rsidRDefault="005C68CA" w:rsidP="005C68CA">
      <w:pPr>
        <w:spacing w:before="100" w:beforeAutospacing="1" w:after="100" w:afterAutospacing="1"/>
        <w:jc w:val="both"/>
        <w:rPr>
          <w:rFonts w:ascii="Calibri" w:hAnsi="Calibri"/>
          <w:b/>
          <w:color w:val="1F497D" w:themeColor="text2"/>
          <w:u w:val="single"/>
        </w:rPr>
      </w:pPr>
      <w:r w:rsidRPr="00BC2C39">
        <w:rPr>
          <w:rFonts w:ascii="Calibri" w:hAnsi="Calibri"/>
          <w:b/>
          <w:color w:val="1F497D" w:themeColor="text2"/>
          <w:u w:val="single"/>
        </w:rPr>
        <w:t>Government</w:t>
      </w:r>
    </w:p>
    <w:p w14:paraId="5CA69514" w14:textId="74F7C588" w:rsidR="00EA3ABC" w:rsidRDefault="005C68CA" w:rsidP="00BC2C39">
      <w:pPr>
        <w:spacing w:before="100" w:beforeAutospacing="1" w:after="100" w:afterAutospacing="1" w:line="360" w:lineRule="auto"/>
        <w:jc w:val="both"/>
        <w:rPr>
          <w:rFonts w:ascii="Calibri" w:hAnsi="Calibri"/>
        </w:rPr>
      </w:pPr>
      <w:r w:rsidRPr="00D344A1">
        <w:rPr>
          <w:rFonts w:ascii="Calibri" w:hAnsi="Calibri"/>
        </w:rPr>
        <w:t xml:space="preserve">While Nepal’s NAP </w:t>
      </w:r>
      <w:r w:rsidR="00EA3ABC">
        <w:rPr>
          <w:rFonts w:ascii="Calibri" w:hAnsi="Calibri"/>
        </w:rPr>
        <w:t xml:space="preserve">is acknowledged for </w:t>
      </w:r>
      <w:r w:rsidR="00AC2C21">
        <w:rPr>
          <w:rFonts w:ascii="Calibri" w:hAnsi="Calibri"/>
        </w:rPr>
        <w:t>an</w:t>
      </w:r>
      <w:r w:rsidR="00EA3ABC">
        <w:rPr>
          <w:rFonts w:ascii="Calibri" w:hAnsi="Calibri"/>
        </w:rPr>
        <w:t xml:space="preserve"> inclusive design that prioritised women’s participation, </w:t>
      </w:r>
      <w:r w:rsidRPr="00D344A1">
        <w:rPr>
          <w:rFonts w:ascii="Calibri" w:hAnsi="Calibri"/>
        </w:rPr>
        <w:t>it is important that</w:t>
      </w:r>
      <w:r w:rsidR="00EA3ABC">
        <w:rPr>
          <w:rFonts w:ascii="Calibri" w:hAnsi="Calibri"/>
        </w:rPr>
        <w:t xml:space="preserve"> the Government’s</w:t>
      </w:r>
      <w:r w:rsidRPr="00D344A1">
        <w:rPr>
          <w:rFonts w:ascii="Calibri" w:hAnsi="Calibri"/>
        </w:rPr>
        <w:t xml:space="preserve"> progress does not fall victim to complacency.</w:t>
      </w:r>
      <w:r w:rsidR="00382197">
        <w:rPr>
          <w:rFonts w:ascii="Calibri" w:hAnsi="Calibri"/>
        </w:rPr>
        <w:t xml:space="preserve"> Government actions so far have focused on</w:t>
      </w:r>
      <w:r w:rsidR="00F41911">
        <w:rPr>
          <w:rFonts w:ascii="Calibri" w:hAnsi="Calibri"/>
        </w:rPr>
        <w:t xml:space="preserve"> </w:t>
      </w:r>
      <w:r w:rsidR="00AF7F0B" w:rsidRPr="00BC2C39">
        <w:rPr>
          <w:rFonts w:ascii="Calibri" w:hAnsi="Calibri"/>
          <w:b/>
          <w:color w:val="4F81BD" w:themeColor="accent1"/>
        </w:rPr>
        <w:t>collaborating with</w:t>
      </w:r>
      <w:r w:rsidR="00126B2E" w:rsidRPr="00BC2C39">
        <w:rPr>
          <w:rFonts w:ascii="Calibri" w:hAnsi="Calibri"/>
          <w:b/>
          <w:color w:val="4F81BD" w:themeColor="accent1"/>
        </w:rPr>
        <w:t xml:space="preserve"> </w:t>
      </w:r>
      <w:r w:rsidR="00F41911" w:rsidRPr="00BC2C39">
        <w:rPr>
          <w:rFonts w:ascii="Calibri" w:hAnsi="Calibri"/>
          <w:b/>
          <w:color w:val="4F81BD" w:themeColor="accent1"/>
        </w:rPr>
        <w:t>dynamic civil society actors</w:t>
      </w:r>
      <w:r w:rsidR="00F41911" w:rsidRPr="00BC2C39">
        <w:rPr>
          <w:rFonts w:ascii="Calibri" w:hAnsi="Calibri"/>
          <w:color w:val="4F81BD" w:themeColor="accent1"/>
        </w:rPr>
        <w:t xml:space="preserve">, </w:t>
      </w:r>
      <w:r w:rsidR="00F41911" w:rsidRPr="00BC2C39">
        <w:rPr>
          <w:rFonts w:ascii="Calibri" w:hAnsi="Calibri"/>
          <w:b/>
          <w:color w:val="4F81BD" w:themeColor="accent1"/>
        </w:rPr>
        <w:t>including women’s</w:t>
      </w:r>
      <w:r w:rsidR="00F41911" w:rsidRPr="00BC2C39">
        <w:rPr>
          <w:rFonts w:ascii="Calibri" w:hAnsi="Calibri"/>
          <w:color w:val="4F81BD" w:themeColor="accent1"/>
        </w:rPr>
        <w:t xml:space="preserve"> </w:t>
      </w:r>
      <w:r w:rsidR="00F41911" w:rsidRPr="00BC2C39">
        <w:rPr>
          <w:rFonts w:ascii="Calibri" w:hAnsi="Calibri"/>
          <w:b/>
          <w:color w:val="4F81BD" w:themeColor="accent1"/>
        </w:rPr>
        <w:t>organizations</w:t>
      </w:r>
      <w:r w:rsidR="00F41911" w:rsidRPr="00BC2C39">
        <w:rPr>
          <w:rFonts w:ascii="Calibri" w:hAnsi="Calibri"/>
          <w:color w:val="4F81BD" w:themeColor="accent1"/>
        </w:rPr>
        <w:t>, in</w:t>
      </w:r>
      <w:r w:rsidR="00382197" w:rsidRPr="00BC2C39">
        <w:rPr>
          <w:rFonts w:ascii="Calibri" w:hAnsi="Calibri"/>
          <w:color w:val="4F81BD" w:themeColor="accent1"/>
        </w:rPr>
        <w:t xml:space="preserve"> </w:t>
      </w:r>
      <w:r w:rsidR="00382197" w:rsidRPr="00BC2C39">
        <w:rPr>
          <w:rFonts w:ascii="Calibri" w:hAnsi="Calibri"/>
          <w:b/>
          <w:color w:val="4F81BD" w:themeColor="accent1"/>
        </w:rPr>
        <w:t>mo</w:t>
      </w:r>
      <w:r w:rsidR="00F41911" w:rsidRPr="00BC2C39">
        <w:rPr>
          <w:rFonts w:ascii="Calibri" w:hAnsi="Calibri"/>
          <w:b/>
          <w:color w:val="4F81BD" w:themeColor="accent1"/>
        </w:rPr>
        <w:t>nitoring and evaluating</w:t>
      </w:r>
      <w:r w:rsidR="00F41911">
        <w:rPr>
          <w:rFonts w:ascii="Calibri" w:hAnsi="Calibri"/>
        </w:rPr>
        <w:t xml:space="preserve"> the NAP. </w:t>
      </w:r>
      <w:r w:rsidRPr="00D344A1">
        <w:rPr>
          <w:rFonts w:ascii="Calibri" w:hAnsi="Calibri"/>
        </w:rPr>
        <w:t>The</w:t>
      </w:r>
      <w:r w:rsidR="00B26BB2">
        <w:rPr>
          <w:rFonts w:ascii="Calibri" w:hAnsi="Calibri"/>
        </w:rPr>
        <w:t xml:space="preserve"> </w:t>
      </w:r>
      <w:r w:rsidR="00AC2C21">
        <w:rPr>
          <w:rFonts w:ascii="Calibri" w:hAnsi="Calibri"/>
        </w:rPr>
        <w:t>Ministry</w:t>
      </w:r>
      <w:r w:rsidR="00B26BB2">
        <w:rPr>
          <w:rFonts w:ascii="Calibri" w:hAnsi="Calibri"/>
        </w:rPr>
        <w:t xml:space="preserve"> and the 1325 Action Group (led by </w:t>
      </w:r>
      <w:r w:rsidR="0097569B">
        <w:rPr>
          <w:rFonts w:ascii="Calibri" w:hAnsi="Calibri"/>
        </w:rPr>
        <w:t>local civil society organization</w:t>
      </w:r>
      <w:r w:rsidR="00B26BB2">
        <w:rPr>
          <w:rFonts w:ascii="Calibri" w:hAnsi="Calibri"/>
        </w:rPr>
        <w:t xml:space="preserve"> Saathi) produced a </w:t>
      </w:r>
      <w:r w:rsidRPr="00D344A1">
        <w:rPr>
          <w:rFonts w:ascii="Calibri" w:hAnsi="Calibri"/>
        </w:rPr>
        <w:t>mid-ter</w:t>
      </w:r>
      <w:r w:rsidR="00382197">
        <w:rPr>
          <w:rFonts w:ascii="Calibri" w:hAnsi="Calibri"/>
        </w:rPr>
        <w:t xml:space="preserve">m monitoring report of the NAP </w:t>
      </w:r>
      <w:r w:rsidRPr="00D344A1">
        <w:rPr>
          <w:rFonts w:ascii="Calibri" w:hAnsi="Calibri"/>
        </w:rPr>
        <w:t>in Septemb</w:t>
      </w:r>
      <w:r w:rsidR="00B26BB2">
        <w:rPr>
          <w:rFonts w:ascii="Calibri" w:hAnsi="Calibri"/>
        </w:rPr>
        <w:t>er 2014 (</w:t>
      </w:r>
      <w:r w:rsidR="00E75694">
        <w:rPr>
          <w:rFonts w:ascii="Calibri" w:hAnsi="Calibri"/>
        </w:rPr>
        <w:t>the</w:t>
      </w:r>
      <w:r w:rsidR="00B26BB2">
        <w:rPr>
          <w:rFonts w:ascii="Calibri" w:hAnsi="Calibri"/>
        </w:rPr>
        <w:t xml:space="preserve"> report).</w:t>
      </w:r>
      <w:r w:rsidR="008C5F9D">
        <w:rPr>
          <w:rStyle w:val="FootnoteReference"/>
          <w:rFonts w:ascii="Calibri" w:hAnsi="Calibri"/>
        </w:rPr>
        <w:footnoteReference w:id="186"/>
      </w:r>
      <w:r w:rsidR="0097569B">
        <w:rPr>
          <w:rFonts w:ascii="Calibri" w:hAnsi="Calibri"/>
        </w:rPr>
        <w:t xml:space="preserve"> The mid-term report followed a one-year monitoring report</w:t>
      </w:r>
      <w:r w:rsidR="00AC2C21">
        <w:rPr>
          <w:rFonts w:ascii="Calibri" w:hAnsi="Calibri"/>
        </w:rPr>
        <w:t>,</w:t>
      </w:r>
      <w:r w:rsidR="0097569B">
        <w:rPr>
          <w:rFonts w:ascii="Calibri" w:hAnsi="Calibri"/>
        </w:rPr>
        <w:t xml:space="preserve"> produced</w:t>
      </w:r>
      <w:r w:rsidR="00AC2C21">
        <w:rPr>
          <w:rFonts w:ascii="Calibri" w:hAnsi="Calibri"/>
        </w:rPr>
        <w:t xml:space="preserve"> by the same partners</w:t>
      </w:r>
      <w:r w:rsidR="0097569B">
        <w:rPr>
          <w:rFonts w:ascii="Calibri" w:hAnsi="Calibri"/>
        </w:rPr>
        <w:t xml:space="preserve"> in 2012. </w:t>
      </w:r>
      <w:r w:rsidR="0075428A">
        <w:rPr>
          <w:rFonts w:ascii="Calibri" w:hAnsi="Calibri"/>
        </w:rPr>
        <w:t xml:space="preserve"> The r</w:t>
      </w:r>
      <w:r w:rsidR="00B26BB2">
        <w:rPr>
          <w:rFonts w:ascii="Calibri" w:hAnsi="Calibri"/>
        </w:rPr>
        <w:t>eport</w:t>
      </w:r>
      <w:r w:rsidR="00EA3ABC">
        <w:rPr>
          <w:rFonts w:ascii="Calibri" w:hAnsi="Calibri"/>
        </w:rPr>
        <w:t xml:space="preserve"> </w:t>
      </w:r>
      <w:r w:rsidR="00126B2E">
        <w:rPr>
          <w:rFonts w:ascii="Calibri" w:hAnsi="Calibri"/>
        </w:rPr>
        <w:t>covers</w:t>
      </w:r>
      <w:r w:rsidR="00EA3ABC">
        <w:rPr>
          <w:rFonts w:ascii="Calibri" w:hAnsi="Calibri"/>
        </w:rPr>
        <w:t xml:space="preserve"> </w:t>
      </w:r>
      <w:r w:rsidRPr="00D344A1">
        <w:rPr>
          <w:rFonts w:ascii="Calibri" w:hAnsi="Calibri"/>
        </w:rPr>
        <w:t>three years of implementation</w:t>
      </w:r>
      <w:r w:rsidR="00B26BB2">
        <w:rPr>
          <w:rFonts w:ascii="Calibri" w:hAnsi="Calibri"/>
        </w:rPr>
        <w:t xml:space="preserve">, </w:t>
      </w:r>
      <w:r w:rsidR="00126B2E">
        <w:rPr>
          <w:rFonts w:ascii="Calibri" w:hAnsi="Calibri"/>
        </w:rPr>
        <w:t>via</w:t>
      </w:r>
      <w:r w:rsidRPr="00D344A1">
        <w:rPr>
          <w:rFonts w:ascii="Calibri" w:hAnsi="Calibri"/>
        </w:rPr>
        <w:t xml:space="preserve"> indicators</w:t>
      </w:r>
      <w:r w:rsidR="00B148B8">
        <w:rPr>
          <w:rFonts w:ascii="Calibri" w:hAnsi="Calibri"/>
        </w:rPr>
        <w:t xml:space="preserve"> and strategic objectives</w:t>
      </w:r>
      <w:r w:rsidRPr="00D344A1">
        <w:rPr>
          <w:rFonts w:ascii="Calibri" w:hAnsi="Calibri"/>
        </w:rPr>
        <w:t xml:space="preserve"> for </w:t>
      </w:r>
      <w:r w:rsidR="00B26BB2">
        <w:rPr>
          <w:rFonts w:ascii="Calibri" w:hAnsi="Calibri"/>
        </w:rPr>
        <w:t>all</w:t>
      </w:r>
      <w:r w:rsidRPr="00D344A1">
        <w:rPr>
          <w:rFonts w:ascii="Calibri" w:hAnsi="Calibri"/>
        </w:rPr>
        <w:t xml:space="preserve"> five pillars</w:t>
      </w:r>
      <w:r w:rsidR="00B26BB2">
        <w:rPr>
          <w:rFonts w:ascii="Calibri" w:hAnsi="Calibri"/>
        </w:rPr>
        <w:t>.</w:t>
      </w:r>
      <w:r w:rsidR="002C30B7">
        <w:rPr>
          <w:rFonts w:ascii="Calibri" w:hAnsi="Calibri"/>
        </w:rPr>
        <w:t xml:space="preserve"> </w:t>
      </w:r>
      <w:r w:rsidR="00B26BB2">
        <w:rPr>
          <w:rFonts w:ascii="Calibri" w:hAnsi="Calibri"/>
        </w:rPr>
        <w:t>The report records major</w:t>
      </w:r>
      <w:r w:rsidRPr="00D344A1">
        <w:rPr>
          <w:rFonts w:ascii="Calibri" w:hAnsi="Calibri"/>
        </w:rPr>
        <w:t xml:space="preserve"> achievements</w:t>
      </w:r>
      <w:r w:rsidR="00B26BB2">
        <w:rPr>
          <w:rFonts w:ascii="Calibri" w:hAnsi="Calibri"/>
        </w:rPr>
        <w:t xml:space="preserve"> of the NAP</w:t>
      </w:r>
      <w:r w:rsidRPr="00D344A1">
        <w:rPr>
          <w:rFonts w:ascii="Calibri" w:hAnsi="Calibri"/>
        </w:rPr>
        <w:t xml:space="preserve"> </w:t>
      </w:r>
      <w:r w:rsidR="00EA3ABC">
        <w:rPr>
          <w:rFonts w:ascii="Calibri" w:hAnsi="Calibri"/>
        </w:rPr>
        <w:t>so</w:t>
      </w:r>
      <w:r w:rsidRPr="00D344A1">
        <w:rPr>
          <w:rFonts w:ascii="Calibri" w:hAnsi="Calibri"/>
        </w:rPr>
        <w:t xml:space="preserve"> far</w:t>
      </w:r>
      <w:r w:rsidR="00EA3ABC">
        <w:rPr>
          <w:rFonts w:ascii="Calibri" w:hAnsi="Calibri"/>
        </w:rPr>
        <w:t>:</w:t>
      </w:r>
      <w:r w:rsidRPr="00D344A1">
        <w:rPr>
          <w:rFonts w:ascii="Calibri" w:hAnsi="Calibri"/>
        </w:rPr>
        <w:t xml:space="preserve"> </w:t>
      </w:r>
      <w:r w:rsidR="00EA3ABC">
        <w:rPr>
          <w:rFonts w:ascii="Calibri" w:hAnsi="Calibri"/>
        </w:rPr>
        <w:t>increas</w:t>
      </w:r>
      <w:r w:rsidR="00B26BB2">
        <w:rPr>
          <w:rFonts w:ascii="Calibri" w:hAnsi="Calibri"/>
        </w:rPr>
        <w:t>ed</w:t>
      </w:r>
      <w:r w:rsidR="00EA3ABC">
        <w:rPr>
          <w:rFonts w:ascii="Calibri" w:hAnsi="Calibri"/>
        </w:rPr>
        <w:t xml:space="preserve"> general awareness</w:t>
      </w:r>
      <w:r w:rsidR="00B26BB2">
        <w:rPr>
          <w:rFonts w:ascii="Calibri" w:hAnsi="Calibri"/>
        </w:rPr>
        <w:t xml:space="preserve"> of women, peace and security issues</w:t>
      </w:r>
      <w:r w:rsidR="00EA3ABC">
        <w:rPr>
          <w:rFonts w:ascii="Calibri" w:hAnsi="Calibri"/>
        </w:rPr>
        <w:t>;</w:t>
      </w:r>
      <w:r w:rsidRPr="00D344A1">
        <w:rPr>
          <w:rFonts w:ascii="Calibri" w:hAnsi="Calibri"/>
        </w:rPr>
        <w:t xml:space="preserve"> resource a</w:t>
      </w:r>
      <w:r w:rsidR="00EA3ABC">
        <w:rPr>
          <w:rFonts w:ascii="Calibri" w:hAnsi="Calibri"/>
        </w:rPr>
        <w:t>llocation for implementation;</w:t>
      </w:r>
      <w:r w:rsidRPr="00D344A1">
        <w:rPr>
          <w:rFonts w:ascii="Calibri" w:hAnsi="Calibri"/>
        </w:rPr>
        <w:t xml:space="preserve"> ca</w:t>
      </w:r>
      <w:r w:rsidR="00EA3ABC">
        <w:rPr>
          <w:rFonts w:ascii="Calibri" w:hAnsi="Calibri"/>
        </w:rPr>
        <w:t>pacity building;</w:t>
      </w:r>
      <w:r w:rsidRPr="00D344A1">
        <w:rPr>
          <w:rFonts w:ascii="Calibri" w:hAnsi="Calibri"/>
        </w:rPr>
        <w:t xml:space="preserve"> and infrastr</w:t>
      </w:r>
      <w:r w:rsidR="00EA3ABC">
        <w:rPr>
          <w:rFonts w:ascii="Calibri" w:hAnsi="Calibri"/>
        </w:rPr>
        <w:t xml:space="preserve">ucture development. However, the report </w:t>
      </w:r>
      <w:r w:rsidRPr="00D344A1">
        <w:rPr>
          <w:rFonts w:ascii="Calibri" w:hAnsi="Calibri"/>
        </w:rPr>
        <w:t>also ident</w:t>
      </w:r>
      <w:r w:rsidR="00C23014">
        <w:rPr>
          <w:rFonts w:ascii="Calibri" w:hAnsi="Calibri"/>
        </w:rPr>
        <w:t>ifies gaps in implementation</w:t>
      </w:r>
      <w:r w:rsidRPr="00D344A1">
        <w:rPr>
          <w:rFonts w:ascii="Calibri" w:hAnsi="Calibri"/>
        </w:rPr>
        <w:t xml:space="preserve"> at the national and local levels and makes recommendations to </w:t>
      </w:r>
      <w:r w:rsidR="00EA3ABC">
        <w:rPr>
          <w:rFonts w:ascii="Calibri" w:hAnsi="Calibri"/>
        </w:rPr>
        <w:t xml:space="preserve">remedy these. </w:t>
      </w:r>
      <w:r w:rsidR="00126B2E">
        <w:rPr>
          <w:rFonts w:ascii="Calibri" w:hAnsi="Calibri"/>
        </w:rPr>
        <w:t>I</w:t>
      </w:r>
      <w:r w:rsidRPr="00D344A1">
        <w:rPr>
          <w:rFonts w:ascii="Calibri" w:hAnsi="Calibri"/>
        </w:rPr>
        <w:t xml:space="preserve">mplementation has </w:t>
      </w:r>
      <w:r w:rsidR="00EA3ABC">
        <w:rPr>
          <w:rFonts w:ascii="Calibri" w:hAnsi="Calibri"/>
        </w:rPr>
        <w:t>oc</w:t>
      </w:r>
      <w:r w:rsidR="00B26BB2">
        <w:rPr>
          <w:rFonts w:ascii="Calibri" w:hAnsi="Calibri"/>
        </w:rPr>
        <w:t>c</w:t>
      </w:r>
      <w:r w:rsidR="00EA3ABC">
        <w:rPr>
          <w:rFonts w:ascii="Calibri" w:hAnsi="Calibri"/>
        </w:rPr>
        <w:t>urred</w:t>
      </w:r>
      <w:r w:rsidRPr="00D344A1">
        <w:rPr>
          <w:rFonts w:ascii="Calibri" w:hAnsi="Calibri"/>
        </w:rPr>
        <w:t xml:space="preserve"> predominantly at the central</w:t>
      </w:r>
      <w:r w:rsidR="00EA3ABC">
        <w:rPr>
          <w:rFonts w:ascii="Calibri" w:hAnsi="Calibri"/>
        </w:rPr>
        <w:t xml:space="preserve"> government</w:t>
      </w:r>
      <w:r w:rsidR="00126B2E">
        <w:rPr>
          <w:rFonts w:ascii="Calibri" w:hAnsi="Calibri"/>
        </w:rPr>
        <w:t xml:space="preserve"> level and </w:t>
      </w:r>
      <w:r w:rsidRPr="00D344A1">
        <w:rPr>
          <w:rFonts w:ascii="Calibri" w:hAnsi="Calibri"/>
        </w:rPr>
        <w:t>“needs to be promoted and extended to the local level for greater outreach to conflict affected women and girls”.</w:t>
      </w:r>
      <w:r w:rsidRPr="00D344A1">
        <w:rPr>
          <w:rStyle w:val="FootnoteReference"/>
          <w:rFonts w:ascii="Calibri" w:hAnsi="Calibri"/>
        </w:rPr>
        <w:footnoteReference w:id="187"/>
      </w:r>
      <w:r w:rsidRPr="00D344A1">
        <w:rPr>
          <w:rFonts w:ascii="Calibri" w:hAnsi="Calibri"/>
        </w:rPr>
        <w:t xml:space="preserve"> The report </w:t>
      </w:r>
      <w:r w:rsidR="00EA3ABC">
        <w:rPr>
          <w:rFonts w:ascii="Calibri" w:hAnsi="Calibri"/>
        </w:rPr>
        <w:t>call</w:t>
      </w:r>
      <w:r w:rsidR="00E75694">
        <w:rPr>
          <w:rFonts w:ascii="Calibri" w:hAnsi="Calibri"/>
        </w:rPr>
        <w:t>s</w:t>
      </w:r>
      <w:r w:rsidR="00EA3ABC">
        <w:rPr>
          <w:rFonts w:ascii="Calibri" w:hAnsi="Calibri"/>
        </w:rPr>
        <w:t xml:space="preserve"> for improved responses to rape and domestic violence by</w:t>
      </w:r>
      <w:r w:rsidRPr="00D344A1">
        <w:rPr>
          <w:rFonts w:ascii="Calibri" w:hAnsi="Calibri"/>
        </w:rPr>
        <w:t xml:space="preserve"> service providers, policing and government agencies</w:t>
      </w:r>
      <w:r w:rsidR="00EA3ABC">
        <w:rPr>
          <w:rFonts w:ascii="Calibri" w:hAnsi="Calibri"/>
        </w:rPr>
        <w:t>;</w:t>
      </w:r>
      <w:r w:rsidRPr="00D344A1">
        <w:rPr>
          <w:rFonts w:ascii="Calibri" w:hAnsi="Calibri"/>
        </w:rPr>
        <w:t xml:space="preserve"> improved measures to increase women’s participation in all levels of government-decision-making</w:t>
      </w:r>
      <w:r w:rsidR="00EA3ABC">
        <w:rPr>
          <w:rFonts w:ascii="Calibri" w:hAnsi="Calibri"/>
        </w:rPr>
        <w:t>;</w:t>
      </w:r>
      <w:r w:rsidRPr="00D344A1">
        <w:rPr>
          <w:rFonts w:ascii="Calibri" w:hAnsi="Calibri"/>
        </w:rPr>
        <w:t xml:space="preserve"> and more widespread promotion mechanisms in major local dialects.</w:t>
      </w:r>
      <w:r w:rsidR="00A61E6C">
        <w:rPr>
          <w:rStyle w:val="FootnoteReference"/>
          <w:rFonts w:ascii="Calibri" w:hAnsi="Calibri"/>
        </w:rPr>
        <w:footnoteReference w:id="188"/>
      </w:r>
      <w:r w:rsidRPr="00D344A1">
        <w:rPr>
          <w:rFonts w:ascii="Calibri" w:hAnsi="Calibri"/>
        </w:rPr>
        <w:t xml:space="preserve"> </w:t>
      </w:r>
    </w:p>
    <w:p w14:paraId="1131BBD6" w14:textId="2F24DA9B" w:rsidR="005C68CA" w:rsidRPr="00D344A1" w:rsidRDefault="00EA3ABC" w:rsidP="00BC2C39">
      <w:pPr>
        <w:spacing w:before="100" w:beforeAutospacing="1" w:after="100" w:afterAutospacing="1" w:line="360" w:lineRule="auto"/>
        <w:jc w:val="both"/>
        <w:rPr>
          <w:rFonts w:ascii="Calibri" w:hAnsi="Calibri"/>
        </w:rPr>
      </w:pPr>
      <w:r>
        <w:rPr>
          <w:rFonts w:ascii="Calibri" w:hAnsi="Calibri"/>
        </w:rPr>
        <w:t xml:space="preserve">The </w:t>
      </w:r>
      <w:r w:rsidR="005C68CA" w:rsidRPr="00D344A1">
        <w:rPr>
          <w:rFonts w:ascii="Calibri" w:hAnsi="Calibri"/>
        </w:rPr>
        <w:t xml:space="preserve">mid-term report </w:t>
      </w:r>
      <w:r>
        <w:rPr>
          <w:rFonts w:ascii="Calibri" w:hAnsi="Calibri"/>
        </w:rPr>
        <w:t xml:space="preserve">should </w:t>
      </w:r>
      <w:r w:rsidR="005C68CA" w:rsidRPr="00D344A1">
        <w:rPr>
          <w:rFonts w:ascii="Calibri" w:hAnsi="Calibri"/>
        </w:rPr>
        <w:t xml:space="preserve">provide guidance </w:t>
      </w:r>
      <w:r>
        <w:rPr>
          <w:rFonts w:ascii="Calibri" w:hAnsi="Calibri"/>
        </w:rPr>
        <w:t>for Nepal’s next NAP, due in 2017,</w:t>
      </w:r>
      <w:r w:rsidR="005C68CA" w:rsidRPr="00D344A1">
        <w:rPr>
          <w:rFonts w:ascii="Calibri" w:hAnsi="Calibri"/>
        </w:rPr>
        <w:t xml:space="preserve"> </w:t>
      </w:r>
      <w:r w:rsidR="00B26BB2">
        <w:rPr>
          <w:rFonts w:ascii="Calibri" w:hAnsi="Calibri"/>
        </w:rPr>
        <w:t>to address</w:t>
      </w:r>
      <w:r w:rsidR="005C68CA" w:rsidRPr="00D344A1">
        <w:rPr>
          <w:rFonts w:ascii="Calibri" w:hAnsi="Calibri"/>
        </w:rPr>
        <w:t xml:space="preserve"> key problem areas and </w:t>
      </w:r>
      <w:r w:rsidR="00B26BB2">
        <w:rPr>
          <w:rFonts w:ascii="Calibri" w:hAnsi="Calibri"/>
        </w:rPr>
        <w:t xml:space="preserve">continue </w:t>
      </w:r>
      <w:r w:rsidR="005C68CA" w:rsidRPr="00D344A1">
        <w:rPr>
          <w:rFonts w:ascii="Calibri" w:hAnsi="Calibri"/>
        </w:rPr>
        <w:t xml:space="preserve">to build on the successes of the </w:t>
      </w:r>
      <w:r>
        <w:rPr>
          <w:rFonts w:ascii="Calibri" w:hAnsi="Calibri"/>
        </w:rPr>
        <w:t xml:space="preserve">current </w:t>
      </w:r>
      <w:r w:rsidR="005C68CA" w:rsidRPr="00D344A1">
        <w:rPr>
          <w:rFonts w:ascii="Calibri" w:hAnsi="Calibri"/>
        </w:rPr>
        <w:t xml:space="preserve">NAP. It is unclear how the transition to the next NAP will take place. However, the collaborative process that led to the first NAP will prove a good model for </w:t>
      </w:r>
      <w:r w:rsidR="00A849B4">
        <w:rPr>
          <w:rFonts w:ascii="Calibri" w:hAnsi="Calibri"/>
        </w:rPr>
        <w:t xml:space="preserve">designing and implementing </w:t>
      </w:r>
      <w:r w:rsidR="005C68CA" w:rsidRPr="00D344A1">
        <w:rPr>
          <w:rFonts w:ascii="Calibri" w:hAnsi="Calibri"/>
        </w:rPr>
        <w:t>the second</w:t>
      </w:r>
      <w:r w:rsidR="00B26BB2">
        <w:rPr>
          <w:rFonts w:ascii="Calibri" w:hAnsi="Calibri"/>
        </w:rPr>
        <w:t xml:space="preserve"> plan</w:t>
      </w:r>
      <w:r w:rsidR="005C68CA" w:rsidRPr="00D344A1">
        <w:rPr>
          <w:rFonts w:ascii="Calibri" w:hAnsi="Calibri"/>
        </w:rPr>
        <w:t>.</w:t>
      </w:r>
    </w:p>
    <w:p w14:paraId="3BFFB51E" w14:textId="77777777" w:rsidR="005C68CA" w:rsidRPr="00BC2C39" w:rsidRDefault="005C68CA" w:rsidP="005C68CA">
      <w:pPr>
        <w:spacing w:before="100" w:beforeAutospacing="1" w:after="100" w:afterAutospacing="1"/>
        <w:jc w:val="both"/>
        <w:rPr>
          <w:rFonts w:ascii="Calibri" w:hAnsi="Calibri"/>
          <w:b/>
          <w:color w:val="1F497D" w:themeColor="text2"/>
          <w:u w:val="single"/>
        </w:rPr>
      </w:pPr>
      <w:r w:rsidRPr="00BC2C39">
        <w:rPr>
          <w:rFonts w:ascii="Calibri" w:hAnsi="Calibri"/>
          <w:b/>
          <w:color w:val="1F497D" w:themeColor="text2"/>
          <w:u w:val="single"/>
        </w:rPr>
        <w:t>Development Agencies and Civil Society</w:t>
      </w:r>
    </w:p>
    <w:p w14:paraId="747497A4" w14:textId="0061EF12" w:rsidR="005C68CA" w:rsidRPr="000F406A" w:rsidRDefault="005C68CA" w:rsidP="00B314E1">
      <w:pPr>
        <w:spacing w:before="100" w:beforeAutospacing="1" w:after="100" w:afterAutospacing="1" w:line="360" w:lineRule="auto"/>
        <w:jc w:val="both"/>
        <w:rPr>
          <w:rFonts w:ascii="Calibri" w:hAnsi="Calibri"/>
        </w:rPr>
      </w:pPr>
      <w:r w:rsidRPr="00D344A1">
        <w:rPr>
          <w:rFonts w:ascii="Calibri" w:hAnsi="Calibri"/>
        </w:rPr>
        <w:t xml:space="preserve">The NAP is a product of an exemplary collaborative process involving local NGOs and civil society stakeholders. Consequently, it received significant implementation support </w:t>
      </w:r>
      <w:r w:rsidR="00F41911">
        <w:rPr>
          <w:rFonts w:ascii="Calibri" w:hAnsi="Calibri"/>
        </w:rPr>
        <w:t>from these actors. Saathi notes that the civil society</w:t>
      </w:r>
      <w:r w:rsidRPr="00D344A1">
        <w:rPr>
          <w:rFonts w:ascii="Calibri" w:hAnsi="Calibri"/>
        </w:rPr>
        <w:t xml:space="preserve"> 1325 Action Group </w:t>
      </w:r>
      <w:r w:rsidR="00F41911">
        <w:rPr>
          <w:rFonts w:ascii="Calibri" w:hAnsi="Calibri"/>
        </w:rPr>
        <w:t>helped</w:t>
      </w:r>
      <w:r w:rsidRPr="00D344A1">
        <w:rPr>
          <w:rFonts w:ascii="Calibri" w:hAnsi="Calibri"/>
        </w:rPr>
        <w:t xml:space="preserve"> </w:t>
      </w:r>
      <w:r w:rsidR="00F41911">
        <w:rPr>
          <w:rFonts w:ascii="Calibri" w:hAnsi="Calibri"/>
        </w:rPr>
        <w:t>implement and monitoring</w:t>
      </w:r>
      <w:r w:rsidRPr="00D344A1">
        <w:rPr>
          <w:rFonts w:ascii="Calibri" w:hAnsi="Calibri"/>
        </w:rPr>
        <w:t xml:space="preserve"> the NAP.</w:t>
      </w:r>
      <w:r w:rsidRPr="00D344A1">
        <w:rPr>
          <w:rStyle w:val="FootnoteReference"/>
          <w:rFonts w:ascii="Calibri" w:hAnsi="Calibri"/>
        </w:rPr>
        <w:t xml:space="preserve"> </w:t>
      </w:r>
      <w:r w:rsidRPr="00D344A1">
        <w:rPr>
          <w:rStyle w:val="FootnoteReference"/>
          <w:rFonts w:ascii="Calibri" w:hAnsi="Calibri"/>
        </w:rPr>
        <w:footnoteReference w:id="189"/>
      </w:r>
      <w:r w:rsidRPr="00D344A1">
        <w:rPr>
          <w:rFonts w:ascii="Calibri" w:hAnsi="Calibri"/>
        </w:rPr>
        <w:t xml:space="preserve"> In particular, </w:t>
      </w:r>
      <w:r w:rsidRPr="00112000">
        <w:rPr>
          <w:rFonts w:ascii="Calibri" w:hAnsi="Calibri"/>
          <w:b/>
          <w:color w:val="4F81BD" w:themeColor="accent1"/>
        </w:rPr>
        <w:lastRenderedPageBreak/>
        <w:t>Saathi’s own</w:t>
      </w:r>
      <w:r w:rsidR="000F530A" w:rsidRPr="00112000">
        <w:rPr>
          <w:rFonts w:ascii="Calibri" w:hAnsi="Calibri"/>
          <w:b/>
          <w:color w:val="4F81BD" w:themeColor="accent1"/>
        </w:rPr>
        <w:t xml:space="preserve"> leadership in the mid-term</w:t>
      </w:r>
      <w:r w:rsidRPr="00112000">
        <w:rPr>
          <w:rFonts w:ascii="Calibri" w:hAnsi="Calibri"/>
          <w:b/>
          <w:color w:val="4F81BD" w:themeColor="accent1"/>
        </w:rPr>
        <w:t xml:space="preserve"> report </w:t>
      </w:r>
      <w:r w:rsidR="001222F4" w:rsidRPr="00112000">
        <w:rPr>
          <w:rFonts w:ascii="Calibri" w:hAnsi="Calibri"/>
          <w:b/>
          <w:color w:val="4F81BD" w:themeColor="accent1"/>
        </w:rPr>
        <w:t>exe</w:t>
      </w:r>
      <w:r w:rsidR="00E75694" w:rsidRPr="00112000">
        <w:rPr>
          <w:rFonts w:ascii="Calibri" w:hAnsi="Calibri"/>
          <w:b/>
          <w:color w:val="4F81BD" w:themeColor="accent1"/>
        </w:rPr>
        <w:t>mplifies</w:t>
      </w:r>
      <w:r w:rsidRPr="00112000">
        <w:rPr>
          <w:rFonts w:ascii="Calibri" w:hAnsi="Calibri"/>
          <w:b/>
          <w:color w:val="4F81BD" w:themeColor="accent1"/>
        </w:rPr>
        <w:t xml:space="preserve"> the </w:t>
      </w:r>
      <w:r w:rsidR="00472DA2">
        <w:rPr>
          <w:rFonts w:ascii="Calibri" w:hAnsi="Calibri"/>
          <w:b/>
          <w:color w:val="4F81BD" w:themeColor="accent1"/>
        </w:rPr>
        <w:t>prominent role</w:t>
      </w:r>
      <w:r w:rsidR="00112000">
        <w:rPr>
          <w:rFonts w:ascii="Calibri" w:hAnsi="Calibri"/>
          <w:b/>
          <w:color w:val="4F81BD" w:themeColor="accent1"/>
        </w:rPr>
        <w:t xml:space="preserve"> </w:t>
      </w:r>
      <w:r w:rsidRPr="00112000">
        <w:rPr>
          <w:rFonts w:ascii="Calibri" w:hAnsi="Calibri"/>
          <w:b/>
          <w:color w:val="4F81BD" w:themeColor="accent1"/>
        </w:rPr>
        <w:t>of local stakeholders</w:t>
      </w:r>
      <w:r w:rsidRPr="00112000">
        <w:rPr>
          <w:rFonts w:ascii="Calibri" w:hAnsi="Calibri"/>
          <w:color w:val="4F81BD" w:themeColor="accent1"/>
        </w:rPr>
        <w:t xml:space="preserve"> </w:t>
      </w:r>
      <w:r w:rsidRPr="00D344A1">
        <w:rPr>
          <w:rFonts w:ascii="Calibri" w:hAnsi="Calibri"/>
        </w:rPr>
        <w:t xml:space="preserve">in the provision of technical support and research. </w:t>
      </w:r>
      <w:r w:rsidRPr="00D344A1">
        <w:rPr>
          <w:rStyle w:val="FootnoteReference"/>
          <w:rFonts w:ascii="Calibri" w:hAnsi="Calibri"/>
        </w:rPr>
        <w:footnoteReference w:id="190"/>
      </w:r>
    </w:p>
    <w:p w14:paraId="37EA5169" w14:textId="7F7D1CBB" w:rsidR="005C68CA" w:rsidRPr="00B314E1" w:rsidRDefault="005C68CA" w:rsidP="007F364C">
      <w:pPr>
        <w:pStyle w:val="ListParagraph"/>
        <w:numPr>
          <w:ilvl w:val="0"/>
          <w:numId w:val="10"/>
        </w:numPr>
        <w:spacing w:before="100" w:beforeAutospacing="1" w:after="100" w:afterAutospacing="1"/>
        <w:jc w:val="both"/>
        <w:rPr>
          <w:rFonts w:ascii="Calibri" w:hAnsi="Calibri"/>
          <w:b/>
          <w:color w:val="1F497D" w:themeColor="text2"/>
        </w:rPr>
      </w:pPr>
      <w:r w:rsidRPr="00B314E1">
        <w:rPr>
          <w:rFonts w:ascii="Calibri" w:hAnsi="Calibri"/>
          <w:b/>
          <w:color w:val="1F497D" w:themeColor="text2"/>
        </w:rPr>
        <w:t xml:space="preserve">Other Actions by </w:t>
      </w:r>
      <w:r w:rsidR="00793F4F" w:rsidRPr="00B314E1">
        <w:rPr>
          <w:rFonts w:ascii="Calibri" w:hAnsi="Calibri"/>
          <w:b/>
          <w:color w:val="1F497D" w:themeColor="text2"/>
        </w:rPr>
        <w:t xml:space="preserve">the </w:t>
      </w:r>
      <w:r w:rsidRPr="00B314E1">
        <w:rPr>
          <w:rFonts w:ascii="Calibri" w:hAnsi="Calibri"/>
          <w:b/>
          <w:color w:val="1F497D" w:themeColor="text2"/>
        </w:rPr>
        <w:t>Government, Development Agencies, and Civil Society</w:t>
      </w:r>
    </w:p>
    <w:p w14:paraId="3341F31A" w14:textId="4A537A06" w:rsidR="005C68CA" w:rsidRPr="00B314E1" w:rsidRDefault="00793F4F" w:rsidP="005C68CA">
      <w:pPr>
        <w:spacing w:before="100" w:beforeAutospacing="1" w:after="100" w:afterAutospacing="1"/>
        <w:jc w:val="both"/>
        <w:rPr>
          <w:rFonts w:ascii="Calibri" w:hAnsi="Calibri"/>
          <w:b/>
          <w:color w:val="1F497D" w:themeColor="text2"/>
          <w:u w:val="single"/>
        </w:rPr>
      </w:pPr>
      <w:r w:rsidRPr="00B314E1">
        <w:rPr>
          <w:rFonts w:ascii="Calibri" w:hAnsi="Calibri"/>
          <w:b/>
          <w:color w:val="1F497D" w:themeColor="text2"/>
          <w:u w:val="single"/>
        </w:rPr>
        <w:t xml:space="preserve">Government </w:t>
      </w:r>
    </w:p>
    <w:p w14:paraId="282EBF96" w14:textId="211445AE" w:rsidR="00942D4B" w:rsidRPr="00D344A1" w:rsidRDefault="00942D4B" w:rsidP="00B314E1">
      <w:pPr>
        <w:spacing w:before="100" w:beforeAutospacing="1" w:after="100" w:afterAutospacing="1" w:line="360" w:lineRule="auto"/>
        <w:jc w:val="both"/>
        <w:rPr>
          <w:rFonts w:ascii="Calibri" w:hAnsi="Calibri"/>
        </w:rPr>
      </w:pPr>
      <w:r w:rsidRPr="00D344A1">
        <w:rPr>
          <w:rFonts w:ascii="Calibri" w:hAnsi="Calibri"/>
        </w:rPr>
        <w:t>In</w:t>
      </w:r>
      <w:r w:rsidR="00A849B4">
        <w:rPr>
          <w:rFonts w:ascii="Calibri" w:hAnsi="Calibri"/>
        </w:rPr>
        <w:t xml:space="preserve"> 2013, the President passed an O</w:t>
      </w:r>
      <w:r w:rsidRPr="00D344A1">
        <w:rPr>
          <w:rFonts w:ascii="Calibri" w:hAnsi="Calibri"/>
        </w:rPr>
        <w:t>rdinance creating a Truth and Reconciliation Commission (Commission) which was subsequently struck down by the Supreme Court. The initial proposal was widely criticised for failing to consult victims or international or national human rights organisations and NGOs.</w:t>
      </w:r>
      <w:r w:rsidRPr="00D344A1">
        <w:rPr>
          <w:rStyle w:val="FootnoteReference"/>
          <w:rFonts w:ascii="Calibri" w:hAnsi="Calibri"/>
        </w:rPr>
        <w:footnoteReference w:id="191"/>
      </w:r>
      <w:r w:rsidRPr="00D344A1">
        <w:rPr>
          <w:rFonts w:ascii="Calibri" w:hAnsi="Calibri"/>
        </w:rPr>
        <w:t xml:space="preserve"> Shortly after the ordinance was struck down, a second ordinance was promulgated seeking to establish a Commission</w:t>
      </w:r>
      <w:r>
        <w:rPr>
          <w:rFonts w:ascii="Calibri" w:hAnsi="Calibri"/>
        </w:rPr>
        <w:t xml:space="preserve"> that</w:t>
      </w:r>
      <w:r w:rsidRPr="00D344A1">
        <w:rPr>
          <w:rFonts w:ascii="Calibri" w:hAnsi="Calibri"/>
        </w:rPr>
        <w:t xml:space="preserve"> would seek to investigate known violations of human rights in addition to investigating those reported by victims.</w:t>
      </w:r>
      <w:r w:rsidRPr="00D344A1">
        <w:rPr>
          <w:rStyle w:val="FootnoteReference"/>
          <w:rFonts w:ascii="Calibri" w:hAnsi="Calibri"/>
        </w:rPr>
        <w:footnoteReference w:id="192"/>
      </w:r>
      <w:r w:rsidRPr="00D344A1">
        <w:rPr>
          <w:rFonts w:ascii="Calibri" w:hAnsi="Calibri"/>
        </w:rPr>
        <w:t xml:space="preserve"> However, the </w:t>
      </w:r>
      <w:r w:rsidR="00A849B4">
        <w:rPr>
          <w:rFonts w:ascii="Calibri" w:hAnsi="Calibri"/>
        </w:rPr>
        <w:t xml:space="preserve">Commission’s </w:t>
      </w:r>
      <w:r w:rsidRPr="00D344A1">
        <w:rPr>
          <w:rFonts w:ascii="Calibri" w:hAnsi="Calibri"/>
        </w:rPr>
        <w:t xml:space="preserve">mandate </w:t>
      </w:r>
      <w:r w:rsidR="00E278F0">
        <w:rPr>
          <w:rFonts w:ascii="Calibri" w:hAnsi="Calibri"/>
        </w:rPr>
        <w:t xml:space="preserve">remains </w:t>
      </w:r>
      <w:r w:rsidRPr="00D344A1">
        <w:rPr>
          <w:rFonts w:ascii="Calibri" w:hAnsi="Calibri"/>
        </w:rPr>
        <w:t>limited to addressing only “serious violations of human rights” which are defined as those perpetrated against “the civilian population or unarmed persons in a systematic manner”.</w:t>
      </w:r>
      <w:r w:rsidRPr="00D344A1">
        <w:rPr>
          <w:rStyle w:val="FootnoteReference"/>
          <w:rFonts w:ascii="Calibri" w:hAnsi="Calibri"/>
        </w:rPr>
        <w:footnoteReference w:id="193"/>
      </w:r>
      <w:r w:rsidRPr="00D344A1">
        <w:rPr>
          <w:rFonts w:ascii="Calibri" w:hAnsi="Calibri"/>
        </w:rPr>
        <w:t xml:space="preserve"> It is likely that many instances of sexual</w:t>
      </w:r>
      <w:r w:rsidR="00E278F0">
        <w:rPr>
          <w:rFonts w:ascii="Calibri" w:hAnsi="Calibri"/>
        </w:rPr>
        <w:t xml:space="preserve"> and gender-based</w:t>
      </w:r>
      <w:r w:rsidRPr="00D344A1">
        <w:rPr>
          <w:rFonts w:ascii="Calibri" w:hAnsi="Calibri"/>
        </w:rPr>
        <w:t xml:space="preserve"> violence </w:t>
      </w:r>
      <w:r w:rsidR="00E278F0">
        <w:rPr>
          <w:rFonts w:ascii="Calibri" w:hAnsi="Calibri"/>
        </w:rPr>
        <w:t xml:space="preserve">(SGBV) </w:t>
      </w:r>
      <w:r w:rsidRPr="00D344A1">
        <w:rPr>
          <w:rFonts w:ascii="Calibri" w:hAnsi="Calibri"/>
        </w:rPr>
        <w:t xml:space="preserve">will fall outside this </w:t>
      </w:r>
      <w:r w:rsidR="00806673" w:rsidRPr="00D344A1">
        <w:rPr>
          <w:rFonts w:ascii="Calibri" w:hAnsi="Calibri"/>
        </w:rPr>
        <w:t>definition;</w:t>
      </w:r>
      <w:r w:rsidRPr="00D344A1">
        <w:rPr>
          <w:rFonts w:ascii="Calibri" w:hAnsi="Calibri"/>
        </w:rPr>
        <w:t xml:space="preserve"> as such crimes tend to be perpetrated on an individual basis rather than in a systematic manner in Nepal</w:t>
      </w:r>
      <w:r>
        <w:rPr>
          <w:rFonts w:ascii="Calibri" w:hAnsi="Calibri"/>
        </w:rPr>
        <w:t>.</w:t>
      </w:r>
      <w:r w:rsidRPr="00D344A1">
        <w:rPr>
          <w:rStyle w:val="FootnoteReference"/>
          <w:rFonts w:ascii="Calibri" w:hAnsi="Calibri"/>
        </w:rPr>
        <w:footnoteReference w:id="194"/>
      </w:r>
      <w:r w:rsidRPr="00D344A1">
        <w:rPr>
          <w:rFonts w:ascii="Calibri" w:hAnsi="Calibri"/>
        </w:rPr>
        <w:t xml:space="preserve"> </w:t>
      </w:r>
    </w:p>
    <w:p w14:paraId="1995F041" w14:textId="1B4C984F" w:rsidR="00942D4B" w:rsidRDefault="00942D4B" w:rsidP="00B314E1">
      <w:pPr>
        <w:spacing w:before="100" w:beforeAutospacing="1" w:after="100" w:afterAutospacing="1" w:line="360" w:lineRule="auto"/>
        <w:jc w:val="both"/>
        <w:rPr>
          <w:rFonts w:ascii="Calibri" w:hAnsi="Calibri"/>
        </w:rPr>
      </w:pPr>
      <w:r>
        <w:rPr>
          <w:rFonts w:ascii="Calibri" w:hAnsi="Calibri"/>
        </w:rPr>
        <w:t>Amnesty</w:t>
      </w:r>
      <w:r w:rsidR="002C30B7">
        <w:rPr>
          <w:rFonts w:ascii="Calibri" w:hAnsi="Calibri"/>
        </w:rPr>
        <w:t xml:space="preserve"> for gender-based crimes</w:t>
      </w:r>
      <w:r>
        <w:rPr>
          <w:rFonts w:ascii="Calibri" w:hAnsi="Calibri"/>
        </w:rPr>
        <w:t xml:space="preserve"> </w:t>
      </w:r>
      <w:r w:rsidR="00E278F0">
        <w:rPr>
          <w:rFonts w:ascii="Calibri" w:hAnsi="Calibri"/>
        </w:rPr>
        <w:t>also presents a potential</w:t>
      </w:r>
      <w:r w:rsidRPr="00D344A1">
        <w:rPr>
          <w:rFonts w:ascii="Calibri" w:hAnsi="Calibri"/>
        </w:rPr>
        <w:t xml:space="preserve"> problem</w:t>
      </w:r>
      <w:r w:rsidR="00A849B4">
        <w:rPr>
          <w:rFonts w:ascii="Calibri" w:hAnsi="Calibri"/>
        </w:rPr>
        <w:t xml:space="preserve"> for the Commission</w:t>
      </w:r>
      <w:r w:rsidRPr="00D344A1">
        <w:rPr>
          <w:rFonts w:ascii="Calibri" w:hAnsi="Calibri"/>
        </w:rPr>
        <w:t>. The ordinance provides that “serious crimes which lack sufficient reasons and grounds for granting amnesty following the investigation of the Commission, including rape, shall not be recommended for amnesty by the Commission”.</w:t>
      </w:r>
      <w:r w:rsidRPr="00D344A1">
        <w:rPr>
          <w:rStyle w:val="FootnoteReference"/>
          <w:rFonts w:ascii="Calibri" w:hAnsi="Calibri"/>
        </w:rPr>
        <w:footnoteReference w:id="195"/>
      </w:r>
      <w:r w:rsidR="00A849B4">
        <w:rPr>
          <w:rFonts w:ascii="Calibri" w:hAnsi="Calibri"/>
        </w:rPr>
        <w:t xml:space="preserve"> </w:t>
      </w:r>
      <w:r w:rsidR="002C30B7">
        <w:rPr>
          <w:rFonts w:ascii="Calibri" w:hAnsi="Calibri"/>
        </w:rPr>
        <w:t>It is</w:t>
      </w:r>
      <w:r w:rsidRPr="00D344A1">
        <w:rPr>
          <w:rFonts w:ascii="Calibri" w:hAnsi="Calibri"/>
        </w:rPr>
        <w:t xml:space="preserve"> heartening that rape is </w:t>
      </w:r>
      <w:r w:rsidR="00A849B4">
        <w:rPr>
          <w:rFonts w:ascii="Calibri" w:hAnsi="Calibri"/>
        </w:rPr>
        <w:t>specified</w:t>
      </w:r>
      <w:r w:rsidRPr="00D344A1">
        <w:rPr>
          <w:rFonts w:ascii="Calibri" w:hAnsi="Calibri"/>
        </w:rPr>
        <w:t xml:space="preserve"> as a serious crime </w:t>
      </w:r>
      <w:r w:rsidR="00A849B4">
        <w:rPr>
          <w:rFonts w:ascii="Calibri" w:hAnsi="Calibri"/>
        </w:rPr>
        <w:t xml:space="preserve">unlikely to attract an amnesty (in line with </w:t>
      </w:r>
      <w:r w:rsidR="002C30B7">
        <w:rPr>
          <w:rFonts w:ascii="Calibri" w:hAnsi="Calibri"/>
        </w:rPr>
        <w:t xml:space="preserve">Nepal’s </w:t>
      </w:r>
      <w:r w:rsidR="00A849B4">
        <w:rPr>
          <w:rFonts w:ascii="Calibri" w:hAnsi="Calibri"/>
        </w:rPr>
        <w:t xml:space="preserve">international criminal law, international humanitarian law and other obligations under the legal framework, </w:t>
      </w:r>
      <w:r w:rsidR="002C30B7">
        <w:rPr>
          <w:rFonts w:ascii="Calibri" w:hAnsi="Calibri"/>
        </w:rPr>
        <w:t xml:space="preserve">outlined in </w:t>
      </w:r>
      <w:r w:rsidR="00A849B4">
        <w:rPr>
          <w:rFonts w:ascii="Calibri" w:hAnsi="Calibri"/>
        </w:rPr>
        <w:t>Section 1)</w:t>
      </w:r>
      <w:r w:rsidR="002C30B7">
        <w:rPr>
          <w:rFonts w:ascii="Calibri" w:hAnsi="Calibri"/>
        </w:rPr>
        <w:t>. However,</w:t>
      </w:r>
      <w:r w:rsidR="00A849B4">
        <w:rPr>
          <w:rFonts w:ascii="Calibri" w:hAnsi="Calibri"/>
        </w:rPr>
        <w:t xml:space="preserve"> </w:t>
      </w:r>
      <w:r w:rsidRPr="00D344A1">
        <w:rPr>
          <w:rFonts w:ascii="Calibri" w:hAnsi="Calibri"/>
        </w:rPr>
        <w:t xml:space="preserve">amnesties </w:t>
      </w:r>
      <w:r w:rsidR="00A03D77">
        <w:rPr>
          <w:rFonts w:ascii="Calibri" w:hAnsi="Calibri"/>
        </w:rPr>
        <w:t>could be applied to other SGBV-related crimes, further limiting the Commission’s effectiveness.</w:t>
      </w:r>
    </w:p>
    <w:p w14:paraId="24913FEA" w14:textId="77777777" w:rsidR="005C68CA" w:rsidRPr="00B314E1" w:rsidRDefault="005C68CA" w:rsidP="005C68CA">
      <w:pPr>
        <w:spacing w:before="100" w:beforeAutospacing="1" w:after="100" w:afterAutospacing="1"/>
        <w:jc w:val="both"/>
        <w:rPr>
          <w:rFonts w:ascii="Calibri" w:hAnsi="Calibri"/>
          <w:b/>
          <w:color w:val="1F497D" w:themeColor="text2"/>
          <w:u w:val="single"/>
        </w:rPr>
      </w:pPr>
      <w:r w:rsidRPr="00B314E1">
        <w:rPr>
          <w:rFonts w:ascii="Calibri" w:hAnsi="Calibri"/>
          <w:b/>
          <w:color w:val="1F497D" w:themeColor="text2"/>
          <w:u w:val="single"/>
        </w:rPr>
        <w:t>Development Agencies and Civil Society</w:t>
      </w:r>
    </w:p>
    <w:p w14:paraId="734DBF88" w14:textId="5D461B97" w:rsidR="005C68CA" w:rsidRDefault="00F41911" w:rsidP="00B314E1">
      <w:pPr>
        <w:spacing w:before="100" w:beforeAutospacing="1" w:after="100" w:afterAutospacing="1" w:line="360" w:lineRule="auto"/>
        <w:jc w:val="both"/>
        <w:rPr>
          <w:rFonts w:ascii="Calibri" w:hAnsi="Calibri"/>
        </w:rPr>
      </w:pPr>
      <w:r>
        <w:rPr>
          <w:rFonts w:ascii="Calibri" w:hAnsi="Calibri"/>
        </w:rPr>
        <w:t xml:space="preserve">Nepal’s strong local NGO culture includes the active participation of women’s </w:t>
      </w:r>
      <w:r w:rsidR="00A03D77">
        <w:rPr>
          <w:rFonts w:ascii="Calibri" w:hAnsi="Calibri"/>
        </w:rPr>
        <w:t>org</w:t>
      </w:r>
      <w:r w:rsidR="00226FED">
        <w:rPr>
          <w:rFonts w:ascii="Calibri" w:hAnsi="Calibri"/>
        </w:rPr>
        <w:t>a</w:t>
      </w:r>
      <w:r w:rsidR="00A03D77">
        <w:rPr>
          <w:rFonts w:ascii="Calibri" w:hAnsi="Calibri"/>
        </w:rPr>
        <w:t>nizations</w:t>
      </w:r>
      <w:r>
        <w:rPr>
          <w:rFonts w:ascii="Calibri" w:hAnsi="Calibri"/>
        </w:rPr>
        <w:t>,</w:t>
      </w:r>
      <w:r w:rsidR="005C68CA" w:rsidRPr="00D344A1">
        <w:rPr>
          <w:rFonts w:ascii="Calibri" w:hAnsi="Calibri"/>
        </w:rPr>
        <w:t xml:space="preserve"> many working </w:t>
      </w:r>
      <w:r w:rsidR="00A03D77">
        <w:rPr>
          <w:rFonts w:ascii="Calibri" w:hAnsi="Calibri"/>
        </w:rPr>
        <w:t>on</w:t>
      </w:r>
      <w:r w:rsidR="005C68CA" w:rsidRPr="00D344A1">
        <w:rPr>
          <w:rFonts w:ascii="Calibri" w:hAnsi="Calibri"/>
        </w:rPr>
        <w:t xml:space="preserve"> </w:t>
      </w:r>
      <w:r w:rsidR="00A03D77">
        <w:rPr>
          <w:rFonts w:ascii="Calibri" w:hAnsi="Calibri"/>
        </w:rPr>
        <w:t>SGBV</w:t>
      </w:r>
      <w:r w:rsidR="005C68CA" w:rsidRPr="00D344A1">
        <w:rPr>
          <w:rFonts w:ascii="Calibri" w:hAnsi="Calibri"/>
        </w:rPr>
        <w:t xml:space="preserve"> and trafficking</w:t>
      </w:r>
      <w:r>
        <w:rPr>
          <w:rFonts w:ascii="Calibri" w:hAnsi="Calibri"/>
        </w:rPr>
        <w:t xml:space="preserve"> issues</w:t>
      </w:r>
      <w:r w:rsidR="005C68CA" w:rsidRPr="00D344A1">
        <w:rPr>
          <w:rFonts w:ascii="Calibri" w:hAnsi="Calibri"/>
        </w:rPr>
        <w:t>. Several reports note the significant contribution that civil society is making to the implementation of the NAP but also that there is no formal monitoring and evaluation p</w:t>
      </w:r>
      <w:r w:rsidR="002C30B7">
        <w:rPr>
          <w:rFonts w:ascii="Calibri" w:hAnsi="Calibri"/>
        </w:rPr>
        <w:t xml:space="preserve">rocess in </w:t>
      </w:r>
      <w:r w:rsidR="002C30B7">
        <w:rPr>
          <w:rFonts w:ascii="Calibri" w:hAnsi="Calibri"/>
        </w:rPr>
        <w:lastRenderedPageBreak/>
        <w:t>place to document the</w:t>
      </w:r>
      <w:r w:rsidR="005C68CA" w:rsidRPr="00D344A1">
        <w:rPr>
          <w:rFonts w:ascii="Calibri" w:hAnsi="Calibri"/>
        </w:rPr>
        <w:t xml:space="preserve"> contribution</w:t>
      </w:r>
      <w:r w:rsidR="00226FED">
        <w:rPr>
          <w:rFonts w:ascii="Calibri" w:hAnsi="Calibri"/>
        </w:rPr>
        <w:t>s of</w:t>
      </w:r>
      <w:r w:rsidR="002C30B7">
        <w:rPr>
          <w:rFonts w:ascii="Calibri" w:hAnsi="Calibri"/>
        </w:rPr>
        <w:t xml:space="preserve"> civil society, </w:t>
      </w:r>
      <w:r w:rsidR="00B148B8">
        <w:rPr>
          <w:rFonts w:ascii="Calibri" w:hAnsi="Calibri"/>
        </w:rPr>
        <w:t>especially</w:t>
      </w:r>
      <w:r w:rsidR="002C30B7">
        <w:rPr>
          <w:rFonts w:ascii="Calibri" w:hAnsi="Calibri"/>
        </w:rPr>
        <w:t xml:space="preserve"> women’s organizations</w:t>
      </w:r>
      <w:r w:rsidR="005C68CA" w:rsidRPr="00D344A1">
        <w:rPr>
          <w:rFonts w:ascii="Calibri" w:hAnsi="Calibri"/>
        </w:rPr>
        <w:t>.</w:t>
      </w:r>
      <w:r w:rsidR="002C30B7">
        <w:rPr>
          <w:rFonts w:ascii="Calibri" w:hAnsi="Calibri"/>
        </w:rPr>
        <w:t xml:space="preserve"> The UN Entity for Gender Equality and the Empowerment of Women (UN Women) supported the development of</w:t>
      </w:r>
      <w:r w:rsidR="00B148B8">
        <w:rPr>
          <w:rFonts w:ascii="Calibri" w:hAnsi="Calibri"/>
        </w:rPr>
        <w:t xml:space="preserve"> the first NAP, and works with </w:t>
      </w:r>
      <w:r w:rsidR="002C30B7">
        <w:rPr>
          <w:rFonts w:ascii="Calibri" w:hAnsi="Calibri"/>
        </w:rPr>
        <w:t xml:space="preserve">NGOs to build their capacity to monitor the NAP. </w:t>
      </w:r>
      <w:r w:rsidR="00226FED">
        <w:rPr>
          <w:rFonts w:ascii="Calibri" w:hAnsi="Calibri"/>
        </w:rPr>
        <w:t>The next step could be recording the rich contributions of the civil society sector.</w:t>
      </w:r>
    </w:p>
    <w:p w14:paraId="0F673D3C" w14:textId="58C3F7DA" w:rsidR="000F530A" w:rsidRPr="00B314E1" w:rsidRDefault="000F530A" w:rsidP="007F364C">
      <w:pPr>
        <w:pStyle w:val="ListParagraph"/>
        <w:numPr>
          <w:ilvl w:val="0"/>
          <w:numId w:val="10"/>
        </w:numPr>
        <w:spacing w:before="100" w:beforeAutospacing="1" w:after="100" w:afterAutospacing="1"/>
        <w:jc w:val="both"/>
        <w:rPr>
          <w:rFonts w:ascii="Calibri" w:hAnsi="Calibri"/>
          <w:b/>
          <w:color w:val="1F497D" w:themeColor="text2"/>
        </w:rPr>
      </w:pPr>
      <w:r w:rsidRPr="00B314E1">
        <w:rPr>
          <w:rFonts w:ascii="Calibri" w:hAnsi="Calibri"/>
          <w:b/>
          <w:color w:val="1F497D" w:themeColor="text2"/>
        </w:rPr>
        <w:t xml:space="preserve">Conclusion </w:t>
      </w:r>
    </w:p>
    <w:p w14:paraId="5AA76632" w14:textId="08D3440B" w:rsidR="00912347" w:rsidRDefault="00AC1ED9" w:rsidP="00B314E1">
      <w:pPr>
        <w:spacing w:before="100" w:beforeAutospacing="1" w:after="100" w:afterAutospacing="1" w:line="360" w:lineRule="auto"/>
        <w:jc w:val="both"/>
        <w:rPr>
          <w:rFonts w:ascii="Calibri" w:hAnsi="Calibri"/>
        </w:rPr>
      </w:pPr>
      <w:r>
        <w:rPr>
          <w:rFonts w:ascii="Calibri" w:hAnsi="Calibri"/>
        </w:rPr>
        <w:t xml:space="preserve">There are three actions needed to address rights of women in </w:t>
      </w:r>
      <w:r w:rsidR="00A849B4" w:rsidRPr="00A849B4">
        <w:rPr>
          <w:rFonts w:ascii="Calibri" w:hAnsi="Calibri"/>
        </w:rPr>
        <w:t>post-conflict Nepal.</w:t>
      </w:r>
      <w:r w:rsidR="00A849B4">
        <w:rPr>
          <w:rFonts w:ascii="Calibri" w:hAnsi="Calibri"/>
        </w:rPr>
        <w:t xml:space="preserve"> First, </w:t>
      </w:r>
      <w:r w:rsidR="002C30B7">
        <w:rPr>
          <w:rFonts w:ascii="Calibri" w:hAnsi="Calibri"/>
        </w:rPr>
        <w:t xml:space="preserve">a </w:t>
      </w:r>
      <w:r w:rsidR="002C30B7" w:rsidRPr="00B314E1">
        <w:rPr>
          <w:rFonts w:ascii="Calibri" w:hAnsi="Calibri"/>
          <w:b/>
          <w:color w:val="4F81BD" w:themeColor="accent1"/>
        </w:rPr>
        <w:t>new</w:t>
      </w:r>
      <w:r w:rsidR="00A849B4" w:rsidRPr="00B314E1">
        <w:rPr>
          <w:rFonts w:ascii="Calibri" w:hAnsi="Calibri"/>
          <w:b/>
          <w:color w:val="4F81BD" w:themeColor="accent1"/>
        </w:rPr>
        <w:t xml:space="preserve"> NAP must follow the inclusive process</w:t>
      </w:r>
      <w:r w:rsidR="00A849B4" w:rsidRPr="00B314E1">
        <w:rPr>
          <w:rFonts w:ascii="Calibri" w:hAnsi="Calibri"/>
          <w:color w:val="4F81BD" w:themeColor="accent1"/>
        </w:rPr>
        <w:t xml:space="preserve"> </w:t>
      </w:r>
      <w:r w:rsidR="00A849B4">
        <w:rPr>
          <w:rFonts w:ascii="Calibri" w:hAnsi="Calibri"/>
        </w:rPr>
        <w:t xml:space="preserve">of the </w:t>
      </w:r>
      <w:r w:rsidR="002C30B7">
        <w:rPr>
          <w:rFonts w:ascii="Calibri" w:hAnsi="Calibri"/>
        </w:rPr>
        <w:t>existing NAP</w:t>
      </w:r>
      <w:r w:rsidR="00A849B4">
        <w:rPr>
          <w:rFonts w:ascii="Calibri" w:hAnsi="Calibri"/>
        </w:rPr>
        <w:t xml:space="preserve">, supported by effective monitoring and evaluation </w:t>
      </w:r>
      <w:r w:rsidR="002C30B7">
        <w:rPr>
          <w:rFonts w:ascii="Calibri" w:hAnsi="Calibri"/>
        </w:rPr>
        <w:t xml:space="preserve">by the Government and Nepal’s active </w:t>
      </w:r>
      <w:r>
        <w:rPr>
          <w:rFonts w:ascii="Calibri" w:hAnsi="Calibri"/>
        </w:rPr>
        <w:t xml:space="preserve">civil society sector, especially </w:t>
      </w:r>
      <w:r w:rsidR="00B148B8">
        <w:rPr>
          <w:rFonts w:ascii="Calibri" w:hAnsi="Calibri"/>
        </w:rPr>
        <w:t>women’s</w:t>
      </w:r>
      <w:r w:rsidR="002C30B7">
        <w:rPr>
          <w:rFonts w:ascii="Calibri" w:hAnsi="Calibri"/>
        </w:rPr>
        <w:t xml:space="preserve"> organizations</w:t>
      </w:r>
      <w:r w:rsidR="00A849B4">
        <w:rPr>
          <w:rFonts w:ascii="Calibri" w:hAnsi="Calibri"/>
        </w:rPr>
        <w:t>.</w:t>
      </w:r>
      <w:r>
        <w:rPr>
          <w:rFonts w:ascii="Calibri" w:hAnsi="Calibri"/>
        </w:rPr>
        <w:t xml:space="preserve"> It is important that the contributions of civil society to the NAP process are recognised and supported.</w:t>
      </w:r>
      <w:r w:rsidR="00A849B4" w:rsidRPr="00A849B4">
        <w:rPr>
          <w:rFonts w:ascii="Calibri" w:hAnsi="Calibri"/>
        </w:rPr>
        <w:t xml:space="preserve"> Two </w:t>
      </w:r>
      <w:r>
        <w:rPr>
          <w:rFonts w:ascii="Calibri" w:hAnsi="Calibri"/>
        </w:rPr>
        <w:t>related</w:t>
      </w:r>
      <w:r w:rsidR="002C30B7">
        <w:rPr>
          <w:rFonts w:ascii="Calibri" w:hAnsi="Calibri"/>
        </w:rPr>
        <w:t>,</w:t>
      </w:r>
      <w:r w:rsidR="00A849B4" w:rsidRPr="00A849B4">
        <w:rPr>
          <w:rFonts w:ascii="Calibri" w:hAnsi="Calibri"/>
        </w:rPr>
        <w:t xml:space="preserve"> but also politically fraught</w:t>
      </w:r>
      <w:r w:rsidR="002C30B7">
        <w:rPr>
          <w:rFonts w:ascii="Calibri" w:hAnsi="Calibri"/>
        </w:rPr>
        <w:t>,</w:t>
      </w:r>
      <w:r w:rsidR="00A849B4" w:rsidRPr="00A849B4">
        <w:rPr>
          <w:rFonts w:ascii="Calibri" w:hAnsi="Calibri"/>
        </w:rPr>
        <w:t xml:space="preserve"> </w:t>
      </w:r>
      <w:r w:rsidR="002C30B7">
        <w:rPr>
          <w:rFonts w:ascii="Calibri" w:hAnsi="Calibri"/>
        </w:rPr>
        <w:t>post-conflict</w:t>
      </w:r>
      <w:r w:rsidR="00A849B4" w:rsidRPr="00A849B4">
        <w:rPr>
          <w:rFonts w:ascii="Calibri" w:hAnsi="Calibri"/>
        </w:rPr>
        <w:t xml:space="preserve"> </w:t>
      </w:r>
      <w:r w:rsidR="002C30B7">
        <w:rPr>
          <w:rFonts w:ascii="Calibri" w:hAnsi="Calibri"/>
        </w:rPr>
        <w:t xml:space="preserve">projects </w:t>
      </w:r>
      <w:r w:rsidR="00A849B4" w:rsidRPr="00A849B4">
        <w:rPr>
          <w:rFonts w:ascii="Calibri" w:hAnsi="Calibri"/>
        </w:rPr>
        <w:t xml:space="preserve">are the </w:t>
      </w:r>
      <w:r w:rsidR="00A849B4" w:rsidRPr="00B314E1">
        <w:rPr>
          <w:rFonts w:ascii="Calibri" w:hAnsi="Calibri"/>
          <w:b/>
          <w:color w:val="4F81BD" w:themeColor="accent1"/>
        </w:rPr>
        <w:t>creation of a new constitution</w:t>
      </w:r>
      <w:r w:rsidR="00A849B4" w:rsidRPr="00A849B4">
        <w:rPr>
          <w:rFonts w:ascii="Calibri" w:hAnsi="Calibri"/>
        </w:rPr>
        <w:t xml:space="preserve"> and </w:t>
      </w:r>
      <w:r w:rsidR="002C30B7">
        <w:rPr>
          <w:rFonts w:ascii="Calibri" w:hAnsi="Calibri"/>
        </w:rPr>
        <w:t xml:space="preserve">a </w:t>
      </w:r>
      <w:r w:rsidR="002C30B7" w:rsidRPr="00B314E1">
        <w:rPr>
          <w:rFonts w:ascii="Calibri" w:hAnsi="Calibri"/>
          <w:b/>
          <w:color w:val="4F81BD" w:themeColor="accent1"/>
        </w:rPr>
        <w:t>need to re</w:t>
      </w:r>
      <w:r w:rsidR="00A849B4" w:rsidRPr="00B314E1">
        <w:rPr>
          <w:rFonts w:ascii="Calibri" w:hAnsi="Calibri"/>
          <w:b/>
          <w:color w:val="4F81BD" w:themeColor="accent1"/>
        </w:rPr>
        <w:t xml:space="preserve">design </w:t>
      </w:r>
      <w:r w:rsidR="002C30B7" w:rsidRPr="00B314E1">
        <w:rPr>
          <w:rFonts w:ascii="Calibri" w:hAnsi="Calibri"/>
          <w:b/>
          <w:color w:val="4F81BD" w:themeColor="accent1"/>
        </w:rPr>
        <w:t>the</w:t>
      </w:r>
      <w:r w:rsidR="00A849B4" w:rsidRPr="00B314E1">
        <w:rPr>
          <w:rFonts w:ascii="Calibri" w:hAnsi="Calibri"/>
          <w:b/>
          <w:color w:val="4F81BD" w:themeColor="accent1"/>
        </w:rPr>
        <w:t xml:space="preserve"> Commission</w:t>
      </w:r>
      <w:r w:rsidR="00A849B4" w:rsidRPr="00A849B4">
        <w:rPr>
          <w:rFonts w:ascii="Calibri" w:hAnsi="Calibri"/>
        </w:rPr>
        <w:t xml:space="preserve">. </w:t>
      </w:r>
      <w:r>
        <w:rPr>
          <w:rFonts w:ascii="Calibri" w:hAnsi="Calibri"/>
        </w:rPr>
        <w:t>W</w:t>
      </w:r>
      <w:r w:rsidR="00A849B4" w:rsidRPr="00A849B4">
        <w:rPr>
          <w:rFonts w:ascii="Calibri" w:hAnsi="Calibri"/>
        </w:rPr>
        <w:t xml:space="preserve">omen </w:t>
      </w:r>
      <w:r>
        <w:rPr>
          <w:rFonts w:ascii="Calibri" w:hAnsi="Calibri"/>
        </w:rPr>
        <w:t>must be i</w:t>
      </w:r>
      <w:r w:rsidR="00350E67">
        <w:rPr>
          <w:rFonts w:ascii="Calibri" w:hAnsi="Calibri"/>
        </w:rPr>
        <w:t xml:space="preserve">ncluded in </w:t>
      </w:r>
      <w:r w:rsidR="00A849B4" w:rsidRPr="00A849B4">
        <w:rPr>
          <w:rFonts w:ascii="Calibri" w:hAnsi="Calibri"/>
        </w:rPr>
        <w:t xml:space="preserve">the decision-making processes behind both projects, in line with the first pillar of the NAP. </w:t>
      </w:r>
      <w:r w:rsidR="00350E67">
        <w:rPr>
          <w:rFonts w:ascii="Calibri" w:hAnsi="Calibri"/>
        </w:rPr>
        <w:t>It is also crucial</w:t>
      </w:r>
      <w:r w:rsidR="00A849B4" w:rsidRPr="00A849B4">
        <w:rPr>
          <w:rFonts w:ascii="Calibri" w:hAnsi="Calibri"/>
        </w:rPr>
        <w:t xml:space="preserve"> that both substantively provide the necessary protections to women</w:t>
      </w:r>
      <w:r w:rsidR="00794B9C">
        <w:rPr>
          <w:rFonts w:ascii="Calibri" w:hAnsi="Calibri"/>
        </w:rPr>
        <w:t xml:space="preserve"> and girls</w:t>
      </w:r>
      <w:r w:rsidR="00A849B4" w:rsidRPr="00A849B4">
        <w:rPr>
          <w:rFonts w:ascii="Calibri" w:hAnsi="Calibri"/>
        </w:rPr>
        <w:t xml:space="preserve">. Women’s rights must be privileged in the constitution in order to build upon the work in this field already achieved under the NAP. Equally, the Commission </w:t>
      </w:r>
      <w:r w:rsidR="00794B9C">
        <w:rPr>
          <w:rFonts w:ascii="Calibri" w:hAnsi="Calibri"/>
        </w:rPr>
        <w:t>requires</w:t>
      </w:r>
      <w:r w:rsidR="002C30B7">
        <w:rPr>
          <w:rFonts w:ascii="Calibri" w:hAnsi="Calibri"/>
        </w:rPr>
        <w:t xml:space="preserve"> a redesign of its mandate and structure to</w:t>
      </w:r>
      <w:r w:rsidR="00A849B4" w:rsidRPr="00A849B4">
        <w:rPr>
          <w:rFonts w:ascii="Calibri" w:hAnsi="Calibri"/>
        </w:rPr>
        <w:t xml:space="preserve"> vigorously pursue </w:t>
      </w:r>
      <w:r w:rsidR="00A849B4">
        <w:rPr>
          <w:rFonts w:ascii="Calibri" w:hAnsi="Calibri"/>
        </w:rPr>
        <w:t xml:space="preserve">gender-based </w:t>
      </w:r>
      <w:r w:rsidR="00A849B4" w:rsidRPr="00A849B4">
        <w:rPr>
          <w:rFonts w:ascii="Calibri" w:hAnsi="Calibri"/>
        </w:rPr>
        <w:t xml:space="preserve">crimes. </w:t>
      </w:r>
    </w:p>
    <w:p w14:paraId="2C6B526B" w14:textId="77777777" w:rsidR="00466F23" w:rsidRDefault="00466F23" w:rsidP="00466F23">
      <w:pPr>
        <w:rPr>
          <w:rFonts w:ascii="Calibri" w:hAnsi="Calibri"/>
        </w:rPr>
      </w:pPr>
    </w:p>
    <w:p w14:paraId="0452113C" w14:textId="77777777" w:rsidR="00965E4D" w:rsidRDefault="00965E4D" w:rsidP="00466F23">
      <w:pPr>
        <w:pStyle w:val="Title"/>
        <w:rPr>
          <w:sz w:val="32"/>
          <w:szCs w:val="32"/>
        </w:rPr>
      </w:pPr>
      <w:r>
        <w:rPr>
          <w:sz w:val="32"/>
          <w:szCs w:val="32"/>
        </w:rPr>
        <w:br w:type="page"/>
      </w:r>
    </w:p>
    <w:p w14:paraId="2EC814CD" w14:textId="3AD20C13" w:rsidR="000E78A5" w:rsidRPr="003330F3" w:rsidRDefault="000E78A5" w:rsidP="000E78A5">
      <w:pPr>
        <w:pStyle w:val="Heading3"/>
        <w:keepLines/>
        <w:spacing w:before="20" w:after="0"/>
        <w:jc w:val="center"/>
        <w:rPr>
          <w:b w:val="0"/>
          <w:color w:val="1F497D" w:themeColor="text2"/>
          <w:spacing w:val="14"/>
          <w:sz w:val="32"/>
          <w:szCs w:val="32"/>
          <w:u w:val="single"/>
          <w:lang w:val="en-GB"/>
        </w:rPr>
      </w:pPr>
      <w:bookmarkStart w:id="13" w:name="_Toc416867091"/>
      <w:r>
        <w:rPr>
          <w:b w:val="0"/>
          <w:color w:val="1F497D" w:themeColor="text2"/>
          <w:spacing w:val="14"/>
          <w:sz w:val="32"/>
          <w:szCs w:val="32"/>
          <w:u w:val="single"/>
          <w:lang w:val="en-GB"/>
        </w:rPr>
        <w:lastRenderedPageBreak/>
        <w:t>ASIA</w:t>
      </w:r>
      <w:bookmarkEnd w:id="13"/>
    </w:p>
    <w:p w14:paraId="4CD2D0D7" w14:textId="77777777" w:rsidR="000E78A5" w:rsidRDefault="000E78A5" w:rsidP="000E78A5">
      <w:pPr>
        <w:jc w:val="both"/>
        <w:rPr>
          <w:rFonts w:ascii="Calibri" w:hAnsi="Calibri"/>
          <w:b/>
        </w:rPr>
      </w:pPr>
    </w:p>
    <w:p w14:paraId="7930363E" w14:textId="3D16E8F4" w:rsidR="000E78A5" w:rsidRPr="000E78A5" w:rsidRDefault="000E78A5" w:rsidP="000E78A5">
      <w:pPr>
        <w:pStyle w:val="Heading3"/>
        <w:keepLines/>
        <w:spacing w:before="20" w:after="0"/>
        <w:jc w:val="center"/>
        <w:rPr>
          <w:b w:val="0"/>
          <w:color w:val="1F497D" w:themeColor="text2"/>
          <w:spacing w:val="14"/>
          <w:sz w:val="32"/>
          <w:szCs w:val="32"/>
          <w:lang w:val="en-GB"/>
        </w:rPr>
      </w:pPr>
      <w:bookmarkStart w:id="14" w:name="_Toc416867092"/>
      <w:r>
        <w:rPr>
          <w:b w:val="0"/>
          <w:color w:val="1F497D" w:themeColor="text2"/>
          <w:spacing w:val="14"/>
          <w:sz w:val="32"/>
          <w:szCs w:val="32"/>
          <w:lang w:val="en-GB"/>
        </w:rPr>
        <w:t xml:space="preserve">MYANMAR – </w:t>
      </w:r>
      <w:r w:rsidR="00D31FFF">
        <w:rPr>
          <w:b w:val="0"/>
          <w:color w:val="1F497D" w:themeColor="text2"/>
          <w:spacing w:val="14"/>
          <w:sz w:val="32"/>
          <w:szCs w:val="32"/>
          <w:lang w:val="en-GB"/>
        </w:rPr>
        <w:t xml:space="preserve">A </w:t>
      </w:r>
      <w:r>
        <w:rPr>
          <w:b w:val="0"/>
          <w:color w:val="1F497D" w:themeColor="text2"/>
          <w:spacing w:val="14"/>
          <w:sz w:val="32"/>
          <w:szCs w:val="32"/>
          <w:lang w:val="en-GB"/>
        </w:rPr>
        <w:t xml:space="preserve">JOURNEY TOWARDS A NAP </w:t>
      </w:r>
      <w:r w:rsidR="00D31FFF">
        <w:rPr>
          <w:b w:val="0"/>
          <w:color w:val="1F497D" w:themeColor="text2"/>
          <w:spacing w:val="14"/>
          <w:sz w:val="32"/>
          <w:szCs w:val="32"/>
          <w:lang w:val="en-GB"/>
        </w:rPr>
        <w:t>THAT DRAWS ON THE LEGAL FRAMEWORK</w:t>
      </w:r>
      <w:bookmarkEnd w:id="14"/>
    </w:p>
    <w:p w14:paraId="3F71D1FB" w14:textId="77777777" w:rsidR="005C68CA" w:rsidRPr="0030171A" w:rsidRDefault="005C68CA" w:rsidP="005C68CA">
      <w:pPr>
        <w:rPr>
          <w:rFonts w:ascii="Calibri" w:hAnsi="Calibri" w:cs="Arial"/>
        </w:rPr>
      </w:pPr>
    </w:p>
    <w:p w14:paraId="0C916646" w14:textId="3537A557" w:rsidR="005C68CA" w:rsidRPr="001222F4" w:rsidRDefault="00350E67" w:rsidP="007F364C">
      <w:pPr>
        <w:pStyle w:val="ListParagraph"/>
        <w:widowControl w:val="0"/>
        <w:numPr>
          <w:ilvl w:val="0"/>
          <w:numId w:val="11"/>
        </w:numPr>
        <w:autoSpaceDE w:val="0"/>
        <w:autoSpaceDN w:val="0"/>
        <w:adjustRightInd w:val="0"/>
        <w:jc w:val="both"/>
        <w:rPr>
          <w:rFonts w:ascii="Calibri" w:hAnsi="Calibri" w:cs="Arial"/>
          <w:b/>
          <w:color w:val="1F497D" w:themeColor="text2"/>
          <w:lang w:val="en-US"/>
        </w:rPr>
      </w:pPr>
      <w:r w:rsidRPr="001222F4">
        <w:rPr>
          <w:rFonts w:ascii="Calibri" w:hAnsi="Calibri" w:cs="Arial"/>
          <w:b/>
          <w:color w:val="1F497D" w:themeColor="text2"/>
          <w:lang w:val="en-US"/>
        </w:rPr>
        <w:t>An</w:t>
      </w:r>
      <w:r w:rsidR="005C68CA" w:rsidRPr="001222F4">
        <w:rPr>
          <w:rFonts w:ascii="Calibri" w:hAnsi="Calibri" w:cs="Arial"/>
          <w:b/>
          <w:color w:val="1F497D" w:themeColor="text2"/>
          <w:lang w:val="en-US"/>
        </w:rPr>
        <w:t xml:space="preserve"> Overview of Conflict in Myanmar</w:t>
      </w:r>
    </w:p>
    <w:p w14:paraId="410D47F9" w14:textId="77777777" w:rsidR="005C68CA" w:rsidRPr="001222F4" w:rsidRDefault="005C68CA" w:rsidP="005C68CA">
      <w:pPr>
        <w:jc w:val="both"/>
        <w:rPr>
          <w:rFonts w:ascii="Calibri" w:hAnsi="Calibri" w:cs="Arial"/>
        </w:rPr>
      </w:pPr>
    </w:p>
    <w:p w14:paraId="3CDE9EAB" w14:textId="513103CD" w:rsidR="005C68CA" w:rsidRPr="001222F4" w:rsidRDefault="009B2C34" w:rsidP="00B314E1">
      <w:pPr>
        <w:spacing w:line="360" w:lineRule="auto"/>
        <w:jc w:val="both"/>
        <w:rPr>
          <w:rFonts w:ascii="Calibri" w:hAnsi="Calibri" w:cs="Arial"/>
        </w:rPr>
      </w:pPr>
      <w:r w:rsidRPr="001222F4">
        <w:rPr>
          <w:rFonts w:ascii="Calibri" w:hAnsi="Calibri" w:cs="Arial"/>
        </w:rPr>
        <w:t xml:space="preserve">Myanmar is </w:t>
      </w:r>
      <w:r w:rsidR="004112D1" w:rsidRPr="001222F4">
        <w:rPr>
          <w:rFonts w:ascii="Calibri" w:hAnsi="Calibri" w:cs="Arial"/>
        </w:rPr>
        <w:t>simultaneously</w:t>
      </w:r>
      <w:r w:rsidRPr="001222F4">
        <w:rPr>
          <w:rFonts w:ascii="Calibri" w:hAnsi="Calibri" w:cs="Arial"/>
        </w:rPr>
        <w:t xml:space="preserve"> </w:t>
      </w:r>
      <w:r w:rsidR="004112D1" w:rsidRPr="001222F4">
        <w:rPr>
          <w:rFonts w:ascii="Calibri" w:hAnsi="Calibri" w:cs="Arial"/>
        </w:rPr>
        <w:t>on the cusp</w:t>
      </w:r>
      <w:r w:rsidRPr="001222F4">
        <w:rPr>
          <w:rFonts w:ascii="Calibri" w:hAnsi="Calibri" w:cs="Arial"/>
        </w:rPr>
        <w:t xml:space="preserve"> </w:t>
      </w:r>
      <w:r w:rsidR="004112D1" w:rsidRPr="001222F4">
        <w:rPr>
          <w:rFonts w:ascii="Calibri" w:hAnsi="Calibri" w:cs="Arial"/>
        </w:rPr>
        <w:t xml:space="preserve">of </w:t>
      </w:r>
      <w:r w:rsidRPr="001222F4">
        <w:rPr>
          <w:rFonts w:ascii="Calibri" w:hAnsi="Calibri" w:cs="Arial"/>
        </w:rPr>
        <w:t xml:space="preserve">change </w:t>
      </w:r>
      <w:r w:rsidR="00673A0E" w:rsidRPr="001222F4">
        <w:rPr>
          <w:rFonts w:ascii="Calibri" w:hAnsi="Calibri" w:cs="Arial"/>
        </w:rPr>
        <w:t>and</w:t>
      </w:r>
      <w:r w:rsidRPr="001222F4">
        <w:rPr>
          <w:rFonts w:ascii="Calibri" w:hAnsi="Calibri" w:cs="Arial"/>
        </w:rPr>
        <w:t xml:space="preserve"> affected by </w:t>
      </w:r>
      <w:r w:rsidR="00673A0E" w:rsidRPr="001222F4">
        <w:rPr>
          <w:rFonts w:ascii="Calibri" w:hAnsi="Calibri" w:cs="Arial"/>
        </w:rPr>
        <w:t xml:space="preserve">ongoing </w:t>
      </w:r>
      <w:r w:rsidRPr="001222F4">
        <w:rPr>
          <w:rFonts w:ascii="Calibri" w:hAnsi="Calibri" w:cs="Arial"/>
        </w:rPr>
        <w:t xml:space="preserve">conflict. </w:t>
      </w:r>
      <w:r w:rsidR="00912347" w:rsidRPr="001222F4">
        <w:rPr>
          <w:rFonts w:ascii="Calibri" w:hAnsi="Calibri" w:cs="Arial"/>
        </w:rPr>
        <w:t>The country’s</w:t>
      </w:r>
      <w:r w:rsidR="00FF5AA1" w:rsidRPr="001222F4">
        <w:rPr>
          <w:rFonts w:ascii="Calibri" w:hAnsi="Calibri" w:cs="Arial"/>
        </w:rPr>
        <w:t xml:space="preserve"> future depends on the widely anticipated upcoming general election, due to be held in October/November of this year. </w:t>
      </w:r>
      <w:r w:rsidRPr="001222F4">
        <w:rPr>
          <w:rFonts w:ascii="Calibri" w:hAnsi="Calibri" w:cs="Arial"/>
        </w:rPr>
        <w:t>There is</w:t>
      </w:r>
      <w:r w:rsidR="00FF5AA1" w:rsidRPr="001222F4">
        <w:rPr>
          <w:rFonts w:ascii="Calibri" w:hAnsi="Calibri" w:cs="Arial"/>
        </w:rPr>
        <w:t xml:space="preserve"> currently</w:t>
      </w:r>
      <w:r w:rsidRPr="001222F4">
        <w:rPr>
          <w:rFonts w:ascii="Calibri" w:hAnsi="Calibri" w:cs="Arial"/>
        </w:rPr>
        <w:t xml:space="preserve"> </w:t>
      </w:r>
      <w:r w:rsidR="00FF5AA1" w:rsidRPr="001222F4">
        <w:rPr>
          <w:rFonts w:ascii="Calibri" w:hAnsi="Calibri" w:cs="Arial"/>
        </w:rPr>
        <w:t>a window of opportunity</w:t>
      </w:r>
      <w:r w:rsidRPr="001222F4">
        <w:rPr>
          <w:rFonts w:ascii="Calibri" w:hAnsi="Calibri" w:cs="Arial"/>
        </w:rPr>
        <w:t xml:space="preserve"> to </w:t>
      </w:r>
      <w:r w:rsidR="00673A0E" w:rsidRPr="001222F4">
        <w:rPr>
          <w:rFonts w:ascii="Calibri" w:hAnsi="Calibri" w:cs="Arial"/>
        </w:rPr>
        <w:t>channel</w:t>
      </w:r>
      <w:r w:rsidRPr="001222F4">
        <w:rPr>
          <w:rFonts w:ascii="Calibri" w:hAnsi="Calibri" w:cs="Arial"/>
        </w:rPr>
        <w:t xml:space="preserve"> the reformist momentum</w:t>
      </w:r>
      <w:r w:rsidR="000A59EF" w:rsidRPr="001222F4">
        <w:rPr>
          <w:rFonts w:ascii="Calibri" w:hAnsi="Calibri" w:cs="Arial"/>
        </w:rPr>
        <w:t xml:space="preserve"> from its transition toward democracy</w:t>
      </w:r>
      <w:r w:rsidR="00033EC2" w:rsidRPr="001222F4">
        <w:rPr>
          <w:rFonts w:ascii="Calibri" w:hAnsi="Calibri" w:cs="Arial"/>
        </w:rPr>
        <w:t xml:space="preserve"> to progress</w:t>
      </w:r>
      <w:r w:rsidRPr="001222F4">
        <w:rPr>
          <w:rFonts w:ascii="Calibri" w:hAnsi="Calibri" w:cs="Arial"/>
        </w:rPr>
        <w:t xml:space="preserve"> the women, peace and security agenda. Myanmar remains</w:t>
      </w:r>
      <w:r w:rsidR="0030394A" w:rsidRPr="001222F4">
        <w:rPr>
          <w:rFonts w:ascii="Calibri" w:hAnsi="Calibri" w:cs="Arial"/>
        </w:rPr>
        <w:t xml:space="preserve"> affected by </w:t>
      </w:r>
      <w:r w:rsidR="005C68CA" w:rsidRPr="001222F4">
        <w:rPr>
          <w:rFonts w:ascii="Calibri" w:hAnsi="Calibri" w:cs="Arial"/>
        </w:rPr>
        <w:t>protracted</w:t>
      </w:r>
      <w:r w:rsidR="00FF5AA1" w:rsidRPr="001222F4">
        <w:rPr>
          <w:rFonts w:ascii="Calibri" w:hAnsi="Calibri" w:cs="Arial"/>
        </w:rPr>
        <w:t xml:space="preserve"> internal</w:t>
      </w:r>
      <w:r w:rsidR="005C68CA" w:rsidRPr="001222F4">
        <w:rPr>
          <w:rFonts w:ascii="Calibri" w:hAnsi="Calibri" w:cs="Arial"/>
        </w:rPr>
        <w:t xml:space="preserve"> conflict</w:t>
      </w:r>
      <w:r w:rsidR="00FF5AA1" w:rsidRPr="001222F4">
        <w:rPr>
          <w:rFonts w:ascii="Calibri" w:hAnsi="Calibri" w:cs="Arial"/>
        </w:rPr>
        <w:t xml:space="preserve"> between </w:t>
      </w:r>
      <w:r w:rsidR="005C68CA" w:rsidRPr="001222F4">
        <w:rPr>
          <w:rFonts w:ascii="Calibri" w:hAnsi="Calibri" w:cs="Arial"/>
        </w:rPr>
        <w:t xml:space="preserve">ethnic </w:t>
      </w:r>
      <w:r w:rsidRPr="001222F4">
        <w:rPr>
          <w:rFonts w:ascii="Calibri" w:hAnsi="Calibri" w:cs="Arial"/>
        </w:rPr>
        <w:t>minorities and the Burmese military</w:t>
      </w:r>
      <w:r w:rsidR="00FF5AA1" w:rsidRPr="001222F4">
        <w:rPr>
          <w:rFonts w:ascii="Calibri" w:hAnsi="Calibri" w:cs="Arial"/>
        </w:rPr>
        <w:t xml:space="preserve">, </w:t>
      </w:r>
      <w:r w:rsidR="005C68CA" w:rsidRPr="001222F4">
        <w:rPr>
          <w:rFonts w:ascii="Calibri" w:hAnsi="Calibri" w:cs="Arial"/>
        </w:rPr>
        <w:t>characterised by gross violence against civilian</w:t>
      </w:r>
      <w:r w:rsidRPr="001222F4">
        <w:rPr>
          <w:rFonts w:ascii="Calibri" w:hAnsi="Calibri" w:cs="Arial"/>
        </w:rPr>
        <w:t>s</w:t>
      </w:r>
      <w:r w:rsidR="005C68CA" w:rsidRPr="001222F4">
        <w:rPr>
          <w:rFonts w:ascii="Calibri" w:hAnsi="Calibri" w:cs="Arial"/>
        </w:rPr>
        <w:t xml:space="preserve">, human rights abuses, brutal offensive military attacks and widespread displacement, with thousands </w:t>
      </w:r>
      <w:r w:rsidR="00FF5AA1" w:rsidRPr="001222F4">
        <w:rPr>
          <w:rFonts w:ascii="Calibri" w:hAnsi="Calibri" w:cs="Arial"/>
        </w:rPr>
        <w:t xml:space="preserve">displaced and </w:t>
      </w:r>
      <w:r w:rsidR="005C68CA" w:rsidRPr="001222F4">
        <w:rPr>
          <w:rFonts w:ascii="Calibri" w:hAnsi="Calibri" w:cs="Arial"/>
        </w:rPr>
        <w:t xml:space="preserve">fleeing to refugee camps </w:t>
      </w:r>
      <w:r w:rsidR="000A59EF" w:rsidRPr="001222F4">
        <w:rPr>
          <w:rFonts w:ascii="Calibri" w:hAnsi="Calibri" w:cs="Arial"/>
        </w:rPr>
        <w:t>in</w:t>
      </w:r>
      <w:r w:rsidR="005C68CA" w:rsidRPr="001222F4">
        <w:rPr>
          <w:rFonts w:ascii="Calibri" w:hAnsi="Calibri" w:cs="Arial"/>
        </w:rPr>
        <w:t xml:space="preserve"> neighbouring countries. </w:t>
      </w:r>
      <w:r w:rsidRPr="001222F4">
        <w:rPr>
          <w:rFonts w:ascii="Calibri" w:hAnsi="Calibri" w:cs="Arial"/>
        </w:rPr>
        <w:t xml:space="preserve">Communal violence persists in </w:t>
      </w:r>
      <w:r w:rsidR="00FF5AA1" w:rsidRPr="001222F4">
        <w:rPr>
          <w:rFonts w:ascii="Calibri" w:hAnsi="Calibri" w:cs="Arial"/>
        </w:rPr>
        <w:t>discrete areas</w:t>
      </w:r>
      <w:r w:rsidRPr="001222F4">
        <w:rPr>
          <w:rFonts w:ascii="Calibri" w:hAnsi="Calibri" w:cs="Arial"/>
        </w:rPr>
        <w:t xml:space="preserve">, </w:t>
      </w:r>
      <w:r w:rsidR="007D283C" w:rsidRPr="001222F4">
        <w:rPr>
          <w:rFonts w:ascii="Calibri" w:hAnsi="Calibri" w:cs="Arial"/>
        </w:rPr>
        <w:t>notably</w:t>
      </w:r>
      <w:r w:rsidRPr="001222F4">
        <w:rPr>
          <w:rFonts w:ascii="Calibri" w:hAnsi="Calibri" w:cs="Arial"/>
        </w:rPr>
        <w:t xml:space="preserve"> in Rakhine State between Buddhists and the Muslim Rohingya. Since 2012, and accusations of </w:t>
      </w:r>
      <w:r w:rsidR="00FF5AA1" w:rsidRPr="001222F4">
        <w:rPr>
          <w:rFonts w:ascii="Calibri" w:hAnsi="Calibri" w:cs="Arial"/>
        </w:rPr>
        <w:t xml:space="preserve">mass </w:t>
      </w:r>
      <w:r w:rsidRPr="001222F4">
        <w:rPr>
          <w:rFonts w:ascii="Calibri" w:hAnsi="Calibri" w:cs="Arial"/>
        </w:rPr>
        <w:t>rape</w:t>
      </w:r>
      <w:r w:rsidR="00FF5AA1" w:rsidRPr="001222F4">
        <w:rPr>
          <w:rFonts w:ascii="Calibri" w:hAnsi="Calibri" w:cs="Arial"/>
        </w:rPr>
        <w:t>s</w:t>
      </w:r>
      <w:r w:rsidRPr="001222F4">
        <w:rPr>
          <w:rFonts w:ascii="Calibri" w:hAnsi="Calibri" w:cs="Arial"/>
        </w:rPr>
        <w:t xml:space="preserve"> of women and girls have resulted in brutal clashes between members of these two groups.</w:t>
      </w:r>
      <w:r w:rsidRPr="001222F4">
        <w:rPr>
          <w:rStyle w:val="FootnoteReference"/>
          <w:rFonts w:ascii="Calibri" w:hAnsi="Calibri" w:cs="Arial"/>
        </w:rPr>
        <w:footnoteReference w:id="196"/>
      </w:r>
      <w:r w:rsidRPr="001222F4">
        <w:rPr>
          <w:rFonts w:ascii="Calibri" w:hAnsi="Calibri" w:cs="Arial"/>
        </w:rPr>
        <w:t xml:space="preserve">  </w:t>
      </w:r>
      <w:r w:rsidR="004112D1" w:rsidRPr="001222F4">
        <w:rPr>
          <w:rFonts w:ascii="Calibri" w:hAnsi="Calibri" w:cs="Arial"/>
        </w:rPr>
        <w:t>In</w:t>
      </w:r>
      <w:r w:rsidR="005C68CA" w:rsidRPr="001222F4">
        <w:rPr>
          <w:rFonts w:ascii="Calibri" w:hAnsi="Calibri" w:cs="Arial"/>
        </w:rPr>
        <w:t xml:space="preserve"> November 2014 the Women’s League of Burma, an umbrella organisation </w:t>
      </w:r>
      <w:r w:rsidRPr="001222F4">
        <w:rPr>
          <w:rFonts w:ascii="Calibri" w:hAnsi="Calibri" w:cs="Arial"/>
        </w:rPr>
        <w:t>of</w:t>
      </w:r>
      <w:r w:rsidR="005C68CA" w:rsidRPr="001222F4">
        <w:rPr>
          <w:rFonts w:ascii="Calibri" w:hAnsi="Calibri" w:cs="Arial"/>
        </w:rPr>
        <w:t xml:space="preserve"> 13 women’s </w:t>
      </w:r>
      <w:r w:rsidR="004112D1" w:rsidRPr="001222F4">
        <w:rPr>
          <w:rFonts w:ascii="Calibri" w:hAnsi="Calibri" w:cs="Arial"/>
        </w:rPr>
        <w:t>groups</w:t>
      </w:r>
      <w:r w:rsidR="005C68CA" w:rsidRPr="001222F4">
        <w:rPr>
          <w:rFonts w:ascii="Calibri" w:hAnsi="Calibri" w:cs="Arial"/>
        </w:rPr>
        <w:t xml:space="preserve"> of different ethnic backgrounds, published a report detailing the on</w:t>
      </w:r>
      <w:r w:rsidRPr="001222F4">
        <w:rPr>
          <w:rFonts w:ascii="Calibri" w:hAnsi="Calibri" w:cs="Arial"/>
        </w:rPr>
        <w:t>-</w:t>
      </w:r>
      <w:r w:rsidR="005C68CA" w:rsidRPr="001222F4">
        <w:rPr>
          <w:rFonts w:ascii="Calibri" w:hAnsi="Calibri" w:cs="Arial"/>
        </w:rPr>
        <w:t>going and systematic use of rape by the Burmese Army as a form of subjugation of ethnic communities.</w:t>
      </w:r>
      <w:r w:rsidR="005C68CA" w:rsidRPr="001222F4">
        <w:rPr>
          <w:rStyle w:val="FootnoteReference"/>
          <w:rFonts w:ascii="Calibri" w:hAnsi="Calibri" w:cs="Arial"/>
        </w:rPr>
        <w:footnoteReference w:id="197"/>
      </w:r>
      <w:r w:rsidR="005C68CA" w:rsidRPr="001222F4">
        <w:rPr>
          <w:rFonts w:ascii="Calibri" w:hAnsi="Calibri" w:cs="Arial"/>
        </w:rPr>
        <w:t xml:space="preserve"> </w:t>
      </w:r>
    </w:p>
    <w:p w14:paraId="5CD8AA22" w14:textId="77777777" w:rsidR="005C68CA" w:rsidRPr="001222F4" w:rsidRDefault="005C68CA" w:rsidP="005C68CA">
      <w:pPr>
        <w:jc w:val="both"/>
        <w:rPr>
          <w:rFonts w:ascii="Calibri" w:hAnsi="Calibri" w:cs="Arial"/>
        </w:rPr>
      </w:pPr>
    </w:p>
    <w:p w14:paraId="7F03B1DD" w14:textId="03F5C6EC" w:rsidR="005C68CA" w:rsidRPr="001222F4" w:rsidRDefault="00490269" w:rsidP="007F364C">
      <w:pPr>
        <w:pStyle w:val="ListParagraph"/>
        <w:numPr>
          <w:ilvl w:val="0"/>
          <w:numId w:val="11"/>
        </w:numPr>
        <w:jc w:val="both"/>
        <w:rPr>
          <w:rFonts w:ascii="Calibri" w:hAnsi="Calibri" w:cs="Arial"/>
          <w:b/>
          <w:color w:val="1F497D" w:themeColor="text2"/>
        </w:rPr>
      </w:pPr>
      <w:r w:rsidRPr="001222F4">
        <w:rPr>
          <w:rFonts w:ascii="Calibri" w:hAnsi="Calibri" w:cs="Arial"/>
          <w:b/>
          <w:color w:val="1F497D" w:themeColor="text2"/>
        </w:rPr>
        <w:t xml:space="preserve">Developments on </w:t>
      </w:r>
      <w:r w:rsidR="005C68CA" w:rsidRPr="001222F4">
        <w:rPr>
          <w:rFonts w:ascii="Calibri" w:hAnsi="Calibri" w:cs="Arial"/>
          <w:b/>
          <w:color w:val="1F497D" w:themeColor="text2"/>
        </w:rPr>
        <w:t xml:space="preserve">Women, Peace and Security – </w:t>
      </w:r>
      <w:r w:rsidR="00EA481B" w:rsidRPr="001222F4">
        <w:rPr>
          <w:rFonts w:ascii="Calibri" w:hAnsi="Calibri" w:cs="Arial"/>
          <w:b/>
          <w:color w:val="1F497D" w:themeColor="text2"/>
        </w:rPr>
        <w:t>T</w:t>
      </w:r>
      <w:r w:rsidR="005C68CA" w:rsidRPr="001222F4">
        <w:rPr>
          <w:rFonts w:ascii="Calibri" w:hAnsi="Calibri" w:cs="Arial"/>
          <w:b/>
          <w:color w:val="1F497D" w:themeColor="text2"/>
        </w:rPr>
        <w:t xml:space="preserve">owards a National Action Plan </w:t>
      </w:r>
    </w:p>
    <w:p w14:paraId="4BCB717B" w14:textId="77777777" w:rsidR="005C68CA" w:rsidRPr="001222F4" w:rsidRDefault="005C68CA" w:rsidP="005C68CA">
      <w:pPr>
        <w:jc w:val="both"/>
        <w:rPr>
          <w:rFonts w:ascii="Calibri" w:hAnsi="Calibri" w:cs="Arial"/>
        </w:rPr>
      </w:pPr>
    </w:p>
    <w:p w14:paraId="27467728" w14:textId="0DD0D7DE" w:rsidR="005C68CA" w:rsidRPr="001222F4" w:rsidRDefault="005C68CA" w:rsidP="00B314E1">
      <w:pPr>
        <w:spacing w:line="360" w:lineRule="auto"/>
        <w:jc w:val="both"/>
        <w:rPr>
          <w:rFonts w:ascii="Calibri" w:hAnsi="Calibri" w:cs="Arial"/>
        </w:rPr>
      </w:pPr>
      <w:r w:rsidRPr="001222F4">
        <w:rPr>
          <w:rFonts w:ascii="Calibri" w:hAnsi="Calibri" w:cs="Arial"/>
        </w:rPr>
        <w:t>Myanmar is yet to launch a National Action Plan</w:t>
      </w:r>
      <w:r w:rsidR="004415F6" w:rsidRPr="001222F4">
        <w:rPr>
          <w:rFonts w:ascii="Calibri" w:hAnsi="Calibri" w:cs="Arial"/>
        </w:rPr>
        <w:t xml:space="preserve"> (NAP)</w:t>
      </w:r>
      <w:r w:rsidRPr="001222F4">
        <w:rPr>
          <w:rFonts w:ascii="Calibri" w:hAnsi="Calibri" w:cs="Arial"/>
        </w:rPr>
        <w:t xml:space="preserve"> on </w:t>
      </w:r>
      <w:r w:rsidR="00490269" w:rsidRPr="001222F4">
        <w:rPr>
          <w:rFonts w:ascii="Calibri" w:hAnsi="Calibri" w:cs="Arial"/>
        </w:rPr>
        <w:t>SCR</w:t>
      </w:r>
      <w:r w:rsidRPr="001222F4">
        <w:rPr>
          <w:rFonts w:ascii="Calibri" w:hAnsi="Calibri" w:cs="Arial"/>
        </w:rPr>
        <w:t xml:space="preserve"> 1325, </w:t>
      </w:r>
      <w:r w:rsidR="009419B2" w:rsidRPr="001222F4">
        <w:rPr>
          <w:rFonts w:ascii="Calibri" w:hAnsi="Calibri" w:cs="Arial"/>
        </w:rPr>
        <w:t xml:space="preserve">which </w:t>
      </w:r>
      <w:r w:rsidR="00245F98" w:rsidRPr="001222F4">
        <w:rPr>
          <w:rFonts w:ascii="Calibri" w:hAnsi="Calibri" w:cs="Arial"/>
        </w:rPr>
        <w:t>is currently</w:t>
      </w:r>
      <w:r w:rsidR="009419B2" w:rsidRPr="001222F4">
        <w:rPr>
          <w:rFonts w:ascii="Calibri" w:hAnsi="Calibri" w:cs="Arial"/>
        </w:rPr>
        <w:t xml:space="preserve"> under development</w:t>
      </w:r>
      <w:r w:rsidR="00490269" w:rsidRPr="001222F4">
        <w:rPr>
          <w:rFonts w:ascii="Calibri" w:hAnsi="Calibri" w:cs="Arial"/>
        </w:rPr>
        <w:t xml:space="preserve">. </w:t>
      </w:r>
      <w:r w:rsidR="00433C50" w:rsidRPr="001222F4">
        <w:rPr>
          <w:rFonts w:ascii="Calibri" w:hAnsi="Calibri" w:cs="Arial"/>
        </w:rPr>
        <w:t>W</w:t>
      </w:r>
      <w:r w:rsidRPr="001222F4">
        <w:rPr>
          <w:rFonts w:ascii="Calibri" w:hAnsi="Calibri" w:cs="Arial"/>
        </w:rPr>
        <w:t xml:space="preserve">omen do not feature prominently in civil decision-making and </w:t>
      </w:r>
      <w:r w:rsidR="00033EC2" w:rsidRPr="001222F4">
        <w:rPr>
          <w:rFonts w:ascii="Calibri" w:hAnsi="Calibri" w:cs="Arial"/>
        </w:rPr>
        <w:t>are</w:t>
      </w:r>
      <w:r w:rsidRPr="001222F4">
        <w:rPr>
          <w:rFonts w:ascii="Calibri" w:hAnsi="Calibri" w:cs="Arial"/>
        </w:rPr>
        <w:t xml:space="preserve"> excluded from meaningful involvement in the ceasefire negotiations and broader peace-building effort</w:t>
      </w:r>
      <w:r w:rsidR="00033EC2" w:rsidRPr="001222F4">
        <w:rPr>
          <w:rFonts w:ascii="Calibri" w:hAnsi="Calibri" w:cs="Arial"/>
        </w:rPr>
        <w:t>s</w:t>
      </w:r>
      <w:r w:rsidRPr="001222F4">
        <w:rPr>
          <w:rFonts w:ascii="Calibri" w:hAnsi="Calibri" w:cs="Arial"/>
        </w:rPr>
        <w:t xml:space="preserve">. </w:t>
      </w:r>
      <w:r w:rsidR="001952B9" w:rsidRPr="001222F4">
        <w:rPr>
          <w:rFonts w:ascii="Calibri" w:hAnsi="Calibri"/>
        </w:rPr>
        <w:t>There are</w:t>
      </w:r>
      <w:r w:rsidR="00433C50" w:rsidRPr="001222F4">
        <w:rPr>
          <w:rFonts w:ascii="Calibri" w:hAnsi="Calibri"/>
        </w:rPr>
        <w:t xml:space="preserve"> no women in the Union Peace Making Central Committee, and</w:t>
      </w:r>
      <w:r w:rsidR="001952B9" w:rsidRPr="001222F4">
        <w:rPr>
          <w:rFonts w:ascii="Calibri" w:hAnsi="Calibri"/>
        </w:rPr>
        <w:t xml:space="preserve"> only </w:t>
      </w:r>
      <w:r w:rsidR="00EF1EC4" w:rsidRPr="001222F4">
        <w:rPr>
          <w:rFonts w:ascii="Calibri" w:hAnsi="Calibri"/>
        </w:rPr>
        <w:t>two</w:t>
      </w:r>
      <w:r w:rsidR="001952B9" w:rsidRPr="001222F4">
        <w:rPr>
          <w:rFonts w:ascii="Calibri" w:hAnsi="Calibri"/>
        </w:rPr>
        <w:t xml:space="preserve"> women</w:t>
      </w:r>
      <w:r w:rsidR="00433C50" w:rsidRPr="001222F4">
        <w:rPr>
          <w:rFonts w:ascii="Calibri" w:hAnsi="Calibri"/>
        </w:rPr>
        <w:t xml:space="preserve"> parliamentarians</w:t>
      </w:r>
      <w:r w:rsidR="001952B9" w:rsidRPr="001222F4">
        <w:rPr>
          <w:rFonts w:ascii="Calibri" w:hAnsi="Calibri"/>
        </w:rPr>
        <w:t xml:space="preserve"> in the 52-member government-established Working Committee </w:t>
      </w:r>
      <w:r w:rsidR="00433C50" w:rsidRPr="001222F4">
        <w:rPr>
          <w:rFonts w:ascii="Calibri" w:hAnsi="Calibri"/>
        </w:rPr>
        <w:t>established under it</w:t>
      </w:r>
      <w:r w:rsidR="001952B9" w:rsidRPr="001222F4">
        <w:rPr>
          <w:rFonts w:ascii="Calibri" w:hAnsi="Calibri"/>
        </w:rPr>
        <w:t>.</w:t>
      </w:r>
      <w:r w:rsidR="00EF1EC4" w:rsidRPr="001222F4">
        <w:rPr>
          <w:rStyle w:val="FootnoteReference"/>
          <w:rFonts w:ascii="Calibri" w:hAnsi="Calibri"/>
        </w:rPr>
        <w:footnoteReference w:id="198"/>
      </w:r>
      <w:r w:rsidR="00EF1EC4" w:rsidRPr="001222F4">
        <w:rPr>
          <w:rFonts w:ascii="Calibri" w:hAnsi="Calibri"/>
        </w:rPr>
        <w:t xml:space="preserve"> </w:t>
      </w:r>
      <w:r w:rsidR="00033EC2" w:rsidRPr="001222F4">
        <w:rPr>
          <w:rFonts w:ascii="Calibri" w:hAnsi="Calibri" w:cs="Arial"/>
        </w:rPr>
        <w:t>Myanmar</w:t>
      </w:r>
      <w:r w:rsidRPr="001222F4">
        <w:rPr>
          <w:rFonts w:ascii="Calibri" w:hAnsi="Calibri" w:cs="Arial"/>
        </w:rPr>
        <w:t xml:space="preserve"> does not </w:t>
      </w:r>
      <w:r w:rsidR="00033EC2" w:rsidRPr="001222F4">
        <w:rPr>
          <w:rFonts w:ascii="Calibri" w:hAnsi="Calibri" w:cs="Arial"/>
        </w:rPr>
        <w:t>yet</w:t>
      </w:r>
      <w:r w:rsidRPr="001222F4">
        <w:rPr>
          <w:rFonts w:ascii="Calibri" w:hAnsi="Calibri" w:cs="Arial"/>
        </w:rPr>
        <w:t xml:space="preserve"> any laws prohibiting violence against women in the home.</w:t>
      </w:r>
      <w:r w:rsidR="004415F6" w:rsidRPr="001222F4">
        <w:rPr>
          <w:rFonts w:ascii="Calibri" w:hAnsi="Calibri" w:cs="Arial"/>
        </w:rPr>
        <w:t xml:space="preserve"> </w:t>
      </w:r>
      <w:r w:rsidRPr="001222F4">
        <w:rPr>
          <w:rFonts w:ascii="Calibri" w:hAnsi="Calibri" w:cs="Arial"/>
        </w:rPr>
        <w:t xml:space="preserve">There are, however, indications that women’s issues are being increasingly prioritised. As part of Myanmar’s growing openness, there is </w:t>
      </w:r>
      <w:r w:rsidR="00245F98" w:rsidRPr="001222F4">
        <w:rPr>
          <w:rFonts w:ascii="Calibri" w:hAnsi="Calibri" w:cs="Arial"/>
        </w:rPr>
        <w:t>an</w:t>
      </w:r>
      <w:r w:rsidRPr="001222F4">
        <w:rPr>
          <w:rFonts w:ascii="Calibri" w:hAnsi="Calibri" w:cs="Arial"/>
        </w:rPr>
        <w:t xml:space="preserve"> unprecedented </w:t>
      </w:r>
      <w:r w:rsidR="00490269" w:rsidRPr="001222F4">
        <w:rPr>
          <w:rFonts w:ascii="Calibri" w:hAnsi="Calibri" w:cs="Arial"/>
        </w:rPr>
        <w:t xml:space="preserve">policy </w:t>
      </w:r>
      <w:r w:rsidRPr="001222F4">
        <w:rPr>
          <w:rFonts w:ascii="Calibri" w:hAnsi="Calibri" w:cs="Arial"/>
        </w:rPr>
        <w:t>space for discussion</w:t>
      </w:r>
      <w:r w:rsidR="00033EC2" w:rsidRPr="001222F4">
        <w:rPr>
          <w:rFonts w:ascii="Calibri" w:hAnsi="Calibri" w:cs="Arial"/>
        </w:rPr>
        <w:t xml:space="preserve"> and action,</w:t>
      </w:r>
      <w:r w:rsidR="00490269" w:rsidRPr="001222F4">
        <w:rPr>
          <w:rFonts w:ascii="Calibri" w:hAnsi="Calibri" w:cs="Arial"/>
        </w:rPr>
        <w:t xml:space="preserve"> by the Government, civil society (especially women’s organizations) and </w:t>
      </w:r>
      <w:r w:rsidR="00490269" w:rsidRPr="001222F4">
        <w:rPr>
          <w:rFonts w:ascii="Calibri" w:hAnsi="Calibri" w:cs="Arial"/>
        </w:rPr>
        <w:lastRenderedPageBreak/>
        <w:t xml:space="preserve">development partners on </w:t>
      </w:r>
      <w:r w:rsidR="00245F98" w:rsidRPr="001222F4">
        <w:rPr>
          <w:rFonts w:ascii="Calibri" w:hAnsi="Calibri" w:cs="Arial"/>
        </w:rPr>
        <w:t xml:space="preserve">making progress on gender equality </w:t>
      </w:r>
      <w:r w:rsidR="00490269" w:rsidRPr="001222F4">
        <w:rPr>
          <w:rFonts w:ascii="Calibri" w:hAnsi="Calibri" w:cs="Arial"/>
        </w:rPr>
        <w:t xml:space="preserve">in the context of the legal framework on </w:t>
      </w:r>
      <w:r w:rsidRPr="001222F4">
        <w:rPr>
          <w:rFonts w:ascii="Calibri" w:hAnsi="Calibri" w:cs="Arial"/>
        </w:rPr>
        <w:t>women, peace and security.</w:t>
      </w:r>
      <w:r w:rsidRPr="001222F4">
        <w:rPr>
          <w:rStyle w:val="FootnoteReference"/>
          <w:rFonts w:ascii="Calibri" w:hAnsi="Calibri" w:cs="Arial"/>
        </w:rPr>
        <w:footnoteReference w:id="199"/>
      </w:r>
      <w:r w:rsidRPr="001222F4">
        <w:rPr>
          <w:rFonts w:ascii="Calibri" w:hAnsi="Calibri" w:cs="Arial"/>
        </w:rPr>
        <w:t xml:space="preserve">  </w:t>
      </w:r>
    </w:p>
    <w:p w14:paraId="0CAF21C4" w14:textId="77777777" w:rsidR="00490269" w:rsidRPr="001222F4" w:rsidRDefault="00490269" w:rsidP="005C68CA">
      <w:pPr>
        <w:jc w:val="both"/>
        <w:rPr>
          <w:rFonts w:ascii="Calibri" w:hAnsi="Calibri" w:cs="Arial"/>
        </w:rPr>
      </w:pPr>
    </w:p>
    <w:p w14:paraId="5555F878" w14:textId="4FCE5513" w:rsidR="005C68CA" w:rsidRPr="001222F4" w:rsidRDefault="005C68CA" w:rsidP="007F364C">
      <w:pPr>
        <w:pStyle w:val="ListParagraph"/>
        <w:numPr>
          <w:ilvl w:val="0"/>
          <w:numId w:val="11"/>
        </w:numPr>
        <w:jc w:val="both"/>
        <w:rPr>
          <w:rFonts w:ascii="Calibri" w:hAnsi="Calibri" w:cs="Arial"/>
          <w:b/>
          <w:color w:val="1F497D" w:themeColor="text2"/>
        </w:rPr>
      </w:pPr>
      <w:r w:rsidRPr="001222F4">
        <w:rPr>
          <w:rFonts w:ascii="Calibri" w:hAnsi="Calibri" w:cs="Arial"/>
          <w:b/>
          <w:color w:val="1F497D" w:themeColor="text2"/>
        </w:rPr>
        <w:t>Efforts to establish a National Action Plan (NAP</w:t>
      </w:r>
      <w:r w:rsidR="00245F98" w:rsidRPr="001222F4">
        <w:rPr>
          <w:rFonts w:ascii="Calibri" w:hAnsi="Calibri" w:cs="Arial"/>
          <w:b/>
          <w:color w:val="1F497D" w:themeColor="text2"/>
        </w:rPr>
        <w:t>) using</w:t>
      </w:r>
      <w:r w:rsidR="00793F4F" w:rsidRPr="001222F4">
        <w:rPr>
          <w:rFonts w:ascii="Calibri" w:hAnsi="Calibri" w:cs="Arial"/>
          <w:b/>
          <w:color w:val="1F497D" w:themeColor="text2"/>
        </w:rPr>
        <w:t xml:space="preserve"> the Legal Framework </w:t>
      </w:r>
    </w:p>
    <w:p w14:paraId="5E2A039C" w14:textId="77777777" w:rsidR="005C68CA" w:rsidRPr="001222F4" w:rsidRDefault="005C68CA" w:rsidP="005C68CA">
      <w:pPr>
        <w:jc w:val="both"/>
        <w:rPr>
          <w:rFonts w:ascii="Calibri" w:hAnsi="Calibri" w:cs="Arial"/>
        </w:rPr>
      </w:pPr>
    </w:p>
    <w:p w14:paraId="0CD966B8" w14:textId="77777777" w:rsidR="005C68CA" w:rsidRPr="001222F4" w:rsidRDefault="005C68CA" w:rsidP="005C68CA">
      <w:pPr>
        <w:jc w:val="both"/>
        <w:rPr>
          <w:rFonts w:ascii="Calibri" w:hAnsi="Calibri" w:cs="Arial"/>
          <w:b/>
          <w:color w:val="1F497D" w:themeColor="text2"/>
        </w:rPr>
      </w:pPr>
      <w:r w:rsidRPr="001222F4">
        <w:rPr>
          <w:rFonts w:ascii="Calibri" w:hAnsi="Calibri" w:cs="Arial"/>
          <w:b/>
          <w:color w:val="1F497D" w:themeColor="text2"/>
          <w:u w:val="single"/>
        </w:rPr>
        <w:t>Government</w:t>
      </w:r>
    </w:p>
    <w:p w14:paraId="0B465BAA" w14:textId="77777777" w:rsidR="005C68CA" w:rsidRPr="001222F4" w:rsidRDefault="005C68CA" w:rsidP="005C68CA">
      <w:pPr>
        <w:jc w:val="both"/>
        <w:rPr>
          <w:rFonts w:ascii="Calibri" w:hAnsi="Calibri" w:cs="Arial"/>
        </w:rPr>
      </w:pPr>
    </w:p>
    <w:p w14:paraId="12827F5E" w14:textId="6C9B84C3" w:rsidR="000F023A" w:rsidRPr="001222F4" w:rsidRDefault="005C68CA" w:rsidP="00B314E1">
      <w:pPr>
        <w:spacing w:line="360" w:lineRule="auto"/>
        <w:jc w:val="both"/>
        <w:rPr>
          <w:rFonts w:ascii="Calibri" w:hAnsi="Calibri" w:cs="Arial"/>
        </w:rPr>
      </w:pPr>
      <w:r w:rsidRPr="001222F4">
        <w:rPr>
          <w:rFonts w:ascii="Calibri" w:hAnsi="Calibri" w:cs="Arial"/>
        </w:rPr>
        <w:t xml:space="preserve">The commitment to a </w:t>
      </w:r>
      <w:r w:rsidR="004415F6" w:rsidRPr="001222F4">
        <w:rPr>
          <w:rFonts w:ascii="Calibri" w:hAnsi="Calibri" w:cs="Arial"/>
        </w:rPr>
        <w:t>NAP</w:t>
      </w:r>
      <w:r w:rsidR="00490269" w:rsidRPr="001222F4">
        <w:rPr>
          <w:rFonts w:ascii="Calibri" w:hAnsi="Calibri" w:cs="Arial"/>
        </w:rPr>
        <w:t xml:space="preserve"> sits alongside recently </w:t>
      </w:r>
      <w:r w:rsidRPr="001222F4">
        <w:rPr>
          <w:rFonts w:ascii="Calibri" w:hAnsi="Calibri" w:cs="Arial"/>
        </w:rPr>
        <w:t xml:space="preserve">introduced governmental measures aimed at raising the </w:t>
      </w:r>
      <w:r w:rsidR="00490269" w:rsidRPr="001222F4">
        <w:rPr>
          <w:rFonts w:ascii="Calibri" w:hAnsi="Calibri" w:cs="Arial"/>
        </w:rPr>
        <w:t>women’s profile</w:t>
      </w:r>
      <w:r w:rsidRPr="001222F4">
        <w:rPr>
          <w:rFonts w:ascii="Calibri" w:hAnsi="Calibri" w:cs="Arial"/>
        </w:rPr>
        <w:t xml:space="preserve"> in Myanmar society and safeguarding women from violence. In October 2013 the Government launched the </w:t>
      </w:r>
      <w:r w:rsidRPr="001222F4">
        <w:rPr>
          <w:rFonts w:ascii="Calibri" w:hAnsi="Calibri" w:cs="Arial"/>
          <w:b/>
          <w:color w:val="4F81BD" w:themeColor="accent1"/>
        </w:rPr>
        <w:t>National Strategic Action Plan for the Advancement of Women</w:t>
      </w:r>
      <w:r w:rsidRPr="001222F4">
        <w:rPr>
          <w:rFonts w:ascii="Calibri" w:hAnsi="Calibri" w:cs="Arial"/>
        </w:rPr>
        <w:t xml:space="preserve"> (NSPAW)</w:t>
      </w:r>
      <w:r w:rsidR="00773F80" w:rsidRPr="001222F4">
        <w:rPr>
          <w:rFonts w:ascii="Calibri" w:hAnsi="Calibri" w:cs="Arial"/>
        </w:rPr>
        <w:t xml:space="preserve"> a comprehensive ten-year plan</w:t>
      </w:r>
      <w:r w:rsidRPr="001222F4">
        <w:rPr>
          <w:rFonts w:ascii="Calibri" w:hAnsi="Calibri" w:cs="Arial"/>
        </w:rPr>
        <w:t xml:space="preserve"> based on the principles of CEDAW and the 12 Priority Areas of the </w:t>
      </w:r>
      <w:r w:rsidR="00490269" w:rsidRPr="001222F4">
        <w:rPr>
          <w:rFonts w:ascii="Calibri" w:hAnsi="Calibri" w:cs="Arial"/>
        </w:rPr>
        <w:t>BPfA</w:t>
      </w:r>
      <w:r w:rsidR="00907142" w:rsidRPr="001222F4">
        <w:rPr>
          <w:rFonts w:ascii="Calibri" w:hAnsi="Calibri" w:cs="Arial"/>
        </w:rPr>
        <w:t xml:space="preserve"> (the latter of </w:t>
      </w:r>
      <w:r w:rsidR="00E17B6E" w:rsidRPr="001222F4">
        <w:rPr>
          <w:rFonts w:ascii="Calibri" w:hAnsi="Calibri" w:cs="Arial"/>
        </w:rPr>
        <w:t>which include</w:t>
      </w:r>
      <w:r w:rsidR="000F023A" w:rsidRPr="001222F4">
        <w:rPr>
          <w:rFonts w:ascii="Calibri" w:hAnsi="Calibri" w:cs="Arial"/>
        </w:rPr>
        <w:t xml:space="preserve"> priorities on</w:t>
      </w:r>
      <w:r w:rsidR="00E17B6E" w:rsidRPr="001222F4">
        <w:rPr>
          <w:rFonts w:ascii="Calibri" w:hAnsi="Calibri" w:cs="Arial"/>
        </w:rPr>
        <w:t xml:space="preserve"> women and armed confl</w:t>
      </w:r>
      <w:r w:rsidR="00907142" w:rsidRPr="001222F4">
        <w:rPr>
          <w:rFonts w:ascii="Calibri" w:hAnsi="Calibri" w:cs="Arial"/>
        </w:rPr>
        <w:t xml:space="preserve">ict and violence against women; </w:t>
      </w:r>
      <w:r w:rsidR="00E17B6E" w:rsidRPr="001222F4">
        <w:rPr>
          <w:rFonts w:ascii="Calibri" w:hAnsi="Calibri" w:cs="Arial"/>
        </w:rPr>
        <w:t>see Section 1)</w:t>
      </w:r>
      <w:r w:rsidRPr="001222F4">
        <w:rPr>
          <w:rFonts w:ascii="Calibri" w:hAnsi="Calibri" w:cs="Arial"/>
        </w:rPr>
        <w:t xml:space="preserve">. </w:t>
      </w:r>
      <w:r w:rsidR="00490269" w:rsidRPr="001222F4">
        <w:rPr>
          <w:rFonts w:ascii="Calibri" w:hAnsi="Calibri" w:cs="Arial"/>
        </w:rPr>
        <w:t xml:space="preserve">Both CEDAW and the BPfA are key elements of the legal framework </w:t>
      </w:r>
      <w:r w:rsidR="007A174D" w:rsidRPr="001222F4">
        <w:rPr>
          <w:rFonts w:ascii="Calibri" w:hAnsi="Calibri" w:cs="Arial"/>
        </w:rPr>
        <w:t xml:space="preserve">that </w:t>
      </w:r>
      <w:r w:rsidR="00773F80" w:rsidRPr="001222F4">
        <w:rPr>
          <w:rFonts w:ascii="Calibri" w:hAnsi="Calibri" w:cs="Arial"/>
        </w:rPr>
        <w:t xml:space="preserve">outline </w:t>
      </w:r>
      <w:r w:rsidR="00490269" w:rsidRPr="001222F4">
        <w:rPr>
          <w:rFonts w:ascii="Calibri" w:hAnsi="Calibri" w:cs="Arial"/>
        </w:rPr>
        <w:t xml:space="preserve">Myanmar’s </w:t>
      </w:r>
      <w:r w:rsidR="007A174D" w:rsidRPr="001222F4">
        <w:rPr>
          <w:rFonts w:ascii="Calibri" w:hAnsi="Calibri" w:cs="Arial"/>
        </w:rPr>
        <w:t xml:space="preserve">international </w:t>
      </w:r>
      <w:r w:rsidR="00490269" w:rsidRPr="001222F4">
        <w:rPr>
          <w:rFonts w:ascii="Calibri" w:hAnsi="Calibri" w:cs="Arial"/>
        </w:rPr>
        <w:t>obligations</w:t>
      </w:r>
      <w:r w:rsidR="007A174D" w:rsidRPr="001222F4">
        <w:rPr>
          <w:rFonts w:ascii="Calibri" w:hAnsi="Calibri" w:cs="Arial"/>
        </w:rPr>
        <w:t xml:space="preserve"> and commitments</w:t>
      </w:r>
      <w:r w:rsidR="00490269" w:rsidRPr="001222F4">
        <w:rPr>
          <w:rFonts w:ascii="Calibri" w:hAnsi="Calibri" w:cs="Arial"/>
        </w:rPr>
        <w:t xml:space="preserve"> in relation to women, peace and security. By drawing on </w:t>
      </w:r>
      <w:r w:rsidR="00E17B6E" w:rsidRPr="001222F4">
        <w:rPr>
          <w:rFonts w:ascii="Calibri" w:hAnsi="Calibri" w:cs="Arial"/>
        </w:rPr>
        <w:t xml:space="preserve">CEDAW and the BPfA, the Government has </w:t>
      </w:r>
      <w:r w:rsidR="00667032" w:rsidRPr="001222F4">
        <w:rPr>
          <w:rFonts w:ascii="Calibri" w:hAnsi="Calibri" w:cs="Arial"/>
        </w:rPr>
        <w:t xml:space="preserve">positioned </w:t>
      </w:r>
      <w:r w:rsidR="00907142" w:rsidRPr="001222F4">
        <w:rPr>
          <w:rFonts w:ascii="Calibri" w:hAnsi="Calibri" w:cs="Arial"/>
        </w:rPr>
        <w:t xml:space="preserve">the NSPAW as an overarching document on gender equality to complement </w:t>
      </w:r>
      <w:r w:rsidR="00667032" w:rsidRPr="001222F4">
        <w:rPr>
          <w:rFonts w:ascii="Calibri" w:hAnsi="Calibri" w:cs="Arial"/>
        </w:rPr>
        <w:t xml:space="preserve">the </w:t>
      </w:r>
      <w:r w:rsidR="007A174D" w:rsidRPr="001222F4">
        <w:rPr>
          <w:rFonts w:ascii="Calibri" w:hAnsi="Calibri" w:cs="Arial"/>
        </w:rPr>
        <w:t xml:space="preserve">forthcoming NAP. </w:t>
      </w:r>
      <w:r w:rsidR="009419B2" w:rsidRPr="001222F4">
        <w:rPr>
          <w:rFonts w:ascii="Calibri" w:hAnsi="Calibri" w:cs="Arial"/>
        </w:rPr>
        <w:t xml:space="preserve"> </w:t>
      </w:r>
      <w:r w:rsidR="00490269" w:rsidRPr="001222F4">
        <w:rPr>
          <w:rFonts w:ascii="Calibri" w:hAnsi="Calibri" w:cs="Arial"/>
        </w:rPr>
        <w:t xml:space="preserve"> </w:t>
      </w:r>
    </w:p>
    <w:p w14:paraId="1052F7C3" w14:textId="77777777" w:rsidR="000F023A" w:rsidRPr="001222F4" w:rsidRDefault="000F023A" w:rsidP="005C68CA">
      <w:pPr>
        <w:jc w:val="both"/>
        <w:rPr>
          <w:rFonts w:ascii="Calibri" w:hAnsi="Calibri" w:cs="Arial"/>
        </w:rPr>
      </w:pPr>
    </w:p>
    <w:p w14:paraId="1EE73423" w14:textId="2469EB03" w:rsidR="006C17A9" w:rsidRPr="001222F4" w:rsidRDefault="00E17B6E" w:rsidP="00B314E1">
      <w:pPr>
        <w:spacing w:line="360" w:lineRule="auto"/>
        <w:jc w:val="both"/>
        <w:rPr>
          <w:rFonts w:ascii="Calibri" w:hAnsi="Calibri" w:cs="Arial"/>
        </w:rPr>
      </w:pPr>
      <w:r w:rsidRPr="001222F4">
        <w:rPr>
          <w:rFonts w:ascii="Calibri" w:hAnsi="Calibri" w:cs="Arial"/>
        </w:rPr>
        <w:t>The NSPAW</w:t>
      </w:r>
      <w:r w:rsidR="005C68CA" w:rsidRPr="001222F4">
        <w:rPr>
          <w:rFonts w:ascii="Calibri" w:hAnsi="Calibri" w:cs="Arial"/>
        </w:rPr>
        <w:t xml:space="preserve"> recommends practical ways to address barriers to women’s development, including in the areas of access to education, political leadership, civil service employment, health care and gender-based violence prevention. </w:t>
      </w:r>
      <w:r w:rsidRPr="001222F4">
        <w:rPr>
          <w:rFonts w:ascii="Calibri" w:hAnsi="Calibri" w:cs="Arial"/>
        </w:rPr>
        <w:t>The G</w:t>
      </w:r>
      <w:r w:rsidR="005C68CA" w:rsidRPr="001222F4">
        <w:rPr>
          <w:rFonts w:ascii="Calibri" w:hAnsi="Calibri" w:cs="Arial"/>
        </w:rPr>
        <w:t xml:space="preserve">overnment, in collaboration with </w:t>
      </w:r>
      <w:r w:rsidRPr="001222F4">
        <w:rPr>
          <w:rFonts w:ascii="Calibri" w:hAnsi="Calibri" w:cs="Arial"/>
        </w:rPr>
        <w:t>NGOs</w:t>
      </w:r>
      <w:r w:rsidR="005C68CA" w:rsidRPr="001222F4">
        <w:rPr>
          <w:rFonts w:ascii="Calibri" w:hAnsi="Calibri" w:cs="Arial"/>
        </w:rPr>
        <w:t>, is responsible for implementation. Although the precise leve</w:t>
      </w:r>
      <w:r w:rsidR="000F023A" w:rsidRPr="001222F4">
        <w:rPr>
          <w:rFonts w:ascii="Calibri" w:hAnsi="Calibri" w:cs="Arial"/>
        </w:rPr>
        <w:t>l of implementation is uncertain,</w:t>
      </w:r>
      <w:r w:rsidR="005C68CA" w:rsidRPr="001222F4">
        <w:rPr>
          <w:rStyle w:val="FootnoteReference"/>
          <w:rFonts w:ascii="Calibri" w:hAnsi="Calibri" w:cs="Arial"/>
        </w:rPr>
        <w:footnoteReference w:id="200"/>
      </w:r>
      <w:r w:rsidR="005C68CA" w:rsidRPr="001222F4">
        <w:rPr>
          <w:rFonts w:ascii="Calibri" w:hAnsi="Calibri" w:cs="Arial"/>
        </w:rPr>
        <w:t xml:space="preserve"> </w:t>
      </w:r>
      <w:r w:rsidR="00773F80" w:rsidRPr="001222F4">
        <w:rPr>
          <w:rFonts w:ascii="Calibri" w:hAnsi="Calibri" w:cs="Arial"/>
        </w:rPr>
        <w:t>the NSPAW represents</w:t>
      </w:r>
      <w:r w:rsidR="005C68CA" w:rsidRPr="001222F4">
        <w:rPr>
          <w:rFonts w:ascii="Calibri" w:hAnsi="Calibri" w:cs="Arial"/>
        </w:rPr>
        <w:t xml:space="preserve"> a significant step towards enhancing </w:t>
      </w:r>
      <w:r w:rsidRPr="001222F4">
        <w:rPr>
          <w:rFonts w:ascii="Calibri" w:hAnsi="Calibri" w:cs="Arial"/>
        </w:rPr>
        <w:t>women’s rights in</w:t>
      </w:r>
      <w:r w:rsidR="005C68CA" w:rsidRPr="001222F4">
        <w:rPr>
          <w:rFonts w:ascii="Calibri" w:hAnsi="Calibri" w:cs="Arial"/>
        </w:rPr>
        <w:t xml:space="preserve"> Myanmar. </w:t>
      </w:r>
      <w:r w:rsidR="006C17A9" w:rsidRPr="001222F4">
        <w:rPr>
          <w:rFonts w:ascii="Calibri" w:hAnsi="Calibri" w:cs="Arial"/>
        </w:rPr>
        <w:t xml:space="preserve">The NSPAW also </w:t>
      </w:r>
      <w:r w:rsidR="004074B8" w:rsidRPr="001222F4">
        <w:rPr>
          <w:rFonts w:ascii="Calibri" w:hAnsi="Calibri" w:cs="Arial"/>
        </w:rPr>
        <w:t xml:space="preserve">signals </w:t>
      </w:r>
      <w:r w:rsidR="006C17A9" w:rsidRPr="001222F4">
        <w:rPr>
          <w:rFonts w:ascii="Calibri" w:hAnsi="Calibri" w:cs="Arial"/>
        </w:rPr>
        <w:t xml:space="preserve">a </w:t>
      </w:r>
      <w:r w:rsidR="006C17A9" w:rsidRPr="001222F4">
        <w:rPr>
          <w:rFonts w:ascii="Calibri" w:hAnsi="Calibri" w:cs="Arial"/>
          <w:b/>
          <w:color w:val="4F81BD" w:themeColor="accent1"/>
        </w:rPr>
        <w:t>renewed commitment</w:t>
      </w:r>
      <w:r w:rsidR="004415F6" w:rsidRPr="001222F4">
        <w:rPr>
          <w:rFonts w:ascii="Calibri" w:hAnsi="Calibri" w:cs="Arial"/>
          <w:b/>
          <w:color w:val="4F81BD" w:themeColor="accent1"/>
        </w:rPr>
        <w:t xml:space="preserve"> by the Government</w:t>
      </w:r>
      <w:r w:rsidR="006C17A9" w:rsidRPr="001222F4">
        <w:rPr>
          <w:rFonts w:ascii="Calibri" w:hAnsi="Calibri" w:cs="Arial"/>
          <w:b/>
          <w:color w:val="4F81BD" w:themeColor="accent1"/>
        </w:rPr>
        <w:t xml:space="preserve"> to </w:t>
      </w:r>
      <w:r w:rsidR="003228DE" w:rsidRPr="001222F4">
        <w:rPr>
          <w:rFonts w:ascii="Calibri" w:hAnsi="Calibri" w:cs="Arial"/>
          <w:b/>
          <w:color w:val="4F81BD" w:themeColor="accent1"/>
        </w:rPr>
        <w:t>CEDAW</w:t>
      </w:r>
      <w:r w:rsidR="006C17A9" w:rsidRPr="001222F4">
        <w:rPr>
          <w:rFonts w:ascii="Calibri" w:hAnsi="Calibri" w:cs="Arial"/>
        </w:rPr>
        <w:t>. Although Myanmar acceded to the Convention on 22 July 1997, it has only sporadically reported to the CEDAW Committee, in 2000 and 2008 (</w:t>
      </w:r>
      <w:r w:rsidR="001B69CA" w:rsidRPr="001222F4">
        <w:rPr>
          <w:rFonts w:ascii="Calibri" w:hAnsi="Calibri" w:cs="Arial"/>
        </w:rPr>
        <w:t xml:space="preserve">states </w:t>
      </w:r>
      <w:r w:rsidR="006C17A9" w:rsidRPr="001222F4">
        <w:rPr>
          <w:rFonts w:ascii="Calibri" w:hAnsi="Calibri" w:cs="Arial"/>
        </w:rPr>
        <w:t xml:space="preserve">are required to report </w:t>
      </w:r>
      <w:r w:rsidR="004074B8" w:rsidRPr="001222F4">
        <w:rPr>
          <w:rFonts w:ascii="Calibri" w:hAnsi="Calibri" w:cs="Arial"/>
        </w:rPr>
        <w:t xml:space="preserve">to the Committee </w:t>
      </w:r>
      <w:r w:rsidR="006C17A9" w:rsidRPr="001222F4">
        <w:rPr>
          <w:rFonts w:ascii="Calibri" w:hAnsi="Calibri" w:cs="Arial"/>
        </w:rPr>
        <w:t xml:space="preserve">every four years).  </w:t>
      </w:r>
    </w:p>
    <w:p w14:paraId="5B17CB7B" w14:textId="77777777" w:rsidR="006C17A9" w:rsidRPr="001222F4" w:rsidRDefault="006C17A9" w:rsidP="005C68CA">
      <w:pPr>
        <w:jc w:val="both"/>
        <w:rPr>
          <w:rFonts w:ascii="Calibri" w:hAnsi="Calibri" w:cs="Arial"/>
        </w:rPr>
      </w:pPr>
    </w:p>
    <w:p w14:paraId="1B39A513" w14:textId="28411AC8" w:rsidR="005C68CA" w:rsidRPr="001222F4" w:rsidRDefault="00E17B6E" w:rsidP="005C68CA">
      <w:pPr>
        <w:jc w:val="both"/>
        <w:rPr>
          <w:rFonts w:ascii="Calibri" w:hAnsi="Calibri" w:cs="Arial"/>
          <w:b/>
          <w:color w:val="1F497D" w:themeColor="text2"/>
        </w:rPr>
      </w:pPr>
      <w:r w:rsidRPr="001222F4">
        <w:rPr>
          <w:rFonts w:ascii="Calibri" w:hAnsi="Calibri" w:cs="Arial"/>
          <w:b/>
          <w:color w:val="1F497D" w:themeColor="text2"/>
          <w:u w:val="single"/>
        </w:rPr>
        <w:t xml:space="preserve">Development Agencies and </w:t>
      </w:r>
      <w:r w:rsidR="005C68CA" w:rsidRPr="001222F4">
        <w:rPr>
          <w:rFonts w:ascii="Calibri" w:hAnsi="Calibri" w:cs="Arial"/>
          <w:b/>
          <w:color w:val="1F497D" w:themeColor="text2"/>
          <w:u w:val="single"/>
        </w:rPr>
        <w:t>Civil Society</w:t>
      </w:r>
    </w:p>
    <w:p w14:paraId="0D7E95CF" w14:textId="77777777" w:rsidR="005C68CA" w:rsidRPr="001222F4" w:rsidRDefault="005C68CA" w:rsidP="005C68CA">
      <w:pPr>
        <w:jc w:val="both"/>
        <w:rPr>
          <w:rFonts w:ascii="Calibri" w:hAnsi="Calibri" w:cs="Arial"/>
        </w:rPr>
      </w:pPr>
    </w:p>
    <w:p w14:paraId="4C45D9C0" w14:textId="06E8D49A" w:rsidR="005C68CA" w:rsidRPr="001222F4" w:rsidRDefault="005C68CA" w:rsidP="00B314E1">
      <w:pPr>
        <w:spacing w:line="360" w:lineRule="auto"/>
        <w:jc w:val="both"/>
        <w:rPr>
          <w:rFonts w:ascii="Calibri" w:hAnsi="Calibri" w:cs="Arial"/>
        </w:rPr>
      </w:pPr>
      <w:r w:rsidRPr="001222F4">
        <w:rPr>
          <w:rFonts w:ascii="Calibri" w:hAnsi="Calibri" w:cs="Arial"/>
        </w:rPr>
        <w:t xml:space="preserve">Alongside </w:t>
      </w:r>
      <w:r w:rsidR="00542373" w:rsidRPr="001222F4">
        <w:rPr>
          <w:rFonts w:ascii="Calibri" w:hAnsi="Calibri" w:cs="Arial"/>
        </w:rPr>
        <w:t xml:space="preserve">government </w:t>
      </w:r>
      <w:r w:rsidRPr="001222F4">
        <w:rPr>
          <w:rFonts w:ascii="Calibri" w:hAnsi="Calibri" w:cs="Arial"/>
        </w:rPr>
        <w:t xml:space="preserve">efforts </w:t>
      </w:r>
      <w:r w:rsidR="00907142" w:rsidRPr="001222F4">
        <w:rPr>
          <w:rFonts w:ascii="Calibri" w:hAnsi="Calibri" w:cs="Arial"/>
        </w:rPr>
        <w:t>on</w:t>
      </w:r>
      <w:r w:rsidRPr="001222F4">
        <w:rPr>
          <w:rFonts w:ascii="Calibri" w:hAnsi="Calibri" w:cs="Arial"/>
        </w:rPr>
        <w:t xml:space="preserve"> the implementation of the NSPAW, </w:t>
      </w:r>
      <w:r w:rsidR="00907142" w:rsidRPr="001222F4">
        <w:rPr>
          <w:rFonts w:ascii="Calibri" w:hAnsi="Calibri" w:cs="Arial"/>
        </w:rPr>
        <w:t>development agencies</w:t>
      </w:r>
      <w:r w:rsidR="00BF5667" w:rsidRPr="001222F4">
        <w:rPr>
          <w:rFonts w:ascii="Calibri" w:hAnsi="Calibri" w:cs="Arial"/>
        </w:rPr>
        <w:t xml:space="preserve"> and</w:t>
      </w:r>
      <w:r w:rsidRPr="001222F4">
        <w:rPr>
          <w:rFonts w:ascii="Calibri" w:hAnsi="Calibri" w:cs="Arial"/>
        </w:rPr>
        <w:t xml:space="preserve"> </w:t>
      </w:r>
      <w:r w:rsidR="00BF5667" w:rsidRPr="001222F4">
        <w:rPr>
          <w:rFonts w:ascii="Calibri" w:hAnsi="Calibri" w:cs="Arial"/>
        </w:rPr>
        <w:t>international and local</w:t>
      </w:r>
      <w:r w:rsidR="00773F80" w:rsidRPr="001222F4">
        <w:rPr>
          <w:rFonts w:ascii="Calibri" w:hAnsi="Calibri" w:cs="Arial"/>
        </w:rPr>
        <w:t xml:space="preserve"> NGOs</w:t>
      </w:r>
      <w:r w:rsidR="00BF5667" w:rsidRPr="001222F4">
        <w:rPr>
          <w:rFonts w:ascii="Calibri" w:hAnsi="Calibri" w:cs="Arial"/>
        </w:rPr>
        <w:t>, especially women’s organizations,</w:t>
      </w:r>
      <w:r w:rsidRPr="001222F4">
        <w:rPr>
          <w:rFonts w:ascii="Calibri" w:hAnsi="Calibri" w:cs="Arial"/>
        </w:rPr>
        <w:t xml:space="preserve"> </w:t>
      </w:r>
      <w:r w:rsidR="004112D1" w:rsidRPr="001222F4">
        <w:rPr>
          <w:rFonts w:ascii="Calibri" w:hAnsi="Calibri" w:cs="Arial"/>
        </w:rPr>
        <w:t>are promoting</w:t>
      </w:r>
      <w:r w:rsidR="00BF5667" w:rsidRPr="001222F4">
        <w:rPr>
          <w:rFonts w:ascii="Calibri" w:hAnsi="Calibri" w:cs="Arial"/>
        </w:rPr>
        <w:t xml:space="preserve"> women’s rights. </w:t>
      </w:r>
      <w:r w:rsidR="00876CC8" w:rsidRPr="001222F4">
        <w:rPr>
          <w:rFonts w:ascii="Calibri" w:hAnsi="Calibri" w:cs="Arial"/>
        </w:rPr>
        <w:t xml:space="preserve">In the </w:t>
      </w:r>
      <w:r w:rsidR="00876CC8" w:rsidRPr="001222F4">
        <w:rPr>
          <w:rFonts w:ascii="Calibri" w:hAnsi="Calibri" w:cs="Arial"/>
          <w:b/>
          <w:color w:val="4F81BD" w:themeColor="accent1"/>
        </w:rPr>
        <w:t>absence of a NAP, these actors are drawing on</w:t>
      </w:r>
      <w:r w:rsidR="003228DE" w:rsidRPr="001222F4">
        <w:rPr>
          <w:rFonts w:ascii="Calibri" w:hAnsi="Calibri" w:cs="Arial"/>
          <w:b/>
          <w:color w:val="4F81BD" w:themeColor="accent1"/>
        </w:rPr>
        <w:t xml:space="preserve"> an integrated understanding of</w:t>
      </w:r>
      <w:r w:rsidR="00876CC8" w:rsidRPr="001222F4">
        <w:rPr>
          <w:rFonts w:ascii="Calibri" w:hAnsi="Calibri" w:cs="Arial"/>
          <w:b/>
          <w:color w:val="4F81BD" w:themeColor="accent1"/>
        </w:rPr>
        <w:t xml:space="preserve"> </w:t>
      </w:r>
      <w:r w:rsidR="003228DE" w:rsidRPr="001222F4">
        <w:rPr>
          <w:rFonts w:ascii="Calibri" w:hAnsi="Calibri" w:cs="Arial"/>
          <w:b/>
          <w:color w:val="4F81BD" w:themeColor="accent1"/>
        </w:rPr>
        <w:t xml:space="preserve">SCR 1325 and </w:t>
      </w:r>
      <w:r w:rsidR="001222F4">
        <w:rPr>
          <w:rFonts w:ascii="Calibri" w:hAnsi="Calibri" w:cs="Arial"/>
          <w:b/>
          <w:color w:val="4F81BD" w:themeColor="accent1"/>
        </w:rPr>
        <w:t>the legal framework</w:t>
      </w:r>
      <w:r w:rsidR="00876CC8" w:rsidRPr="001222F4">
        <w:rPr>
          <w:rFonts w:ascii="Calibri" w:hAnsi="Calibri" w:cs="Arial"/>
          <w:b/>
          <w:color w:val="4F81BD" w:themeColor="accent1"/>
        </w:rPr>
        <w:t xml:space="preserve"> </w:t>
      </w:r>
      <w:r w:rsidR="003228DE" w:rsidRPr="001222F4">
        <w:rPr>
          <w:rFonts w:ascii="Calibri" w:hAnsi="Calibri" w:cs="Arial"/>
          <w:b/>
          <w:color w:val="4F81BD" w:themeColor="accent1"/>
        </w:rPr>
        <w:t xml:space="preserve">that reflects Myanmar’s obligations under </w:t>
      </w:r>
      <w:r w:rsidR="001222F4">
        <w:rPr>
          <w:rFonts w:ascii="Calibri" w:hAnsi="Calibri" w:cs="Arial"/>
          <w:b/>
          <w:color w:val="4F81BD" w:themeColor="accent1"/>
        </w:rPr>
        <w:t>international law</w:t>
      </w:r>
      <w:r w:rsidR="003228DE" w:rsidRPr="001222F4">
        <w:rPr>
          <w:rFonts w:ascii="Calibri" w:hAnsi="Calibri" w:cs="Arial"/>
        </w:rPr>
        <w:t>.</w:t>
      </w:r>
    </w:p>
    <w:p w14:paraId="6B9716A8" w14:textId="77777777" w:rsidR="00876CC8" w:rsidRPr="001222F4" w:rsidRDefault="00876CC8" w:rsidP="005C68CA">
      <w:pPr>
        <w:jc w:val="both"/>
        <w:rPr>
          <w:rFonts w:ascii="Calibri" w:hAnsi="Calibri" w:cs="Arial"/>
        </w:rPr>
      </w:pPr>
    </w:p>
    <w:p w14:paraId="01BA989A" w14:textId="21C1F642" w:rsidR="005C68CA" w:rsidRPr="001222F4" w:rsidRDefault="000B6510" w:rsidP="00B314E1">
      <w:pPr>
        <w:spacing w:line="360" w:lineRule="auto"/>
        <w:jc w:val="both"/>
        <w:rPr>
          <w:rFonts w:ascii="Calibri" w:hAnsi="Calibri" w:cs="Arial"/>
        </w:rPr>
      </w:pPr>
      <w:r w:rsidRPr="001222F4">
        <w:rPr>
          <w:rFonts w:ascii="Calibri" w:hAnsi="Calibri" w:cs="Arial"/>
        </w:rPr>
        <w:lastRenderedPageBreak/>
        <w:t xml:space="preserve">Development </w:t>
      </w:r>
      <w:r w:rsidR="008C37EF" w:rsidRPr="001222F4">
        <w:rPr>
          <w:rFonts w:ascii="Calibri" w:hAnsi="Calibri" w:cs="Arial"/>
        </w:rPr>
        <w:t>agencies</w:t>
      </w:r>
      <w:r w:rsidRPr="001222F4">
        <w:rPr>
          <w:rFonts w:ascii="Calibri" w:hAnsi="Calibri" w:cs="Arial"/>
        </w:rPr>
        <w:t xml:space="preserve"> and </w:t>
      </w:r>
      <w:r w:rsidR="005C68CA" w:rsidRPr="001222F4">
        <w:rPr>
          <w:rFonts w:ascii="Calibri" w:hAnsi="Calibri" w:cs="Arial"/>
        </w:rPr>
        <w:t xml:space="preserve">Myanmar-based NGOs are </w:t>
      </w:r>
      <w:r w:rsidRPr="001222F4">
        <w:rPr>
          <w:rFonts w:ascii="Calibri" w:hAnsi="Calibri" w:cs="Arial"/>
        </w:rPr>
        <w:t xml:space="preserve">building government </w:t>
      </w:r>
      <w:r w:rsidR="005C68CA" w:rsidRPr="001222F4">
        <w:rPr>
          <w:rFonts w:ascii="Calibri" w:hAnsi="Calibri" w:cs="Arial"/>
        </w:rPr>
        <w:t xml:space="preserve">and community support for </w:t>
      </w:r>
      <w:r w:rsidR="005C68CA" w:rsidRPr="001222F4">
        <w:rPr>
          <w:rFonts w:ascii="Calibri" w:hAnsi="Calibri" w:cs="Arial"/>
          <w:b/>
          <w:color w:val="4F81BD" w:themeColor="accent1"/>
        </w:rPr>
        <w:t>women</w:t>
      </w:r>
      <w:r w:rsidR="003228DE" w:rsidRPr="001222F4">
        <w:rPr>
          <w:rFonts w:ascii="Calibri" w:hAnsi="Calibri" w:cs="Arial"/>
          <w:b/>
          <w:color w:val="4F81BD" w:themeColor="accent1"/>
        </w:rPr>
        <w:t>’</w:t>
      </w:r>
      <w:r w:rsidRPr="001222F4">
        <w:rPr>
          <w:rFonts w:ascii="Calibri" w:hAnsi="Calibri" w:cs="Arial"/>
          <w:b/>
          <w:color w:val="4F81BD" w:themeColor="accent1"/>
        </w:rPr>
        <w:t>s par</w:t>
      </w:r>
      <w:r w:rsidR="003228DE" w:rsidRPr="001222F4">
        <w:rPr>
          <w:rFonts w:ascii="Calibri" w:hAnsi="Calibri" w:cs="Arial"/>
          <w:b/>
          <w:color w:val="4F81BD" w:themeColor="accent1"/>
        </w:rPr>
        <w:t>ticipation</w:t>
      </w:r>
      <w:r w:rsidR="005C68CA" w:rsidRPr="001222F4">
        <w:rPr>
          <w:rFonts w:ascii="Calibri" w:hAnsi="Calibri" w:cs="Arial"/>
          <w:b/>
          <w:color w:val="4F81BD" w:themeColor="accent1"/>
        </w:rPr>
        <w:t xml:space="preserve"> in peacebuilding</w:t>
      </w:r>
      <w:r w:rsidRPr="001222F4">
        <w:rPr>
          <w:rFonts w:ascii="Calibri" w:hAnsi="Calibri" w:cs="Arial"/>
        </w:rPr>
        <w:t xml:space="preserve">, in line with the legal framework. CARE Myanmar </w:t>
      </w:r>
      <w:r w:rsidR="005C68CA" w:rsidRPr="001222F4">
        <w:rPr>
          <w:rFonts w:ascii="Calibri" w:hAnsi="Calibri" w:cs="Arial"/>
        </w:rPr>
        <w:t>recently concluded a project focus</w:t>
      </w:r>
      <w:r w:rsidR="00907142" w:rsidRPr="001222F4">
        <w:rPr>
          <w:rFonts w:ascii="Calibri" w:hAnsi="Calibri" w:cs="Arial"/>
        </w:rPr>
        <w:t>sing on ‘</w:t>
      </w:r>
      <w:r w:rsidR="005C68CA" w:rsidRPr="001222F4">
        <w:rPr>
          <w:rFonts w:ascii="Calibri" w:hAnsi="Calibri" w:cs="Arial"/>
        </w:rPr>
        <w:t>Strengthening the Implemen</w:t>
      </w:r>
      <w:r w:rsidR="00907142" w:rsidRPr="001222F4">
        <w:rPr>
          <w:rFonts w:ascii="Calibri" w:hAnsi="Calibri" w:cs="Arial"/>
        </w:rPr>
        <w:t>tation of UNSCR 1325 in Myanmar’</w:t>
      </w:r>
      <w:r w:rsidR="005C68CA" w:rsidRPr="001222F4">
        <w:rPr>
          <w:rFonts w:ascii="Calibri" w:hAnsi="Calibri" w:cs="Arial"/>
        </w:rPr>
        <w:t xml:space="preserve"> in 44 communities in Kayah State. Women in these communities received training in the areas of gender and human rights, gender-based violence and legal awarene</w:t>
      </w:r>
      <w:r w:rsidR="00876CC8" w:rsidRPr="001222F4">
        <w:rPr>
          <w:rFonts w:ascii="Calibri" w:hAnsi="Calibri" w:cs="Arial"/>
        </w:rPr>
        <w:t xml:space="preserve">ss and education on CEDAW and </w:t>
      </w:r>
      <w:r w:rsidR="005C68CA" w:rsidRPr="001222F4">
        <w:rPr>
          <w:rFonts w:ascii="Calibri" w:hAnsi="Calibri" w:cs="Arial"/>
        </w:rPr>
        <w:t>SCR 1325.</w:t>
      </w:r>
      <w:r w:rsidR="005C68CA" w:rsidRPr="001222F4">
        <w:rPr>
          <w:rStyle w:val="FootnoteReference"/>
          <w:rFonts w:ascii="Calibri" w:hAnsi="Calibri" w:cs="Arial"/>
        </w:rPr>
        <w:footnoteReference w:id="201"/>
      </w:r>
      <w:r w:rsidR="005C68CA" w:rsidRPr="001222F4">
        <w:rPr>
          <w:rFonts w:ascii="Calibri" w:hAnsi="Calibri" w:cs="Arial"/>
        </w:rPr>
        <w:t xml:space="preserve">  </w:t>
      </w:r>
      <w:r w:rsidRPr="001222F4">
        <w:rPr>
          <w:rFonts w:ascii="Calibri" w:hAnsi="Calibri" w:cs="Arial"/>
        </w:rPr>
        <w:t>UN Women is building the capacity of local women and men to access the peace table, with international partners Swiss Peace, ATHENA and national NGOs including Shalom Foundation and the Gender Equality Network. Negotiators from Chin, Kachin, Kaya</w:t>
      </w:r>
      <w:r w:rsidR="00806673">
        <w:rPr>
          <w:rFonts w:ascii="Calibri" w:hAnsi="Calibri" w:cs="Arial"/>
        </w:rPr>
        <w:t>h</w:t>
      </w:r>
      <w:r w:rsidRPr="001222F4">
        <w:rPr>
          <w:rFonts w:ascii="Calibri" w:hAnsi="Calibri" w:cs="Arial"/>
        </w:rPr>
        <w:t>, Karen, Mon, Shan and Rakhine States have been trained since October 2012 to be part of a critical mass of gender-responsive peace builders who can influence the peace negotiations.</w:t>
      </w:r>
      <w:r w:rsidRPr="001222F4">
        <w:rPr>
          <w:rStyle w:val="FootnoteReference"/>
          <w:rFonts w:ascii="Calibri" w:hAnsi="Calibri" w:cs="Arial"/>
        </w:rPr>
        <w:footnoteReference w:id="202"/>
      </w:r>
      <w:r w:rsidRPr="001222F4">
        <w:rPr>
          <w:rFonts w:ascii="Calibri" w:hAnsi="Calibri" w:cs="Arial"/>
        </w:rPr>
        <w:t xml:space="preserve"> </w:t>
      </w:r>
    </w:p>
    <w:p w14:paraId="6E7CF42E" w14:textId="77777777" w:rsidR="005C68CA" w:rsidRPr="001222F4" w:rsidRDefault="005C68CA" w:rsidP="005C68CA">
      <w:pPr>
        <w:jc w:val="both"/>
        <w:rPr>
          <w:rFonts w:ascii="Calibri" w:hAnsi="Calibri" w:cs="Arial"/>
        </w:rPr>
      </w:pPr>
    </w:p>
    <w:p w14:paraId="50ECF276" w14:textId="43455590" w:rsidR="005C68CA" w:rsidRPr="001222F4" w:rsidRDefault="0037437B" w:rsidP="00530F89">
      <w:pPr>
        <w:spacing w:line="360" w:lineRule="auto"/>
        <w:jc w:val="both"/>
        <w:rPr>
          <w:rFonts w:ascii="Calibri" w:hAnsi="Calibri" w:cs="Arial"/>
        </w:rPr>
      </w:pPr>
      <w:r w:rsidRPr="001222F4">
        <w:rPr>
          <w:rFonts w:ascii="Calibri" w:hAnsi="Calibri" w:cs="Arial"/>
        </w:rPr>
        <w:t>Myanmar’s vibrant civil society engagement on women, peace and security is evident in growing</w:t>
      </w:r>
      <w:r w:rsidR="008E1C19" w:rsidRPr="001222F4">
        <w:rPr>
          <w:rFonts w:ascii="Calibri" w:hAnsi="Calibri" w:cs="Arial"/>
        </w:rPr>
        <w:t xml:space="preserve"> </w:t>
      </w:r>
      <w:r w:rsidR="008E1C19" w:rsidRPr="001222F4">
        <w:rPr>
          <w:rFonts w:ascii="Calibri" w:hAnsi="Calibri" w:cs="Arial"/>
          <w:b/>
          <w:color w:val="4F81BD" w:themeColor="accent1"/>
        </w:rPr>
        <w:t>national and regional collaboration</w:t>
      </w:r>
      <w:r w:rsidR="008E1C19" w:rsidRPr="001222F4">
        <w:rPr>
          <w:rFonts w:ascii="Calibri" w:hAnsi="Calibri" w:cs="Arial"/>
        </w:rPr>
        <w:t xml:space="preserve">. </w:t>
      </w:r>
      <w:r w:rsidR="005C68CA" w:rsidRPr="001222F4">
        <w:rPr>
          <w:rFonts w:ascii="Calibri" w:hAnsi="Calibri" w:cs="Arial"/>
        </w:rPr>
        <w:t>In January 2013</w:t>
      </w:r>
      <w:r w:rsidR="008E1C19" w:rsidRPr="001222F4">
        <w:rPr>
          <w:rFonts w:ascii="Calibri" w:hAnsi="Calibri" w:cs="Arial"/>
        </w:rPr>
        <w:t>,</w:t>
      </w:r>
      <w:r w:rsidR="005C68CA" w:rsidRPr="001222F4">
        <w:rPr>
          <w:rFonts w:ascii="Calibri" w:hAnsi="Calibri" w:cs="Arial"/>
        </w:rPr>
        <w:t xml:space="preserve"> the Women Peace Initiative (Win-Peace) a Burmese network of 38 women’s organisations was founded. Its mission is to foster collaborative work in conflict prevention, peace making, peacebuilding and post-conflict reco</w:t>
      </w:r>
      <w:r w:rsidR="008E1C19" w:rsidRPr="001222F4">
        <w:rPr>
          <w:rFonts w:ascii="Calibri" w:hAnsi="Calibri" w:cs="Arial"/>
        </w:rPr>
        <w:t>nstruction. In September 2013</w:t>
      </w:r>
      <w:r w:rsidR="00907142" w:rsidRPr="001222F4">
        <w:rPr>
          <w:rFonts w:ascii="Calibri" w:hAnsi="Calibri" w:cs="Arial"/>
        </w:rPr>
        <w:t>,</w:t>
      </w:r>
      <w:r w:rsidR="008E1C19" w:rsidRPr="001222F4">
        <w:rPr>
          <w:rFonts w:ascii="Calibri" w:hAnsi="Calibri" w:cs="Arial"/>
        </w:rPr>
        <w:t xml:space="preserve"> Win-Peace</w:t>
      </w:r>
      <w:r w:rsidR="005C68CA" w:rsidRPr="001222F4">
        <w:rPr>
          <w:rFonts w:ascii="Calibri" w:hAnsi="Calibri" w:cs="Arial"/>
        </w:rPr>
        <w:t xml:space="preserve"> facilitated an excha</w:t>
      </w:r>
      <w:r w:rsidR="00907142" w:rsidRPr="001222F4">
        <w:rPr>
          <w:rFonts w:ascii="Calibri" w:hAnsi="Calibri" w:cs="Arial"/>
        </w:rPr>
        <w:t>nge programme in the Philippines</w:t>
      </w:r>
      <w:r w:rsidR="005C68CA" w:rsidRPr="001222F4">
        <w:rPr>
          <w:rFonts w:ascii="Calibri" w:hAnsi="Calibri" w:cs="Arial"/>
        </w:rPr>
        <w:t xml:space="preserve"> at which Myanmar and Filipino women peacebuilders shared their experiences.</w:t>
      </w:r>
      <w:r w:rsidR="005C68CA" w:rsidRPr="001222F4">
        <w:rPr>
          <w:rStyle w:val="FootnoteReference"/>
          <w:rFonts w:ascii="Calibri" w:hAnsi="Calibri" w:cs="Arial"/>
        </w:rPr>
        <w:footnoteReference w:id="203"/>
      </w:r>
      <w:r w:rsidR="005C68CA" w:rsidRPr="001222F4">
        <w:rPr>
          <w:rFonts w:ascii="Calibri" w:hAnsi="Calibri" w:cs="Arial"/>
        </w:rPr>
        <w:t xml:space="preserve"> </w:t>
      </w:r>
      <w:r w:rsidR="000B6510" w:rsidRPr="001222F4">
        <w:rPr>
          <w:rFonts w:ascii="Calibri" w:hAnsi="Calibri" w:cs="Arial"/>
        </w:rPr>
        <w:t>In</w:t>
      </w:r>
      <w:r w:rsidR="005C68CA" w:rsidRPr="001222F4">
        <w:rPr>
          <w:rFonts w:ascii="Calibri" w:hAnsi="Calibri" w:cs="Arial"/>
        </w:rPr>
        <w:t xml:space="preserve"> November 2013</w:t>
      </w:r>
      <w:r w:rsidR="008E1C19" w:rsidRPr="001222F4">
        <w:rPr>
          <w:rFonts w:ascii="Calibri" w:hAnsi="Calibri" w:cs="Arial"/>
        </w:rPr>
        <w:t>,</w:t>
      </w:r>
      <w:r w:rsidR="005C68CA" w:rsidRPr="001222F4">
        <w:rPr>
          <w:rFonts w:ascii="Calibri" w:hAnsi="Calibri" w:cs="Arial"/>
        </w:rPr>
        <w:t xml:space="preserve"> Columbia University partnered with Burmese women’s groups, including the Gender Equality Network and the Women’s Organisations Network, to organise a day of dialogue on “Peace, Security and Development in Myanmar.” Attended by 300 people, the dialogue focused on </w:t>
      </w:r>
      <w:r w:rsidRPr="001222F4">
        <w:rPr>
          <w:rFonts w:ascii="Calibri" w:hAnsi="Calibri" w:cs="Arial"/>
        </w:rPr>
        <w:t>women’s needs</w:t>
      </w:r>
      <w:r w:rsidR="005C68CA" w:rsidRPr="001222F4">
        <w:rPr>
          <w:rFonts w:ascii="Calibri" w:hAnsi="Calibri" w:cs="Arial"/>
        </w:rPr>
        <w:t xml:space="preserve"> in relation to political dialogue, economic development and humanitarian action.</w:t>
      </w:r>
      <w:r w:rsidR="005C68CA" w:rsidRPr="001222F4">
        <w:rPr>
          <w:rStyle w:val="FootnoteReference"/>
          <w:rFonts w:ascii="Calibri" w:hAnsi="Calibri" w:cs="Arial"/>
        </w:rPr>
        <w:footnoteReference w:id="204"/>
      </w:r>
      <w:r w:rsidR="005C68CA" w:rsidRPr="001222F4">
        <w:rPr>
          <w:rFonts w:ascii="Calibri" w:hAnsi="Calibri" w:cs="Arial"/>
        </w:rPr>
        <w:t xml:space="preserve"> </w:t>
      </w:r>
    </w:p>
    <w:p w14:paraId="2D1E7EFF" w14:textId="77777777" w:rsidR="005C68CA" w:rsidRPr="001222F4" w:rsidRDefault="005C68CA" w:rsidP="005C68CA">
      <w:pPr>
        <w:jc w:val="both"/>
        <w:rPr>
          <w:rFonts w:ascii="Calibri" w:hAnsi="Calibri" w:cs="Arial"/>
        </w:rPr>
      </w:pPr>
    </w:p>
    <w:p w14:paraId="00E25655" w14:textId="77777777" w:rsidR="00EF7C2D" w:rsidRPr="001222F4" w:rsidRDefault="00D93AA8" w:rsidP="00530F89">
      <w:pPr>
        <w:spacing w:line="360" w:lineRule="auto"/>
        <w:jc w:val="both"/>
        <w:rPr>
          <w:rFonts w:ascii="Calibri" w:hAnsi="Calibri" w:cs="Arial"/>
        </w:rPr>
      </w:pPr>
      <w:r w:rsidRPr="001222F4">
        <w:rPr>
          <w:rFonts w:ascii="Calibri" w:hAnsi="Calibri" w:cs="Arial"/>
        </w:rPr>
        <w:t xml:space="preserve">Addressing </w:t>
      </w:r>
      <w:r w:rsidRPr="001222F4">
        <w:rPr>
          <w:rFonts w:ascii="Calibri" w:hAnsi="Calibri" w:cs="Arial"/>
          <w:b/>
          <w:color w:val="4F81BD" w:themeColor="accent1"/>
        </w:rPr>
        <w:t>sexual and gender-based violence (SGBV)</w:t>
      </w:r>
      <w:r w:rsidR="00FF5AA1" w:rsidRPr="001222F4">
        <w:rPr>
          <w:rFonts w:ascii="Calibri" w:hAnsi="Calibri" w:cs="Arial"/>
        </w:rPr>
        <w:t xml:space="preserve"> has been another focus of NGOs,</w:t>
      </w:r>
      <w:r w:rsidR="005C68CA" w:rsidRPr="001222F4">
        <w:rPr>
          <w:rFonts w:ascii="Calibri" w:hAnsi="Calibri" w:cs="Arial"/>
        </w:rPr>
        <w:t xml:space="preserve"> raising </w:t>
      </w:r>
      <w:r w:rsidR="00C273F1" w:rsidRPr="001222F4">
        <w:rPr>
          <w:rFonts w:ascii="Calibri" w:hAnsi="Calibri" w:cs="Arial"/>
        </w:rPr>
        <w:t xml:space="preserve">women’s </w:t>
      </w:r>
      <w:r w:rsidR="005C68CA" w:rsidRPr="001222F4">
        <w:rPr>
          <w:rFonts w:ascii="Calibri" w:hAnsi="Calibri" w:cs="Arial"/>
        </w:rPr>
        <w:t>awareness of</w:t>
      </w:r>
      <w:r w:rsidR="008E1C19" w:rsidRPr="001222F4">
        <w:rPr>
          <w:rFonts w:ascii="Calibri" w:hAnsi="Calibri" w:cs="Arial"/>
        </w:rPr>
        <w:t xml:space="preserve"> </w:t>
      </w:r>
      <w:r w:rsidR="00FF5AA1" w:rsidRPr="001222F4">
        <w:rPr>
          <w:rFonts w:ascii="Calibri" w:hAnsi="Calibri" w:cs="Arial"/>
        </w:rPr>
        <w:t xml:space="preserve">their rights </w:t>
      </w:r>
      <w:r w:rsidR="006C1167" w:rsidRPr="001222F4">
        <w:rPr>
          <w:rFonts w:ascii="Calibri" w:hAnsi="Calibri" w:cs="Arial"/>
        </w:rPr>
        <w:t xml:space="preserve">as victims and survivors. </w:t>
      </w:r>
      <w:r w:rsidR="005C68CA" w:rsidRPr="001222F4">
        <w:rPr>
          <w:rFonts w:ascii="Calibri" w:hAnsi="Calibri" w:cs="Arial"/>
        </w:rPr>
        <w:t xml:space="preserve">Action Aid </w:t>
      </w:r>
      <w:r w:rsidR="008E1C19" w:rsidRPr="001222F4">
        <w:rPr>
          <w:rFonts w:ascii="Calibri" w:hAnsi="Calibri" w:cs="Arial"/>
        </w:rPr>
        <w:t>is</w:t>
      </w:r>
      <w:r w:rsidR="005C68CA" w:rsidRPr="001222F4">
        <w:rPr>
          <w:rFonts w:ascii="Calibri" w:hAnsi="Calibri" w:cs="Arial"/>
        </w:rPr>
        <w:t xml:space="preserve"> assisting victims of domestic violence in Myanmar. Recent work has included training community paraleg</w:t>
      </w:r>
      <w:r w:rsidRPr="001222F4">
        <w:rPr>
          <w:rFonts w:ascii="Calibri" w:hAnsi="Calibri" w:cs="Arial"/>
        </w:rPr>
        <w:t xml:space="preserve">als on documenting evidence of </w:t>
      </w:r>
      <w:r w:rsidR="005C68CA" w:rsidRPr="001222F4">
        <w:rPr>
          <w:rFonts w:ascii="Calibri" w:hAnsi="Calibri" w:cs="Arial"/>
        </w:rPr>
        <w:t>violence and, in partnership with Legal Clinic Myanmar, providing women</w:t>
      </w:r>
      <w:r w:rsidRPr="001222F4">
        <w:rPr>
          <w:rFonts w:ascii="Calibri" w:hAnsi="Calibri" w:cs="Arial"/>
        </w:rPr>
        <w:t xml:space="preserve"> victims and survivors</w:t>
      </w:r>
      <w:r w:rsidR="005C68CA" w:rsidRPr="001222F4">
        <w:rPr>
          <w:rFonts w:ascii="Calibri" w:hAnsi="Calibri" w:cs="Arial"/>
        </w:rPr>
        <w:t xml:space="preserve"> with free legal advice on possible action against perpetrators.</w:t>
      </w:r>
      <w:r w:rsidR="005C68CA" w:rsidRPr="001222F4">
        <w:rPr>
          <w:rStyle w:val="FootnoteReference"/>
          <w:rFonts w:ascii="Calibri" w:hAnsi="Calibri" w:cs="Arial"/>
        </w:rPr>
        <w:footnoteReference w:id="205"/>
      </w:r>
      <w:r w:rsidR="005C68CA" w:rsidRPr="001222F4">
        <w:rPr>
          <w:rFonts w:ascii="Calibri" w:hAnsi="Calibri" w:cs="Arial"/>
        </w:rPr>
        <w:t xml:space="preserve"> </w:t>
      </w:r>
    </w:p>
    <w:p w14:paraId="2C48EBF8" w14:textId="77777777" w:rsidR="00EF7C2D" w:rsidRPr="001222F4" w:rsidRDefault="00EF7C2D" w:rsidP="005C68CA">
      <w:pPr>
        <w:jc w:val="both"/>
        <w:rPr>
          <w:rFonts w:ascii="Calibri" w:hAnsi="Calibri" w:cs="Arial"/>
        </w:rPr>
      </w:pPr>
    </w:p>
    <w:p w14:paraId="564BC19F" w14:textId="72A53F2B" w:rsidR="00434E8E" w:rsidRPr="001222F4" w:rsidRDefault="00FF5AA1" w:rsidP="00530F89">
      <w:pPr>
        <w:spacing w:line="360" w:lineRule="auto"/>
        <w:jc w:val="both"/>
        <w:rPr>
          <w:rFonts w:ascii="Calibri" w:hAnsi="Calibri" w:cs="Arial"/>
        </w:rPr>
      </w:pPr>
      <w:r w:rsidRPr="001222F4">
        <w:rPr>
          <w:rFonts w:ascii="Calibri" w:hAnsi="Calibri" w:cs="Arial"/>
        </w:rPr>
        <w:lastRenderedPageBreak/>
        <w:t xml:space="preserve">The CEDAW Committee </w:t>
      </w:r>
      <w:r w:rsidR="00D93AA8" w:rsidRPr="001222F4">
        <w:rPr>
          <w:rFonts w:ascii="Calibri" w:hAnsi="Calibri" w:cs="Arial"/>
        </w:rPr>
        <w:t>urged the Government to address</w:t>
      </w:r>
      <w:r w:rsidR="008E2EA9" w:rsidRPr="001222F4">
        <w:rPr>
          <w:rFonts w:ascii="Calibri" w:hAnsi="Calibri" w:cs="Arial"/>
        </w:rPr>
        <w:t xml:space="preserve"> </w:t>
      </w:r>
      <w:r w:rsidR="00EF7C2D" w:rsidRPr="001222F4">
        <w:rPr>
          <w:rFonts w:ascii="Calibri" w:hAnsi="Calibri" w:cs="Arial"/>
        </w:rPr>
        <w:t>SGBV</w:t>
      </w:r>
      <w:r w:rsidR="008E2EA9" w:rsidRPr="001222F4">
        <w:rPr>
          <w:rFonts w:ascii="Calibri" w:hAnsi="Calibri" w:cs="Arial"/>
        </w:rPr>
        <w:t xml:space="preserve"> in its </w:t>
      </w:r>
      <w:r w:rsidR="00434E8E" w:rsidRPr="001222F4">
        <w:rPr>
          <w:rFonts w:ascii="Calibri" w:hAnsi="Calibri" w:cs="Arial"/>
        </w:rPr>
        <w:t xml:space="preserve">Concluding Observations on Myanmar’s 2008 CEDAW report. The Committee </w:t>
      </w:r>
      <w:r w:rsidR="00D93AA8" w:rsidRPr="001222F4">
        <w:rPr>
          <w:rFonts w:ascii="Calibri" w:hAnsi="Calibri" w:cs="Arial"/>
        </w:rPr>
        <w:t>recommended the elimination</w:t>
      </w:r>
      <w:r w:rsidR="00434E8E" w:rsidRPr="001222F4">
        <w:rPr>
          <w:rFonts w:ascii="Calibri" w:hAnsi="Calibri" w:cs="Arial"/>
        </w:rPr>
        <w:t xml:space="preserve"> </w:t>
      </w:r>
      <w:r w:rsidR="00D93AA8" w:rsidRPr="001222F4">
        <w:rPr>
          <w:rFonts w:ascii="Calibri" w:hAnsi="Calibri" w:cs="Arial"/>
        </w:rPr>
        <w:t>of</w:t>
      </w:r>
      <w:r w:rsidR="00434E8E" w:rsidRPr="001222F4">
        <w:rPr>
          <w:rFonts w:ascii="Calibri" w:hAnsi="Calibri" w:cs="Arial"/>
        </w:rPr>
        <w:t xml:space="preserve"> widespread </w:t>
      </w:r>
      <w:r w:rsidR="006C1167" w:rsidRPr="001222F4">
        <w:rPr>
          <w:rFonts w:ascii="Calibri" w:hAnsi="Calibri" w:cs="Arial"/>
        </w:rPr>
        <w:t xml:space="preserve">conflict-related </w:t>
      </w:r>
      <w:r w:rsidR="00D93AA8" w:rsidRPr="001222F4">
        <w:rPr>
          <w:rFonts w:ascii="Calibri" w:hAnsi="Calibri" w:cs="Arial"/>
        </w:rPr>
        <w:t>SGBV</w:t>
      </w:r>
      <w:r w:rsidR="006C1167" w:rsidRPr="001222F4">
        <w:rPr>
          <w:rFonts w:ascii="Calibri" w:hAnsi="Calibri" w:cs="Arial"/>
        </w:rPr>
        <w:t xml:space="preserve"> </w:t>
      </w:r>
      <w:r w:rsidR="00434E8E" w:rsidRPr="001222F4">
        <w:rPr>
          <w:rFonts w:ascii="Calibri" w:hAnsi="Calibri" w:cs="Arial"/>
        </w:rPr>
        <w:t xml:space="preserve">against women and girls, </w:t>
      </w:r>
      <w:r w:rsidR="004415F6" w:rsidRPr="001222F4">
        <w:rPr>
          <w:rFonts w:ascii="Calibri" w:hAnsi="Calibri" w:cs="Arial"/>
        </w:rPr>
        <w:t>which was endemic against</w:t>
      </w:r>
      <w:r w:rsidR="00434E8E" w:rsidRPr="001222F4">
        <w:rPr>
          <w:rFonts w:ascii="Calibri" w:hAnsi="Calibri" w:cs="Arial"/>
        </w:rPr>
        <w:t xml:space="preserve"> ethnic m</w:t>
      </w:r>
      <w:r w:rsidR="0037437B" w:rsidRPr="001222F4">
        <w:rPr>
          <w:rFonts w:ascii="Calibri" w:hAnsi="Calibri" w:cs="Arial"/>
        </w:rPr>
        <w:t>inorities in conflict areas. To achieve this, the</w:t>
      </w:r>
      <w:r w:rsidR="00434E8E" w:rsidRPr="001222F4">
        <w:rPr>
          <w:rFonts w:ascii="Calibri" w:hAnsi="Calibri" w:cs="Arial"/>
        </w:rPr>
        <w:t xml:space="preserve"> Committee recommended that Myanmar adopt a NAP to fully implement SCRs 1325 and 1820, in line with Articles 2, 4(1), 5, 7 and 8 of CEDAW (which </w:t>
      </w:r>
      <w:r w:rsidR="006C1167" w:rsidRPr="001222F4">
        <w:rPr>
          <w:rFonts w:ascii="Calibri" w:hAnsi="Calibri" w:cs="Arial"/>
        </w:rPr>
        <w:t xml:space="preserve">cover </w:t>
      </w:r>
      <w:r w:rsidR="00434E8E" w:rsidRPr="001222F4">
        <w:rPr>
          <w:rFonts w:ascii="Calibri" w:hAnsi="Calibri" w:cs="Arial"/>
        </w:rPr>
        <w:t>states obligations</w:t>
      </w:r>
      <w:r w:rsidR="006C1167" w:rsidRPr="001222F4">
        <w:rPr>
          <w:rFonts w:ascii="Calibri" w:hAnsi="Calibri" w:cs="Arial"/>
        </w:rPr>
        <w:t xml:space="preserve">’ </w:t>
      </w:r>
      <w:r w:rsidR="00EF7C2D" w:rsidRPr="001222F4">
        <w:rPr>
          <w:rFonts w:ascii="Calibri" w:hAnsi="Calibri" w:cs="Arial"/>
        </w:rPr>
        <w:t xml:space="preserve">to </w:t>
      </w:r>
      <w:r w:rsidR="006C1167" w:rsidRPr="001222F4">
        <w:rPr>
          <w:rFonts w:ascii="Calibri" w:hAnsi="Calibri" w:cs="Arial"/>
        </w:rPr>
        <w:t>ensure:</w:t>
      </w:r>
      <w:r w:rsidR="00434E8E" w:rsidRPr="001222F4">
        <w:rPr>
          <w:rFonts w:ascii="Calibri" w:hAnsi="Calibri" w:cs="Arial"/>
        </w:rPr>
        <w:t xml:space="preserve"> positive steps to eliminate discrimination against women; temporary special measures to eliminate discrimination; measure</w:t>
      </w:r>
      <w:r w:rsidR="006C1167" w:rsidRPr="001222F4">
        <w:rPr>
          <w:rFonts w:ascii="Calibri" w:hAnsi="Calibri" w:cs="Arial"/>
        </w:rPr>
        <w:t>s</w:t>
      </w:r>
      <w:r w:rsidR="00434E8E" w:rsidRPr="001222F4">
        <w:rPr>
          <w:rFonts w:ascii="Calibri" w:hAnsi="Calibri" w:cs="Arial"/>
        </w:rPr>
        <w:t xml:space="preserve"> to eliminate sex role prejudice and stereotyping; women’s national political participation; and women’s </w:t>
      </w:r>
      <w:r w:rsidR="004415F6" w:rsidRPr="001222F4">
        <w:rPr>
          <w:rFonts w:ascii="Calibri" w:hAnsi="Calibri" w:cs="Arial"/>
        </w:rPr>
        <w:t xml:space="preserve">political </w:t>
      </w:r>
      <w:r w:rsidR="00434E8E" w:rsidRPr="001222F4">
        <w:rPr>
          <w:rFonts w:ascii="Calibri" w:hAnsi="Calibri" w:cs="Arial"/>
        </w:rPr>
        <w:t>participation at the int</w:t>
      </w:r>
      <w:r w:rsidR="0037437B" w:rsidRPr="001222F4">
        <w:rPr>
          <w:rFonts w:ascii="Calibri" w:hAnsi="Calibri" w:cs="Arial"/>
        </w:rPr>
        <w:t>ernational level, respectively)</w:t>
      </w:r>
      <w:r w:rsidR="006C1167" w:rsidRPr="001222F4">
        <w:rPr>
          <w:rFonts w:ascii="Calibri" w:hAnsi="Calibri" w:cs="Arial"/>
        </w:rPr>
        <w:t>.</w:t>
      </w:r>
      <w:r w:rsidR="006C1167" w:rsidRPr="001222F4">
        <w:rPr>
          <w:rStyle w:val="FootnoteReference"/>
          <w:rFonts w:ascii="Calibri" w:hAnsi="Calibri" w:cs="Arial"/>
        </w:rPr>
        <w:footnoteReference w:id="206"/>
      </w:r>
      <w:r w:rsidR="00A71CF6" w:rsidRPr="001222F4">
        <w:rPr>
          <w:rFonts w:ascii="Calibri" w:hAnsi="Calibri" w:cs="Arial"/>
        </w:rPr>
        <w:t xml:space="preserve"> By indicating that the NAP should incorporate both the </w:t>
      </w:r>
      <w:r w:rsidR="00D93AA8" w:rsidRPr="001222F4">
        <w:rPr>
          <w:rFonts w:ascii="Calibri" w:hAnsi="Calibri" w:cs="Arial"/>
        </w:rPr>
        <w:t>SCRs</w:t>
      </w:r>
      <w:r w:rsidR="00A71CF6" w:rsidRPr="001222F4">
        <w:rPr>
          <w:rFonts w:ascii="Calibri" w:hAnsi="Calibri" w:cs="Arial"/>
        </w:rPr>
        <w:t xml:space="preserve"> and CEDAW, the Committee</w:t>
      </w:r>
      <w:r w:rsidR="004415F6" w:rsidRPr="001222F4">
        <w:rPr>
          <w:rFonts w:ascii="Calibri" w:hAnsi="Calibri" w:cs="Arial"/>
        </w:rPr>
        <w:t xml:space="preserve"> supported an integ</w:t>
      </w:r>
      <w:r w:rsidR="00D93AA8" w:rsidRPr="001222F4">
        <w:rPr>
          <w:rFonts w:ascii="Calibri" w:hAnsi="Calibri" w:cs="Arial"/>
        </w:rPr>
        <w:t>rated understanding of SCR 1325</w:t>
      </w:r>
      <w:r w:rsidR="004415F6" w:rsidRPr="001222F4">
        <w:rPr>
          <w:rFonts w:ascii="Calibri" w:hAnsi="Calibri" w:cs="Arial"/>
        </w:rPr>
        <w:t xml:space="preserve"> as part of the wider legal framework</w:t>
      </w:r>
      <w:r w:rsidR="00D93AA8" w:rsidRPr="001222F4">
        <w:rPr>
          <w:rFonts w:ascii="Calibri" w:hAnsi="Calibri" w:cs="Arial"/>
        </w:rPr>
        <w:t xml:space="preserve"> on women, peace and security</w:t>
      </w:r>
      <w:r w:rsidR="002D4622">
        <w:rPr>
          <w:rFonts w:ascii="Calibri" w:hAnsi="Calibri" w:cs="Arial"/>
        </w:rPr>
        <w:t xml:space="preserve"> (s</w:t>
      </w:r>
      <w:r w:rsidR="004415F6" w:rsidRPr="001222F4">
        <w:rPr>
          <w:rFonts w:ascii="Calibri" w:hAnsi="Calibri" w:cs="Arial"/>
        </w:rPr>
        <w:t>ee Section 1).</w:t>
      </w:r>
      <w:r w:rsidR="00A71CF6" w:rsidRPr="001222F4">
        <w:rPr>
          <w:rFonts w:ascii="Calibri" w:hAnsi="Calibri" w:cs="Arial"/>
        </w:rPr>
        <w:t xml:space="preserve"> </w:t>
      </w:r>
    </w:p>
    <w:p w14:paraId="0093140F" w14:textId="4B1D3833" w:rsidR="005C68CA" w:rsidRPr="001222F4" w:rsidRDefault="005C68CA" w:rsidP="005C68CA">
      <w:pPr>
        <w:jc w:val="both"/>
        <w:rPr>
          <w:rFonts w:ascii="Calibri" w:hAnsi="Calibri" w:cs="Arial"/>
        </w:rPr>
      </w:pPr>
    </w:p>
    <w:p w14:paraId="660CCF1A" w14:textId="0BFC6891" w:rsidR="00E17B6E" w:rsidRPr="001222F4" w:rsidRDefault="00E17B6E" w:rsidP="007F364C">
      <w:pPr>
        <w:pStyle w:val="ListParagraph"/>
        <w:numPr>
          <w:ilvl w:val="0"/>
          <w:numId w:val="11"/>
        </w:numPr>
        <w:jc w:val="both"/>
        <w:rPr>
          <w:rFonts w:ascii="Calibri" w:hAnsi="Calibri" w:cs="Arial"/>
          <w:b/>
          <w:color w:val="1F497D" w:themeColor="text2"/>
        </w:rPr>
      </w:pPr>
      <w:r w:rsidRPr="001222F4">
        <w:rPr>
          <w:rFonts w:ascii="Calibri" w:hAnsi="Calibri" w:cs="Arial"/>
          <w:b/>
          <w:color w:val="1F497D" w:themeColor="text2"/>
        </w:rPr>
        <w:t xml:space="preserve">Conclusion </w:t>
      </w:r>
    </w:p>
    <w:p w14:paraId="25754264" w14:textId="77777777" w:rsidR="005C68CA" w:rsidRPr="001222F4" w:rsidRDefault="005C68CA" w:rsidP="005C68CA">
      <w:pPr>
        <w:rPr>
          <w:rFonts w:ascii="Calibri" w:hAnsi="Calibri" w:cs="Arial"/>
        </w:rPr>
      </w:pPr>
    </w:p>
    <w:p w14:paraId="1E80BFFC" w14:textId="5F67DAFE" w:rsidR="005C68CA" w:rsidRPr="001222F4" w:rsidRDefault="004415F6" w:rsidP="00530F89">
      <w:pPr>
        <w:spacing w:line="360" w:lineRule="auto"/>
        <w:jc w:val="both"/>
        <w:rPr>
          <w:rFonts w:ascii="Calibri" w:hAnsi="Calibri" w:cs="Arial"/>
        </w:rPr>
      </w:pPr>
      <w:r w:rsidRPr="001222F4">
        <w:rPr>
          <w:rFonts w:ascii="Calibri" w:hAnsi="Calibri" w:cs="Arial"/>
        </w:rPr>
        <w:t xml:space="preserve">Myanmar is still journeying towards a NAP, </w:t>
      </w:r>
      <w:r w:rsidR="00EF7C2D" w:rsidRPr="001222F4">
        <w:rPr>
          <w:rFonts w:ascii="Calibri" w:hAnsi="Calibri" w:cs="Arial"/>
        </w:rPr>
        <w:t>against a backdrop transition</w:t>
      </w:r>
      <w:r w:rsidR="00BE1A86">
        <w:rPr>
          <w:rFonts w:ascii="Calibri" w:hAnsi="Calibri" w:cs="Arial"/>
        </w:rPr>
        <w:t>ing</w:t>
      </w:r>
      <w:r w:rsidR="00EF7C2D" w:rsidRPr="001222F4">
        <w:rPr>
          <w:rFonts w:ascii="Calibri" w:hAnsi="Calibri" w:cs="Arial"/>
        </w:rPr>
        <w:t xml:space="preserve"> to</w:t>
      </w:r>
      <w:r w:rsidR="008C37EF" w:rsidRPr="001222F4">
        <w:rPr>
          <w:rFonts w:ascii="Calibri" w:hAnsi="Calibri" w:cs="Arial"/>
        </w:rPr>
        <w:t xml:space="preserve"> </w:t>
      </w:r>
      <w:r w:rsidRPr="001222F4">
        <w:rPr>
          <w:rFonts w:ascii="Calibri" w:hAnsi="Calibri" w:cs="Arial"/>
        </w:rPr>
        <w:t xml:space="preserve">democracy. </w:t>
      </w:r>
      <w:r w:rsidR="00697558" w:rsidRPr="001222F4">
        <w:rPr>
          <w:rFonts w:ascii="Calibri" w:hAnsi="Calibri" w:cs="Arial"/>
        </w:rPr>
        <w:t>A major milestone on this journey has been</w:t>
      </w:r>
      <w:r w:rsidRPr="001222F4">
        <w:rPr>
          <w:rFonts w:ascii="Calibri" w:hAnsi="Calibri" w:cs="Arial"/>
        </w:rPr>
        <w:t xml:space="preserve"> the development of </w:t>
      </w:r>
      <w:r w:rsidR="00CB2ADD" w:rsidRPr="001222F4">
        <w:rPr>
          <w:rFonts w:ascii="Calibri" w:hAnsi="Calibri" w:cs="Arial"/>
        </w:rPr>
        <w:t>the NSPAW</w:t>
      </w:r>
      <w:r w:rsidRPr="001222F4">
        <w:rPr>
          <w:rFonts w:ascii="Calibri" w:hAnsi="Calibri" w:cs="Arial"/>
        </w:rPr>
        <w:t xml:space="preserve"> to address women’s empowerment and development in the country. The NSPAW </w:t>
      </w:r>
      <w:r w:rsidR="00EF7C2D" w:rsidRPr="001222F4">
        <w:rPr>
          <w:rFonts w:ascii="Calibri" w:hAnsi="Calibri" w:cs="Arial"/>
        </w:rPr>
        <w:t>will</w:t>
      </w:r>
      <w:r w:rsidR="00D93AA8" w:rsidRPr="001222F4">
        <w:rPr>
          <w:rFonts w:ascii="Calibri" w:hAnsi="Calibri" w:cs="Arial"/>
        </w:rPr>
        <w:t xml:space="preserve"> provide the overarching context</w:t>
      </w:r>
      <w:r w:rsidR="00CB2ADD" w:rsidRPr="001222F4">
        <w:rPr>
          <w:rFonts w:ascii="Calibri" w:hAnsi="Calibri" w:cs="Arial"/>
        </w:rPr>
        <w:t xml:space="preserve"> to</w:t>
      </w:r>
      <w:r w:rsidRPr="001222F4">
        <w:rPr>
          <w:rFonts w:ascii="Calibri" w:hAnsi="Calibri" w:cs="Arial"/>
        </w:rPr>
        <w:t xml:space="preserve"> complement a NAP </w:t>
      </w:r>
      <w:r w:rsidR="00CB2ADD" w:rsidRPr="001222F4">
        <w:rPr>
          <w:rFonts w:ascii="Calibri" w:hAnsi="Calibri" w:cs="Arial"/>
        </w:rPr>
        <w:t>on</w:t>
      </w:r>
      <w:r w:rsidRPr="001222F4">
        <w:rPr>
          <w:rFonts w:ascii="Calibri" w:hAnsi="Calibri" w:cs="Arial"/>
        </w:rPr>
        <w:t xml:space="preserve"> the specific conflict-related </w:t>
      </w:r>
      <w:r w:rsidR="008C37EF" w:rsidRPr="001222F4">
        <w:rPr>
          <w:rFonts w:ascii="Calibri" w:hAnsi="Calibri" w:cs="Arial"/>
        </w:rPr>
        <w:t>concerns of</w:t>
      </w:r>
      <w:r w:rsidRPr="001222F4">
        <w:rPr>
          <w:rFonts w:ascii="Calibri" w:hAnsi="Calibri" w:cs="Arial"/>
        </w:rPr>
        <w:t xml:space="preserve"> women and girls in Myanmar. The Government’s </w:t>
      </w:r>
      <w:r w:rsidR="008C37EF" w:rsidRPr="001222F4">
        <w:rPr>
          <w:rFonts w:ascii="Calibri" w:hAnsi="Calibri" w:cs="Arial"/>
        </w:rPr>
        <w:t xml:space="preserve">renewed commitment to its </w:t>
      </w:r>
      <w:r w:rsidRPr="001222F4">
        <w:rPr>
          <w:rFonts w:ascii="Calibri" w:hAnsi="Calibri" w:cs="Arial"/>
        </w:rPr>
        <w:t>CEDAW</w:t>
      </w:r>
      <w:r w:rsidR="008C37EF" w:rsidRPr="001222F4">
        <w:rPr>
          <w:rFonts w:ascii="Calibri" w:hAnsi="Calibri" w:cs="Arial"/>
        </w:rPr>
        <w:t xml:space="preserve"> obligations</w:t>
      </w:r>
      <w:r w:rsidRPr="001222F4">
        <w:rPr>
          <w:rFonts w:ascii="Calibri" w:hAnsi="Calibri" w:cs="Arial"/>
        </w:rPr>
        <w:t xml:space="preserve"> via the NSPAW should be harnessed to create a NAP </w:t>
      </w:r>
      <w:r w:rsidR="008C37EF" w:rsidRPr="001222F4">
        <w:rPr>
          <w:rFonts w:ascii="Calibri" w:hAnsi="Calibri" w:cs="Arial"/>
        </w:rPr>
        <w:t>that</w:t>
      </w:r>
      <w:r w:rsidRPr="001222F4">
        <w:rPr>
          <w:rFonts w:ascii="Calibri" w:hAnsi="Calibri" w:cs="Arial"/>
        </w:rPr>
        <w:t xml:space="preserve">, in line with the CEDAW Committee’s recommendations, </w:t>
      </w:r>
      <w:r w:rsidR="008C37EF" w:rsidRPr="001222F4">
        <w:rPr>
          <w:rFonts w:ascii="Calibri" w:hAnsi="Calibri" w:cs="Arial"/>
        </w:rPr>
        <w:t xml:space="preserve">supports an understanding of SCR 1325 as grounded in the wider legal framework. </w:t>
      </w:r>
      <w:r w:rsidR="00D93AA8" w:rsidRPr="001222F4">
        <w:rPr>
          <w:rFonts w:ascii="Calibri" w:hAnsi="Calibri" w:cs="Arial"/>
        </w:rPr>
        <w:t xml:space="preserve">The work of </w:t>
      </w:r>
      <w:r w:rsidR="008C37EF" w:rsidRPr="001222F4">
        <w:rPr>
          <w:rFonts w:ascii="Calibri" w:hAnsi="Calibri" w:cs="Arial"/>
        </w:rPr>
        <w:t xml:space="preserve">Myanmar’s </w:t>
      </w:r>
      <w:r w:rsidR="00D93AA8" w:rsidRPr="001222F4">
        <w:rPr>
          <w:rFonts w:ascii="Calibri" w:hAnsi="Calibri" w:cs="Arial"/>
        </w:rPr>
        <w:t>active</w:t>
      </w:r>
      <w:r w:rsidR="008C37EF" w:rsidRPr="001222F4">
        <w:rPr>
          <w:rFonts w:ascii="Calibri" w:hAnsi="Calibri" w:cs="Arial"/>
        </w:rPr>
        <w:t xml:space="preserve"> civil society</w:t>
      </w:r>
      <w:r w:rsidR="00D93AA8" w:rsidRPr="001222F4">
        <w:rPr>
          <w:rFonts w:ascii="Calibri" w:hAnsi="Calibri" w:cs="Arial"/>
        </w:rPr>
        <w:t xml:space="preserve"> organizations</w:t>
      </w:r>
      <w:r w:rsidR="00EF7C2D" w:rsidRPr="001222F4">
        <w:rPr>
          <w:rFonts w:ascii="Calibri" w:hAnsi="Calibri" w:cs="Arial"/>
        </w:rPr>
        <w:t xml:space="preserve"> and </w:t>
      </w:r>
      <w:r w:rsidR="008C37EF" w:rsidRPr="001222F4">
        <w:rPr>
          <w:rFonts w:ascii="Calibri" w:hAnsi="Calibri" w:cs="Arial"/>
        </w:rPr>
        <w:t>developme</w:t>
      </w:r>
      <w:r w:rsidR="00EF7C2D" w:rsidRPr="001222F4">
        <w:rPr>
          <w:rFonts w:ascii="Calibri" w:hAnsi="Calibri" w:cs="Arial"/>
        </w:rPr>
        <w:t>nt agencies, provide</w:t>
      </w:r>
      <w:r w:rsidR="008C37EF" w:rsidRPr="001222F4">
        <w:rPr>
          <w:rFonts w:ascii="Calibri" w:hAnsi="Calibri" w:cs="Arial"/>
        </w:rPr>
        <w:t xml:space="preserve"> </w:t>
      </w:r>
      <w:r w:rsidR="00E7296F" w:rsidRPr="001222F4">
        <w:rPr>
          <w:rFonts w:ascii="Calibri" w:hAnsi="Calibri" w:cs="Arial"/>
        </w:rPr>
        <w:t>many good practices</w:t>
      </w:r>
      <w:r w:rsidR="008C37EF" w:rsidRPr="001222F4">
        <w:rPr>
          <w:rFonts w:ascii="Calibri" w:hAnsi="Calibri" w:cs="Arial"/>
        </w:rPr>
        <w:t xml:space="preserve"> for the Government to</w:t>
      </w:r>
      <w:r w:rsidR="00E7296F" w:rsidRPr="001222F4">
        <w:rPr>
          <w:rFonts w:ascii="Calibri" w:hAnsi="Calibri" w:cs="Arial"/>
        </w:rPr>
        <w:t xml:space="preserve"> incorporate as it</w:t>
      </w:r>
      <w:r w:rsidR="008C37EF" w:rsidRPr="001222F4">
        <w:rPr>
          <w:rFonts w:ascii="Calibri" w:hAnsi="Calibri" w:cs="Arial"/>
        </w:rPr>
        <w:t xml:space="preserve"> finalize</w:t>
      </w:r>
      <w:r w:rsidR="00E7296F" w:rsidRPr="001222F4">
        <w:rPr>
          <w:rFonts w:ascii="Calibri" w:hAnsi="Calibri" w:cs="Arial"/>
        </w:rPr>
        <w:t>s</w:t>
      </w:r>
      <w:r w:rsidR="008C37EF" w:rsidRPr="001222F4">
        <w:rPr>
          <w:rFonts w:ascii="Calibri" w:hAnsi="Calibri" w:cs="Arial"/>
        </w:rPr>
        <w:t xml:space="preserve"> a NAP</w:t>
      </w:r>
      <w:r w:rsidR="00D93AA8" w:rsidRPr="001222F4">
        <w:rPr>
          <w:rFonts w:ascii="Calibri" w:hAnsi="Calibri" w:cs="Arial"/>
        </w:rPr>
        <w:t>.</w:t>
      </w:r>
      <w:r w:rsidR="008C37EF" w:rsidRPr="001222F4">
        <w:rPr>
          <w:rFonts w:ascii="Calibri" w:hAnsi="Calibri" w:cs="Arial"/>
        </w:rPr>
        <w:t xml:space="preserve"> </w:t>
      </w:r>
    </w:p>
    <w:p w14:paraId="17F35AC2" w14:textId="635CFBF6" w:rsidR="000E78A5" w:rsidRPr="003330F3" w:rsidRDefault="004112D1" w:rsidP="000E78A5">
      <w:pPr>
        <w:pStyle w:val="Heading3"/>
        <w:keepLines/>
        <w:spacing w:before="20" w:after="0"/>
        <w:jc w:val="center"/>
        <w:rPr>
          <w:b w:val="0"/>
          <w:color w:val="1F497D" w:themeColor="text2"/>
          <w:spacing w:val="14"/>
          <w:sz w:val="32"/>
          <w:szCs w:val="32"/>
          <w:u w:val="single"/>
          <w:lang w:val="en-GB"/>
        </w:rPr>
      </w:pPr>
      <w:r>
        <w:rPr>
          <w:rFonts w:ascii="Calibri" w:hAnsi="Calibri" w:cs="Arial"/>
        </w:rPr>
        <w:br w:type="page"/>
      </w:r>
      <w:bookmarkStart w:id="15" w:name="_Toc416867093"/>
      <w:r w:rsidR="000E78A5">
        <w:rPr>
          <w:b w:val="0"/>
          <w:color w:val="1F497D" w:themeColor="text2"/>
          <w:spacing w:val="14"/>
          <w:sz w:val="32"/>
          <w:szCs w:val="32"/>
          <w:u w:val="single"/>
          <w:lang w:val="en-GB"/>
        </w:rPr>
        <w:lastRenderedPageBreak/>
        <w:t>EUROPE</w:t>
      </w:r>
      <w:bookmarkEnd w:id="15"/>
    </w:p>
    <w:p w14:paraId="6DED86C9" w14:textId="77777777" w:rsidR="000E78A5" w:rsidRDefault="000E78A5" w:rsidP="000E78A5">
      <w:pPr>
        <w:jc w:val="both"/>
        <w:rPr>
          <w:rFonts w:ascii="Calibri" w:hAnsi="Calibri"/>
          <w:b/>
        </w:rPr>
      </w:pPr>
    </w:p>
    <w:p w14:paraId="2905A35A" w14:textId="4A5DDEBC" w:rsidR="000E78A5" w:rsidRPr="000E78A5" w:rsidRDefault="000E78A5" w:rsidP="000E78A5">
      <w:pPr>
        <w:pStyle w:val="Heading3"/>
        <w:keepLines/>
        <w:spacing w:before="20" w:after="0"/>
        <w:jc w:val="center"/>
        <w:rPr>
          <w:b w:val="0"/>
          <w:color w:val="1F497D" w:themeColor="text2"/>
          <w:spacing w:val="14"/>
          <w:sz w:val="32"/>
          <w:szCs w:val="32"/>
          <w:lang w:val="en-GB"/>
        </w:rPr>
      </w:pPr>
      <w:bookmarkStart w:id="16" w:name="_Toc416867094"/>
      <w:r>
        <w:rPr>
          <w:b w:val="0"/>
          <w:color w:val="1F497D" w:themeColor="text2"/>
          <w:spacing w:val="14"/>
          <w:sz w:val="32"/>
          <w:szCs w:val="32"/>
          <w:lang w:val="en-GB"/>
        </w:rPr>
        <w:t>BOSNIA AND HERZEGOVINA – AN OLD NAP FEATURING FRAGMENTATION, A NEW NAP THAT DRAWS ON THE LEGAL FRAMEWORK</w:t>
      </w:r>
      <w:bookmarkEnd w:id="16"/>
    </w:p>
    <w:p w14:paraId="5E8FC7C0" w14:textId="77777777" w:rsidR="000E78A5" w:rsidRPr="000E78A5" w:rsidRDefault="000E78A5" w:rsidP="000E78A5">
      <w:pPr>
        <w:rPr>
          <w:sz w:val="32"/>
          <w:szCs w:val="32"/>
        </w:rPr>
      </w:pPr>
    </w:p>
    <w:p w14:paraId="6F94805F" w14:textId="76FCDD52" w:rsidR="005C68CA" w:rsidRPr="000B2E6D" w:rsidRDefault="005076AE" w:rsidP="007F364C">
      <w:pPr>
        <w:pStyle w:val="ListParagraph"/>
        <w:numPr>
          <w:ilvl w:val="0"/>
          <w:numId w:val="12"/>
        </w:numPr>
        <w:jc w:val="both"/>
        <w:rPr>
          <w:rFonts w:ascii="Calibri" w:hAnsi="Calibri"/>
          <w:b/>
          <w:color w:val="1F497D" w:themeColor="text2"/>
        </w:rPr>
      </w:pPr>
      <w:r w:rsidRPr="000B2E6D">
        <w:rPr>
          <w:rFonts w:ascii="Calibri" w:hAnsi="Calibri" w:cs="Arial"/>
          <w:b/>
          <w:color w:val="1F497D" w:themeColor="text2"/>
        </w:rPr>
        <w:t>An Overview of</w:t>
      </w:r>
      <w:r w:rsidR="005C68CA" w:rsidRPr="000B2E6D">
        <w:rPr>
          <w:rFonts w:ascii="Calibri" w:hAnsi="Calibri" w:cs="Arial"/>
          <w:b/>
          <w:color w:val="1F497D" w:themeColor="text2"/>
        </w:rPr>
        <w:t xml:space="preserve"> Conflict in Bosnia and Herzegovina </w:t>
      </w:r>
    </w:p>
    <w:p w14:paraId="2F0DB7C5" w14:textId="77777777" w:rsidR="005C68CA" w:rsidRPr="000B2E6D" w:rsidRDefault="005C68CA" w:rsidP="005C68CA">
      <w:pPr>
        <w:jc w:val="both"/>
        <w:rPr>
          <w:rFonts w:ascii="Calibri" w:hAnsi="Calibri"/>
        </w:rPr>
      </w:pPr>
    </w:p>
    <w:p w14:paraId="3C4FD2C3" w14:textId="6A3CCEC9" w:rsidR="005C68CA" w:rsidRPr="000B2E6D" w:rsidRDefault="005C68CA" w:rsidP="00530F89">
      <w:pPr>
        <w:spacing w:line="360" w:lineRule="auto"/>
        <w:jc w:val="both"/>
        <w:rPr>
          <w:rFonts w:ascii="Calibri" w:hAnsi="Calibri"/>
        </w:rPr>
      </w:pPr>
      <w:r w:rsidRPr="000B2E6D">
        <w:rPr>
          <w:rFonts w:ascii="Calibri" w:hAnsi="Calibri"/>
        </w:rPr>
        <w:t>Bosnia and Herzegovina</w:t>
      </w:r>
      <w:r w:rsidR="00E241BA" w:rsidRPr="000B2E6D">
        <w:rPr>
          <w:rFonts w:ascii="Calibri" w:hAnsi="Calibri"/>
        </w:rPr>
        <w:t xml:space="preserve"> (BiH)</w:t>
      </w:r>
      <w:r w:rsidRPr="000B2E6D">
        <w:rPr>
          <w:rFonts w:ascii="Calibri" w:hAnsi="Calibri"/>
        </w:rPr>
        <w:t xml:space="preserve"> </w:t>
      </w:r>
      <w:r w:rsidR="005966CE" w:rsidRPr="000B2E6D">
        <w:rPr>
          <w:rFonts w:ascii="Calibri" w:hAnsi="Calibri"/>
        </w:rPr>
        <w:t>is a post-conflict country that is</w:t>
      </w:r>
      <w:r w:rsidR="00F93C5E" w:rsidRPr="000B2E6D">
        <w:rPr>
          <w:rFonts w:ascii="Calibri" w:hAnsi="Calibri"/>
        </w:rPr>
        <w:t xml:space="preserve"> in a fragile state</w:t>
      </w:r>
      <w:r w:rsidRPr="000B2E6D">
        <w:rPr>
          <w:rFonts w:ascii="Calibri" w:hAnsi="Calibri"/>
        </w:rPr>
        <w:t>.</w:t>
      </w:r>
      <w:r w:rsidRPr="000B2E6D">
        <w:rPr>
          <w:rStyle w:val="FootnoteReference"/>
          <w:rFonts w:ascii="Calibri" w:hAnsi="Calibri"/>
        </w:rPr>
        <w:footnoteReference w:id="207"/>
      </w:r>
      <w:r w:rsidRPr="000B2E6D">
        <w:rPr>
          <w:rFonts w:ascii="Calibri" w:hAnsi="Calibri"/>
        </w:rPr>
        <w:t xml:space="preserve"> The </w:t>
      </w:r>
      <w:r w:rsidR="00AE57C8" w:rsidRPr="000B2E6D">
        <w:rPr>
          <w:rFonts w:ascii="Calibri" w:hAnsi="Calibri"/>
        </w:rPr>
        <w:t xml:space="preserve">Balkans War </w:t>
      </w:r>
      <w:r w:rsidR="00F93C5E" w:rsidRPr="000B2E6D">
        <w:rPr>
          <w:rFonts w:ascii="Calibri" w:hAnsi="Calibri"/>
        </w:rPr>
        <w:t>resulted in</w:t>
      </w:r>
      <w:r w:rsidRPr="000B2E6D">
        <w:rPr>
          <w:rFonts w:ascii="Calibri" w:hAnsi="Calibri"/>
        </w:rPr>
        <w:t xml:space="preserve"> </w:t>
      </w:r>
      <w:r w:rsidR="00F93C5E" w:rsidRPr="000B2E6D">
        <w:rPr>
          <w:rFonts w:ascii="Calibri" w:hAnsi="Calibri"/>
        </w:rPr>
        <w:t>high civilian</w:t>
      </w:r>
      <w:r w:rsidRPr="000B2E6D">
        <w:rPr>
          <w:rFonts w:ascii="Calibri" w:hAnsi="Calibri"/>
        </w:rPr>
        <w:t xml:space="preserve"> casualties</w:t>
      </w:r>
      <w:r w:rsidR="00F93C5E" w:rsidRPr="000B2E6D">
        <w:rPr>
          <w:rFonts w:ascii="Calibri" w:hAnsi="Calibri"/>
        </w:rPr>
        <w:t xml:space="preserve"> and widespread violence</w:t>
      </w:r>
      <w:r w:rsidRPr="000B2E6D">
        <w:rPr>
          <w:rFonts w:ascii="Calibri" w:hAnsi="Calibri"/>
        </w:rPr>
        <w:t xml:space="preserve">, especially among women and children. </w:t>
      </w:r>
      <w:r w:rsidR="00F93C5E" w:rsidRPr="000B2E6D">
        <w:rPr>
          <w:rFonts w:ascii="Calibri" w:hAnsi="Calibri"/>
        </w:rPr>
        <w:t>The</w:t>
      </w:r>
      <w:r w:rsidRPr="000B2E6D">
        <w:rPr>
          <w:rFonts w:ascii="Calibri" w:hAnsi="Calibri"/>
        </w:rPr>
        <w:t xml:space="preserve"> conflict </w:t>
      </w:r>
      <w:r w:rsidR="009F3AF0" w:rsidRPr="000B2E6D">
        <w:rPr>
          <w:rFonts w:ascii="Calibri" w:hAnsi="Calibri"/>
        </w:rPr>
        <w:t>was notorious</w:t>
      </w:r>
      <w:r w:rsidRPr="000B2E6D">
        <w:rPr>
          <w:rFonts w:ascii="Calibri" w:hAnsi="Calibri"/>
        </w:rPr>
        <w:t xml:space="preserve"> for </w:t>
      </w:r>
      <w:r w:rsidR="00F93C5E" w:rsidRPr="000B2E6D">
        <w:rPr>
          <w:rFonts w:ascii="Calibri" w:hAnsi="Calibri"/>
        </w:rPr>
        <w:t>its endemic sexual and gender-based violence (SGBV</w:t>
      </w:r>
      <w:r w:rsidR="005966CE" w:rsidRPr="000B2E6D">
        <w:rPr>
          <w:rFonts w:ascii="Calibri" w:hAnsi="Calibri"/>
        </w:rPr>
        <w:t>)</w:t>
      </w:r>
      <w:r w:rsidR="00BD7226" w:rsidRPr="000B2E6D">
        <w:rPr>
          <w:rFonts w:ascii="Calibri" w:hAnsi="Calibri"/>
        </w:rPr>
        <w:t xml:space="preserve"> </w:t>
      </w:r>
      <w:r w:rsidR="005966CE" w:rsidRPr="000B2E6D">
        <w:rPr>
          <w:rFonts w:ascii="Calibri" w:hAnsi="Calibri"/>
        </w:rPr>
        <w:t>most notably</w:t>
      </w:r>
      <w:r w:rsidR="00F93C5E" w:rsidRPr="000B2E6D">
        <w:rPr>
          <w:rFonts w:ascii="Calibri" w:hAnsi="Calibri"/>
        </w:rPr>
        <w:t xml:space="preserve"> the </w:t>
      </w:r>
      <w:r w:rsidR="005966CE" w:rsidRPr="000B2E6D">
        <w:rPr>
          <w:rFonts w:ascii="Calibri" w:hAnsi="Calibri"/>
        </w:rPr>
        <w:t xml:space="preserve">creation </w:t>
      </w:r>
      <w:r w:rsidR="00F93C5E" w:rsidRPr="000B2E6D">
        <w:rPr>
          <w:rFonts w:ascii="Calibri" w:hAnsi="Calibri"/>
        </w:rPr>
        <w:t>of</w:t>
      </w:r>
      <w:r w:rsidRPr="000B2E6D">
        <w:rPr>
          <w:rFonts w:ascii="Calibri" w:hAnsi="Calibri"/>
        </w:rPr>
        <w:t xml:space="preserve"> rape camps</w:t>
      </w:r>
      <w:r w:rsidR="005966CE" w:rsidRPr="000B2E6D">
        <w:rPr>
          <w:rFonts w:ascii="Calibri" w:hAnsi="Calibri"/>
        </w:rPr>
        <w:t xml:space="preserve"> to facilitate the use</w:t>
      </w:r>
      <w:r w:rsidR="00BD7226" w:rsidRPr="000B2E6D">
        <w:rPr>
          <w:rFonts w:ascii="Calibri" w:hAnsi="Calibri"/>
        </w:rPr>
        <w:t xml:space="preserve"> rape and SGBV as a weapon of war, and the</w:t>
      </w:r>
      <w:r w:rsidR="006B02AF" w:rsidRPr="000B2E6D">
        <w:rPr>
          <w:rFonts w:ascii="Calibri" w:hAnsi="Calibri"/>
        </w:rPr>
        <w:t xml:space="preserve"> involvement of UN </w:t>
      </w:r>
      <w:r w:rsidR="005966CE" w:rsidRPr="000B2E6D">
        <w:rPr>
          <w:rFonts w:ascii="Calibri" w:hAnsi="Calibri"/>
        </w:rPr>
        <w:t>personnel</w:t>
      </w:r>
      <w:r w:rsidR="006B02AF" w:rsidRPr="000B2E6D">
        <w:rPr>
          <w:rFonts w:ascii="Calibri" w:hAnsi="Calibri"/>
        </w:rPr>
        <w:t xml:space="preserve"> in trafficking and SGBV</w:t>
      </w:r>
      <w:r w:rsidRPr="000B2E6D">
        <w:rPr>
          <w:rFonts w:ascii="Calibri" w:hAnsi="Calibri"/>
        </w:rPr>
        <w:t>.</w:t>
      </w:r>
      <w:r w:rsidR="00BD7226" w:rsidRPr="000B2E6D">
        <w:rPr>
          <w:rStyle w:val="FootnoteReference"/>
          <w:rFonts w:ascii="Calibri" w:hAnsi="Calibri"/>
        </w:rPr>
        <w:footnoteReference w:id="208"/>
      </w:r>
      <w:r w:rsidRPr="000B2E6D">
        <w:rPr>
          <w:rFonts w:ascii="Calibri" w:hAnsi="Calibri"/>
        </w:rPr>
        <w:t xml:space="preserve"> </w:t>
      </w:r>
      <w:r w:rsidR="00F93C5E" w:rsidRPr="000B2E6D">
        <w:rPr>
          <w:rFonts w:ascii="Calibri" w:hAnsi="Calibri"/>
        </w:rPr>
        <w:t>The</w:t>
      </w:r>
      <w:r w:rsidRPr="000B2E6D">
        <w:rPr>
          <w:rFonts w:ascii="Calibri" w:hAnsi="Calibri"/>
        </w:rPr>
        <w:t xml:space="preserve"> Dayton Peace agreement</w:t>
      </w:r>
      <w:r w:rsidR="00F93C5E" w:rsidRPr="000B2E6D">
        <w:rPr>
          <w:rFonts w:ascii="Calibri" w:hAnsi="Calibri"/>
        </w:rPr>
        <w:t xml:space="preserve"> of 1995</w:t>
      </w:r>
      <w:r w:rsidRPr="000B2E6D">
        <w:rPr>
          <w:rFonts w:ascii="Calibri" w:hAnsi="Calibri"/>
        </w:rPr>
        <w:t xml:space="preserve"> created a state with two </w:t>
      </w:r>
      <w:r w:rsidR="00F93C5E" w:rsidRPr="000B2E6D">
        <w:rPr>
          <w:rFonts w:ascii="Calibri" w:hAnsi="Calibri"/>
        </w:rPr>
        <w:t>e</w:t>
      </w:r>
      <w:r w:rsidRPr="000B2E6D">
        <w:rPr>
          <w:rFonts w:ascii="Calibri" w:hAnsi="Calibri"/>
        </w:rPr>
        <w:t xml:space="preserve">ntities and one district. The entities each have </w:t>
      </w:r>
      <w:r w:rsidR="00F93C5E" w:rsidRPr="000B2E6D">
        <w:rPr>
          <w:rFonts w:ascii="Calibri" w:hAnsi="Calibri"/>
        </w:rPr>
        <w:t>a</w:t>
      </w:r>
      <w:r w:rsidRPr="000B2E6D">
        <w:rPr>
          <w:rFonts w:ascii="Calibri" w:hAnsi="Calibri"/>
        </w:rPr>
        <w:t xml:space="preserve"> legislature, executive and judiciary. Although these are technically subordinate to the state-level constitution, in practice there is a very high level of deference shown by the state-level government. </w:t>
      </w:r>
      <w:r w:rsidR="001677EE" w:rsidRPr="000B2E6D">
        <w:rPr>
          <w:rFonts w:ascii="Calibri" w:hAnsi="Calibri"/>
        </w:rPr>
        <w:t>This has resulted in the fragmented state response to addressing women’s rights in post-conflict BiH, discussed below.</w:t>
      </w:r>
    </w:p>
    <w:p w14:paraId="79ADCAF2" w14:textId="77777777" w:rsidR="005C68CA" w:rsidRPr="000B2E6D" w:rsidRDefault="005C68CA" w:rsidP="005C68CA">
      <w:pPr>
        <w:jc w:val="both"/>
        <w:rPr>
          <w:rFonts w:ascii="Calibri" w:hAnsi="Calibri"/>
        </w:rPr>
      </w:pPr>
    </w:p>
    <w:p w14:paraId="1B4FA5F8" w14:textId="14FD4E81" w:rsidR="005C68CA" w:rsidRPr="000B2E6D" w:rsidRDefault="005C68CA" w:rsidP="007F364C">
      <w:pPr>
        <w:pStyle w:val="ListParagraph"/>
        <w:numPr>
          <w:ilvl w:val="0"/>
          <w:numId w:val="12"/>
        </w:numPr>
        <w:jc w:val="both"/>
        <w:rPr>
          <w:rFonts w:ascii="Calibri" w:hAnsi="Calibri"/>
          <w:b/>
          <w:color w:val="1F497D" w:themeColor="text2"/>
        </w:rPr>
      </w:pPr>
      <w:r w:rsidRPr="000B2E6D">
        <w:rPr>
          <w:rFonts w:ascii="Calibri" w:hAnsi="Calibri"/>
          <w:b/>
          <w:color w:val="1F497D" w:themeColor="text2"/>
        </w:rPr>
        <w:t>Bosnia and Herzegovina’s National Action Plan</w:t>
      </w:r>
      <w:r w:rsidR="006B02AF" w:rsidRPr="000B2E6D">
        <w:rPr>
          <w:rFonts w:ascii="Calibri" w:hAnsi="Calibri"/>
          <w:b/>
          <w:color w:val="1F497D" w:themeColor="text2"/>
        </w:rPr>
        <w:t xml:space="preserve"> 1</w:t>
      </w:r>
      <w:r w:rsidR="00A55FED" w:rsidRPr="000B2E6D">
        <w:rPr>
          <w:rFonts w:ascii="Calibri" w:hAnsi="Calibri"/>
          <w:b/>
          <w:color w:val="1F497D" w:themeColor="text2"/>
        </w:rPr>
        <w:t xml:space="preserve"> (2010-13)</w:t>
      </w:r>
      <w:r w:rsidR="006B02AF" w:rsidRPr="000B2E6D">
        <w:rPr>
          <w:rFonts w:ascii="Calibri" w:hAnsi="Calibri"/>
          <w:b/>
          <w:color w:val="1F497D" w:themeColor="text2"/>
        </w:rPr>
        <w:t xml:space="preserve"> and 2 (2014-17)</w:t>
      </w:r>
    </w:p>
    <w:p w14:paraId="599EDEE7" w14:textId="77777777" w:rsidR="005C68CA" w:rsidRPr="000B2E6D" w:rsidRDefault="005C68CA" w:rsidP="005C68CA">
      <w:pPr>
        <w:jc w:val="both"/>
        <w:rPr>
          <w:rFonts w:ascii="Calibri" w:hAnsi="Calibri"/>
          <w:b/>
          <w:u w:val="single"/>
        </w:rPr>
      </w:pPr>
    </w:p>
    <w:p w14:paraId="1BBE6B77" w14:textId="65AE5ED7" w:rsidR="000A1EA1" w:rsidRPr="000B2E6D" w:rsidRDefault="000A1EA1" w:rsidP="005C68CA">
      <w:pPr>
        <w:jc w:val="both"/>
        <w:rPr>
          <w:rFonts w:ascii="Calibri" w:hAnsi="Calibri"/>
          <w:b/>
          <w:color w:val="1F497D" w:themeColor="text2"/>
          <w:u w:val="single"/>
        </w:rPr>
      </w:pPr>
      <w:r w:rsidRPr="000B2E6D">
        <w:rPr>
          <w:rFonts w:ascii="Calibri" w:hAnsi="Calibri"/>
          <w:b/>
          <w:color w:val="1F497D" w:themeColor="text2"/>
          <w:u w:val="single"/>
        </w:rPr>
        <w:t>First NAP (2010-13)</w:t>
      </w:r>
    </w:p>
    <w:p w14:paraId="732D787D" w14:textId="77777777" w:rsidR="000A1EA1" w:rsidRPr="000B2E6D" w:rsidRDefault="000A1EA1" w:rsidP="005C68CA">
      <w:pPr>
        <w:jc w:val="both"/>
        <w:rPr>
          <w:rFonts w:ascii="Calibri" w:hAnsi="Calibri"/>
          <w:b/>
          <w:u w:val="single"/>
        </w:rPr>
      </w:pPr>
    </w:p>
    <w:p w14:paraId="23233882" w14:textId="0BB473F0" w:rsidR="00464F1A" w:rsidRPr="000B2E6D" w:rsidRDefault="00E54487" w:rsidP="00530F89">
      <w:pPr>
        <w:spacing w:line="360" w:lineRule="auto"/>
        <w:jc w:val="both"/>
        <w:rPr>
          <w:rFonts w:ascii="Calibri" w:hAnsi="Calibri"/>
        </w:rPr>
      </w:pPr>
      <w:r w:rsidRPr="000B2E6D">
        <w:rPr>
          <w:rFonts w:ascii="Calibri" w:hAnsi="Calibri"/>
        </w:rPr>
        <w:t>The Gender Equality Agency and the Ministry of Human Rights and Refugees adopted the</w:t>
      </w:r>
      <w:r w:rsidR="00CB2ADD" w:rsidRPr="000B2E6D">
        <w:rPr>
          <w:rFonts w:ascii="Calibri" w:hAnsi="Calibri"/>
        </w:rPr>
        <w:t xml:space="preserve"> first</w:t>
      </w:r>
      <w:r w:rsidR="006B02AF" w:rsidRPr="000B2E6D">
        <w:rPr>
          <w:rFonts w:ascii="Calibri" w:hAnsi="Calibri"/>
        </w:rPr>
        <w:t xml:space="preserve"> </w:t>
      </w:r>
      <w:r w:rsidR="005C68CA" w:rsidRPr="000B2E6D">
        <w:rPr>
          <w:rFonts w:ascii="Calibri" w:hAnsi="Calibri"/>
        </w:rPr>
        <w:t>National Action Plan</w:t>
      </w:r>
      <w:r w:rsidR="00A55FED" w:rsidRPr="000B2E6D">
        <w:rPr>
          <w:rFonts w:ascii="Calibri" w:hAnsi="Calibri"/>
        </w:rPr>
        <w:t xml:space="preserve"> (NAP)</w:t>
      </w:r>
      <w:r w:rsidR="005C68CA" w:rsidRPr="000B2E6D">
        <w:rPr>
          <w:rFonts w:ascii="Calibri" w:hAnsi="Calibri"/>
        </w:rPr>
        <w:t xml:space="preserve"> </w:t>
      </w:r>
      <w:r w:rsidR="00464F1A" w:rsidRPr="000B2E6D">
        <w:rPr>
          <w:rFonts w:ascii="Calibri" w:hAnsi="Calibri"/>
        </w:rPr>
        <w:t xml:space="preserve">in </w:t>
      </w:r>
      <w:r w:rsidR="00806673" w:rsidRPr="000B2E6D">
        <w:rPr>
          <w:rFonts w:ascii="Calibri" w:hAnsi="Calibri"/>
        </w:rPr>
        <w:t>2010</w:t>
      </w:r>
      <w:r w:rsidR="00464F1A" w:rsidRPr="000B2E6D">
        <w:rPr>
          <w:rFonts w:ascii="Calibri" w:hAnsi="Calibri"/>
        </w:rPr>
        <w:t xml:space="preserve"> </w:t>
      </w:r>
      <w:r w:rsidRPr="000B2E6D">
        <w:rPr>
          <w:rFonts w:ascii="Calibri" w:hAnsi="Calibri"/>
        </w:rPr>
        <w:t>and a</w:t>
      </w:r>
      <w:r w:rsidR="00464F1A" w:rsidRPr="000B2E6D">
        <w:rPr>
          <w:rFonts w:ascii="Calibri" w:hAnsi="Calibri"/>
        </w:rPr>
        <w:t xml:space="preserve"> new NAP</w:t>
      </w:r>
      <w:r w:rsidR="006B02AF" w:rsidRPr="000B2E6D">
        <w:rPr>
          <w:rFonts w:ascii="Calibri" w:hAnsi="Calibri"/>
        </w:rPr>
        <w:t xml:space="preserve"> </w:t>
      </w:r>
      <w:r w:rsidR="006C491F" w:rsidRPr="000B2E6D">
        <w:rPr>
          <w:rFonts w:ascii="Calibri" w:hAnsi="Calibri"/>
        </w:rPr>
        <w:t xml:space="preserve">in 2014. </w:t>
      </w:r>
      <w:r w:rsidR="006B02AF" w:rsidRPr="000B2E6D">
        <w:rPr>
          <w:rFonts w:ascii="Calibri" w:hAnsi="Calibri"/>
        </w:rPr>
        <w:t>The first NAP had</w:t>
      </w:r>
      <w:r w:rsidR="006C491F" w:rsidRPr="000B2E6D">
        <w:rPr>
          <w:rFonts w:ascii="Calibri" w:hAnsi="Calibri"/>
        </w:rPr>
        <w:t xml:space="preserve"> f</w:t>
      </w:r>
      <w:r w:rsidR="005C68CA" w:rsidRPr="000B2E6D">
        <w:rPr>
          <w:rFonts w:ascii="Calibri" w:hAnsi="Calibri"/>
        </w:rPr>
        <w:t xml:space="preserve">ive focus areas: </w:t>
      </w:r>
      <w:r w:rsidR="00F608FB" w:rsidRPr="000B2E6D">
        <w:rPr>
          <w:rFonts w:ascii="Calibri" w:hAnsi="Calibri"/>
        </w:rPr>
        <w:t>W</w:t>
      </w:r>
      <w:r w:rsidR="00464F1A" w:rsidRPr="000B2E6D">
        <w:rPr>
          <w:rFonts w:ascii="Calibri" w:hAnsi="Calibri"/>
        </w:rPr>
        <w:t>omen’s p</w:t>
      </w:r>
      <w:r w:rsidR="005C68CA" w:rsidRPr="000B2E6D">
        <w:rPr>
          <w:rFonts w:ascii="Calibri" w:hAnsi="Calibri"/>
        </w:rPr>
        <w:t>ar</w:t>
      </w:r>
      <w:r w:rsidR="006C491F" w:rsidRPr="000B2E6D">
        <w:rPr>
          <w:rFonts w:ascii="Calibri" w:hAnsi="Calibri"/>
        </w:rPr>
        <w:t xml:space="preserve">ticipation </w:t>
      </w:r>
      <w:r w:rsidR="00464F1A" w:rsidRPr="000B2E6D">
        <w:rPr>
          <w:rFonts w:ascii="Calibri" w:hAnsi="Calibri"/>
        </w:rPr>
        <w:t>in p</w:t>
      </w:r>
      <w:r w:rsidR="006C491F" w:rsidRPr="000B2E6D">
        <w:rPr>
          <w:rFonts w:ascii="Calibri" w:hAnsi="Calibri"/>
        </w:rPr>
        <w:t>olitics;</w:t>
      </w:r>
      <w:r w:rsidR="005C68CA" w:rsidRPr="000B2E6D">
        <w:rPr>
          <w:rFonts w:ascii="Calibri" w:hAnsi="Calibri"/>
        </w:rPr>
        <w:t xml:space="preserve"> (2)</w:t>
      </w:r>
      <w:r w:rsidR="006C491F" w:rsidRPr="000B2E6D">
        <w:rPr>
          <w:rFonts w:ascii="Calibri" w:hAnsi="Calibri"/>
        </w:rPr>
        <w:t xml:space="preserve"> </w:t>
      </w:r>
      <w:r w:rsidR="00F608FB" w:rsidRPr="000B2E6D">
        <w:rPr>
          <w:rFonts w:ascii="Calibri" w:hAnsi="Calibri"/>
        </w:rPr>
        <w:t>M</w:t>
      </w:r>
      <w:r w:rsidR="006C491F" w:rsidRPr="000B2E6D">
        <w:rPr>
          <w:rFonts w:ascii="Calibri" w:hAnsi="Calibri"/>
        </w:rPr>
        <w:t xml:space="preserve">ilitary and </w:t>
      </w:r>
      <w:r w:rsidR="00F608FB" w:rsidRPr="000B2E6D">
        <w:rPr>
          <w:rFonts w:ascii="Calibri" w:hAnsi="Calibri"/>
        </w:rPr>
        <w:t>police structures; (3) P</w:t>
      </w:r>
      <w:r w:rsidR="006C491F" w:rsidRPr="000B2E6D">
        <w:rPr>
          <w:rFonts w:ascii="Calibri" w:hAnsi="Calibri"/>
        </w:rPr>
        <w:t>eacekeeping;</w:t>
      </w:r>
      <w:r w:rsidR="005C68CA" w:rsidRPr="000B2E6D">
        <w:rPr>
          <w:rFonts w:ascii="Calibri" w:hAnsi="Calibri"/>
        </w:rPr>
        <w:t xml:space="preserve"> (4) </w:t>
      </w:r>
      <w:r w:rsidR="00F608FB" w:rsidRPr="000B2E6D">
        <w:rPr>
          <w:rFonts w:ascii="Calibri" w:hAnsi="Calibri"/>
        </w:rPr>
        <w:t>T</w:t>
      </w:r>
      <w:r w:rsidR="005C68CA" w:rsidRPr="000B2E6D">
        <w:rPr>
          <w:rFonts w:ascii="Calibri" w:hAnsi="Calibri"/>
        </w:rPr>
        <w:t>rafficking</w:t>
      </w:r>
      <w:r w:rsidR="006C491F" w:rsidRPr="000B2E6D">
        <w:rPr>
          <w:rFonts w:ascii="Calibri" w:hAnsi="Calibri"/>
        </w:rPr>
        <w:t>;</w:t>
      </w:r>
      <w:r w:rsidR="00F608FB" w:rsidRPr="000B2E6D">
        <w:rPr>
          <w:rFonts w:ascii="Calibri" w:hAnsi="Calibri"/>
        </w:rPr>
        <w:t xml:space="preserve"> and (5) S</w:t>
      </w:r>
      <w:r w:rsidR="00464F1A" w:rsidRPr="000B2E6D">
        <w:rPr>
          <w:rFonts w:ascii="Calibri" w:hAnsi="Calibri"/>
        </w:rPr>
        <w:t>urvivors of wartime sexual vi</w:t>
      </w:r>
      <w:r w:rsidR="005C68CA" w:rsidRPr="000B2E6D">
        <w:rPr>
          <w:rFonts w:ascii="Calibri" w:hAnsi="Calibri"/>
        </w:rPr>
        <w:t xml:space="preserve">olence. </w:t>
      </w:r>
    </w:p>
    <w:p w14:paraId="1F884C94" w14:textId="77777777" w:rsidR="00464F1A" w:rsidRPr="000B2E6D" w:rsidRDefault="00464F1A" w:rsidP="00CB2ADD">
      <w:pPr>
        <w:jc w:val="both"/>
        <w:rPr>
          <w:rFonts w:ascii="Calibri" w:hAnsi="Calibri"/>
        </w:rPr>
      </w:pPr>
    </w:p>
    <w:p w14:paraId="5F8912E7" w14:textId="6D794847" w:rsidR="000A1EA1" w:rsidRPr="000B2E6D" w:rsidRDefault="000A1EA1" w:rsidP="000A1EA1">
      <w:pPr>
        <w:jc w:val="both"/>
        <w:rPr>
          <w:rFonts w:ascii="Calibri" w:hAnsi="Calibri"/>
          <w:b/>
          <w:color w:val="1F497D" w:themeColor="text2"/>
          <w:u w:val="single"/>
        </w:rPr>
      </w:pPr>
      <w:r w:rsidRPr="000B2E6D">
        <w:rPr>
          <w:rFonts w:ascii="Calibri" w:hAnsi="Calibri"/>
          <w:b/>
          <w:color w:val="1F497D" w:themeColor="text2"/>
          <w:u w:val="single"/>
        </w:rPr>
        <w:t>Second NAP (2014-17)</w:t>
      </w:r>
    </w:p>
    <w:p w14:paraId="6810974B" w14:textId="77777777" w:rsidR="000A1EA1" w:rsidRPr="000B2E6D" w:rsidRDefault="000A1EA1" w:rsidP="00CB2ADD">
      <w:pPr>
        <w:jc w:val="both"/>
        <w:rPr>
          <w:rFonts w:ascii="Calibri" w:hAnsi="Calibri"/>
        </w:rPr>
      </w:pPr>
    </w:p>
    <w:p w14:paraId="7A1A8CD0" w14:textId="77777777" w:rsidR="00EC1751" w:rsidRPr="000B2E6D" w:rsidRDefault="00EC1751" w:rsidP="00530F89">
      <w:pPr>
        <w:spacing w:line="360" w:lineRule="auto"/>
        <w:jc w:val="both"/>
        <w:rPr>
          <w:rFonts w:ascii="Calibri" w:hAnsi="Calibri"/>
        </w:rPr>
      </w:pPr>
      <w:r w:rsidRPr="000B2E6D">
        <w:rPr>
          <w:rFonts w:ascii="Calibri" w:hAnsi="Calibri"/>
        </w:rPr>
        <w:t xml:space="preserve">The current NAP’s three priorities are the three “Ps” of the SCR 1325’s pillars: (1) Equal participation; (2) Prevention; and (3) Protection.  The new NAP is notable for: sparking cross-regional cooperation among former enemies; inclusive drafting process led by the Gender Equality Agency involving a coordination </w:t>
      </w:r>
      <w:r w:rsidRPr="000B2E6D">
        <w:rPr>
          <w:rFonts w:ascii="Calibri" w:hAnsi="Calibri"/>
        </w:rPr>
        <w:lastRenderedPageBreak/>
        <w:t>board of 14 ministries and agencies and civil society; and significant monitoring and evaluation elements that consider lessons learned from the first NAP.</w:t>
      </w:r>
      <w:r w:rsidRPr="000B2E6D">
        <w:rPr>
          <w:rStyle w:val="FootnoteReference"/>
          <w:rFonts w:ascii="Calibri" w:hAnsi="Calibri"/>
        </w:rPr>
        <w:footnoteReference w:id="209"/>
      </w:r>
      <w:r w:rsidRPr="000B2E6D">
        <w:rPr>
          <w:rFonts w:ascii="Calibri" w:hAnsi="Calibri"/>
        </w:rPr>
        <w:t xml:space="preserve">  </w:t>
      </w:r>
    </w:p>
    <w:p w14:paraId="32BC3A6F" w14:textId="77777777" w:rsidR="00EC1751" w:rsidRPr="000B2E6D" w:rsidRDefault="00EC1751" w:rsidP="00CB2ADD">
      <w:pPr>
        <w:jc w:val="both"/>
        <w:rPr>
          <w:rFonts w:ascii="Calibri" w:hAnsi="Calibri"/>
        </w:rPr>
      </w:pPr>
    </w:p>
    <w:p w14:paraId="7B2D61BB" w14:textId="1B49F286" w:rsidR="00CB2ADD" w:rsidRPr="000B2E6D" w:rsidRDefault="00D93AA8" w:rsidP="00530F89">
      <w:pPr>
        <w:spacing w:line="360" w:lineRule="auto"/>
        <w:jc w:val="both"/>
        <w:rPr>
          <w:rFonts w:ascii="Calibri" w:hAnsi="Calibri"/>
        </w:rPr>
      </w:pPr>
      <w:r w:rsidRPr="000B2E6D">
        <w:rPr>
          <w:rFonts w:ascii="Calibri" w:hAnsi="Calibri"/>
        </w:rPr>
        <w:t xml:space="preserve">The </w:t>
      </w:r>
      <w:r w:rsidR="00E37292" w:rsidRPr="000B2E6D">
        <w:rPr>
          <w:rFonts w:ascii="Calibri" w:hAnsi="Calibri"/>
        </w:rPr>
        <w:t xml:space="preserve">new </w:t>
      </w:r>
      <w:r w:rsidRPr="000B2E6D">
        <w:rPr>
          <w:rFonts w:ascii="Calibri" w:hAnsi="Calibri"/>
        </w:rPr>
        <w:t xml:space="preserve">NAP </w:t>
      </w:r>
      <w:r w:rsidR="00DC5DE2" w:rsidRPr="000B2E6D">
        <w:rPr>
          <w:rFonts w:ascii="Calibri" w:hAnsi="Calibri"/>
        </w:rPr>
        <w:t>focuses</w:t>
      </w:r>
      <w:r w:rsidRPr="000B2E6D">
        <w:rPr>
          <w:rFonts w:ascii="Calibri" w:hAnsi="Calibri"/>
        </w:rPr>
        <w:t xml:space="preserve"> on lessons learned</w:t>
      </w:r>
      <w:r w:rsidR="00DC5DE2" w:rsidRPr="000B2E6D">
        <w:rPr>
          <w:rFonts w:ascii="Calibri" w:hAnsi="Calibri"/>
        </w:rPr>
        <w:t>. It</w:t>
      </w:r>
      <w:r w:rsidR="00EA481B" w:rsidRPr="000B2E6D">
        <w:rPr>
          <w:rFonts w:ascii="Calibri" w:hAnsi="Calibri"/>
        </w:rPr>
        <w:t xml:space="preserve"> is the only </w:t>
      </w:r>
      <w:r w:rsidR="00E54487" w:rsidRPr="000B2E6D">
        <w:rPr>
          <w:rFonts w:ascii="Calibri" w:hAnsi="Calibri"/>
        </w:rPr>
        <w:t>case study</w:t>
      </w:r>
      <w:r w:rsidR="00EA481B" w:rsidRPr="000B2E6D">
        <w:rPr>
          <w:rFonts w:ascii="Calibri" w:hAnsi="Calibri"/>
        </w:rPr>
        <w:t xml:space="preserve"> t</w:t>
      </w:r>
      <w:r w:rsidR="00E37292" w:rsidRPr="000B2E6D">
        <w:rPr>
          <w:rFonts w:ascii="Calibri" w:hAnsi="Calibri"/>
        </w:rPr>
        <w:t>o</w:t>
      </w:r>
      <w:r w:rsidR="00393698" w:rsidRPr="000B2E6D">
        <w:rPr>
          <w:rFonts w:ascii="Calibri" w:hAnsi="Calibri"/>
        </w:rPr>
        <w:t xml:space="preserve"> specifically</w:t>
      </w:r>
      <w:r w:rsidR="00AC1ED9" w:rsidRPr="000B2E6D">
        <w:rPr>
          <w:rFonts w:ascii="Calibri" w:hAnsi="Calibri"/>
        </w:rPr>
        <w:t xml:space="preserve"> </w:t>
      </w:r>
      <w:r w:rsidR="00EA481B" w:rsidRPr="000B2E6D">
        <w:rPr>
          <w:rFonts w:ascii="Calibri" w:hAnsi="Calibri"/>
        </w:rPr>
        <w:t>incorporate</w:t>
      </w:r>
      <w:r w:rsidR="00AC1ED9" w:rsidRPr="000B2E6D">
        <w:rPr>
          <w:rFonts w:ascii="Calibri" w:hAnsi="Calibri"/>
        </w:rPr>
        <w:t xml:space="preserve"> the CEDAW Committee’s r</w:t>
      </w:r>
      <w:r w:rsidR="00EA481B" w:rsidRPr="000B2E6D">
        <w:rPr>
          <w:rFonts w:ascii="Calibri" w:hAnsi="Calibri"/>
        </w:rPr>
        <w:t>ecommendations</w:t>
      </w:r>
      <w:r w:rsidR="00AC1ED9" w:rsidRPr="000B2E6D">
        <w:rPr>
          <w:rFonts w:ascii="Calibri" w:hAnsi="Calibri"/>
        </w:rPr>
        <w:t xml:space="preserve">, and the wider international legal framework on </w:t>
      </w:r>
      <w:r w:rsidR="00DC5DE2" w:rsidRPr="000B2E6D">
        <w:rPr>
          <w:rFonts w:ascii="Calibri" w:hAnsi="Calibri"/>
        </w:rPr>
        <w:t>WPS</w:t>
      </w:r>
      <w:r w:rsidR="00AC1ED9" w:rsidRPr="000B2E6D">
        <w:rPr>
          <w:rFonts w:ascii="Calibri" w:hAnsi="Calibri"/>
        </w:rPr>
        <w:t xml:space="preserve">. </w:t>
      </w:r>
      <w:r w:rsidR="00E54487" w:rsidRPr="000B2E6D">
        <w:rPr>
          <w:rFonts w:ascii="Calibri" w:hAnsi="Calibri"/>
        </w:rPr>
        <w:t>The NAP</w:t>
      </w:r>
      <w:r w:rsidR="00AC1ED9" w:rsidRPr="000B2E6D">
        <w:rPr>
          <w:rFonts w:ascii="Calibri" w:hAnsi="Calibri"/>
        </w:rPr>
        <w:t xml:space="preserve"> explicitly </w:t>
      </w:r>
      <w:r w:rsidR="00DC5DE2" w:rsidRPr="000B2E6D">
        <w:rPr>
          <w:rFonts w:ascii="Calibri" w:hAnsi="Calibri"/>
        </w:rPr>
        <w:t xml:space="preserve">includes </w:t>
      </w:r>
      <w:r w:rsidR="00AC1ED9" w:rsidRPr="000B2E6D">
        <w:rPr>
          <w:rFonts w:ascii="Calibri" w:hAnsi="Calibri"/>
        </w:rPr>
        <w:t xml:space="preserve">the international and domestic legal frameworks on </w:t>
      </w:r>
      <w:r w:rsidR="00DC5DE2" w:rsidRPr="000B2E6D">
        <w:rPr>
          <w:rFonts w:ascii="Calibri" w:hAnsi="Calibri"/>
        </w:rPr>
        <w:t>WPS</w:t>
      </w:r>
      <w:r w:rsidR="00AC1ED9" w:rsidRPr="000B2E6D">
        <w:rPr>
          <w:rFonts w:ascii="Calibri" w:hAnsi="Calibri"/>
        </w:rPr>
        <w:t xml:space="preserve"> </w:t>
      </w:r>
      <w:r w:rsidR="00C70E8B" w:rsidRPr="000B2E6D">
        <w:rPr>
          <w:rFonts w:ascii="Calibri" w:hAnsi="Calibri"/>
        </w:rPr>
        <w:t xml:space="preserve">that </w:t>
      </w:r>
      <w:r w:rsidR="00AC1ED9" w:rsidRPr="000B2E6D">
        <w:rPr>
          <w:rFonts w:ascii="Calibri" w:hAnsi="Calibri"/>
        </w:rPr>
        <w:t xml:space="preserve">underpin its protections. </w:t>
      </w:r>
      <w:r w:rsidR="00C70E8B" w:rsidRPr="000B2E6D">
        <w:rPr>
          <w:rFonts w:ascii="Calibri" w:hAnsi="Calibri"/>
        </w:rPr>
        <w:t>The</w:t>
      </w:r>
      <w:r w:rsidR="00E7296F" w:rsidRPr="000B2E6D">
        <w:rPr>
          <w:rFonts w:ascii="Calibri" w:hAnsi="Calibri"/>
        </w:rPr>
        <w:t xml:space="preserve"> </w:t>
      </w:r>
      <w:r w:rsidR="00E37292" w:rsidRPr="000B2E6D">
        <w:rPr>
          <w:rFonts w:ascii="Calibri" w:hAnsi="Calibri"/>
        </w:rPr>
        <w:t>NAP incorporates the CEDAW Committee’s Concluding Observations on the state reports of BiH on women in post-conflict situations, trafficking and women’s participation in public and political life.</w:t>
      </w:r>
      <w:r w:rsidR="00E54487" w:rsidRPr="000B2E6D">
        <w:rPr>
          <w:rStyle w:val="FootnoteReference"/>
          <w:rFonts w:ascii="Calibri" w:hAnsi="Calibri"/>
        </w:rPr>
        <w:footnoteReference w:id="210"/>
      </w:r>
      <w:r w:rsidR="00EA481B" w:rsidRPr="000B2E6D">
        <w:rPr>
          <w:rFonts w:ascii="Calibri" w:hAnsi="Calibri"/>
        </w:rPr>
        <w:t xml:space="preserve"> While it is too early to assess the implementation of </w:t>
      </w:r>
      <w:r w:rsidR="00EC1751" w:rsidRPr="000B2E6D">
        <w:rPr>
          <w:rFonts w:ascii="Calibri" w:hAnsi="Calibri"/>
        </w:rPr>
        <w:t>this</w:t>
      </w:r>
      <w:r w:rsidR="00EA481B" w:rsidRPr="000B2E6D">
        <w:rPr>
          <w:rFonts w:ascii="Calibri" w:hAnsi="Calibri"/>
        </w:rPr>
        <w:t xml:space="preserve"> NAP, </w:t>
      </w:r>
      <w:r w:rsidR="00E54487" w:rsidRPr="000B2E6D">
        <w:rPr>
          <w:rFonts w:ascii="Calibri" w:hAnsi="Calibri"/>
        </w:rPr>
        <w:t xml:space="preserve">by including </w:t>
      </w:r>
      <w:r w:rsidR="00B84CCF" w:rsidRPr="000B2E6D">
        <w:rPr>
          <w:rFonts w:ascii="Calibri" w:hAnsi="Calibri"/>
        </w:rPr>
        <w:t xml:space="preserve">the CEDAW Committee’s recommendations, BiH is tackling </w:t>
      </w:r>
      <w:r w:rsidR="00DC5DE2" w:rsidRPr="000B2E6D">
        <w:rPr>
          <w:rFonts w:ascii="Calibri" w:hAnsi="Calibri"/>
        </w:rPr>
        <w:t xml:space="preserve">its post-conflict </w:t>
      </w:r>
      <w:r w:rsidR="00B84CCF" w:rsidRPr="000B2E6D">
        <w:rPr>
          <w:rFonts w:ascii="Calibri" w:hAnsi="Calibri"/>
        </w:rPr>
        <w:t xml:space="preserve">issues </w:t>
      </w:r>
      <w:r w:rsidR="00EC1751" w:rsidRPr="000B2E6D">
        <w:rPr>
          <w:rFonts w:ascii="Calibri" w:hAnsi="Calibri"/>
        </w:rPr>
        <w:t>in direct response to its</w:t>
      </w:r>
      <w:r w:rsidR="00DC5DE2" w:rsidRPr="000B2E6D">
        <w:rPr>
          <w:rFonts w:ascii="Calibri" w:hAnsi="Calibri"/>
        </w:rPr>
        <w:t xml:space="preserve"> international obligations</w:t>
      </w:r>
      <w:r w:rsidR="00B84CCF" w:rsidRPr="000B2E6D">
        <w:rPr>
          <w:rFonts w:ascii="Calibri" w:hAnsi="Calibri"/>
        </w:rPr>
        <w:t xml:space="preserve">. These include a comprehensive approach to improve the status and position of women victims of war, including addressing the stigma </w:t>
      </w:r>
      <w:r w:rsidR="00EC1751" w:rsidRPr="000B2E6D">
        <w:rPr>
          <w:rFonts w:ascii="Calibri" w:hAnsi="Calibri"/>
        </w:rPr>
        <w:t>of</w:t>
      </w:r>
      <w:r w:rsidR="00B84CCF" w:rsidRPr="000B2E6D">
        <w:rPr>
          <w:rFonts w:ascii="Calibri" w:hAnsi="Calibri"/>
        </w:rPr>
        <w:t xml:space="preserve"> SGBV, and measures to support </w:t>
      </w:r>
      <w:r w:rsidR="00EC1751" w:rsidRPr="000B2E6D">
        <w:rPr>
          <w:rFonts w:ascii="Calibri" w:hAnsi="Calibri"/>
        </w:rPr>
        <w:t>victim</w:t>
      </w:r>
      <w:r w:rsidR="00B84CCF" w:rsidRPr="000B2E6D">
        <w:rPr>
          <w:rFonts w:ascii="Calibri" w:hAnsi="Calibri"/>
        </w:rPr>
        <w:t xml:space="preserve"> rehabilitation and ensure equal access to services no matter where </w:t>
      </w:r>
      <w:r w:rsidR="00EC1751" w:rsidRPr="000B2E6D">
        <w:rPr>
          <w:rFonts w:ascii="Calibri" w:hAnsi="Calibri"/>
        </w:rPr>
        <w:t>victims</w:t>
      </w:r>
      <w:r w:rsidR="00B84CCF" w:rsidRPr="000B2E6D">
        <w:rPr>
          <w:rFonts w:ascii="Calibri" w:hAnsi="Calibri"/>
        </w:rPr>
        <w:t xml:space="preserve"> live.</w:t>
      </w:r>
      <w:r w:rsidR="00B84CCF" w:rsidRPr="000B2E6D">
        <w:rPr>
          <w:rStyle w:val="FootnoteReference"/>
          <w:rFonts w:ascii="Calibri" w:hAnsi="Calibri"/>
        </w:rPr>
        <w:footnoteReference w:id="211"/>
      </w:r>
    </w:p>
    <w:p w14:paraId="52EAB3AC" w14:textId="77777777" w:rsidR="005C68CA" w:rsidRPr="000B2E6D" w:rsidRDefault="005C68CA" w:rsidP="005C68CA">
      <w:pPr>
        <w:jc w:val="both"/>
        <w:rPr>
          <w:rFonts w:ascii="Calibri" w:hAnsi="Calibri"/>
          <w:b/>
        </w:rPr>
      </w:pPr>
    </w:p>
    <w:p w14:paraId="10FBA0A8" w14:textId="02BB46D6" w:rsidR="005C68CA" w:rsidRPr="000B2E6D" w:rsidRDefault="005C68CA" w:rsidP="007F364C">
      <w:pPr>
        <w:pStyle w:val="ListParagraph"/>
        <w:numPr>
          <w:ilvl w:val="0"/>
          <w:numId w:val="12"/>
        </w:numPr>
        <w:jc w:val="both"/>
        <w:rPr>
          <w:rFonts w:ascii="Calibri" w:hAnsi="Calibri"/>
          <w:b/>
          <w:color w:val="1F497D" w:themeColor="text2"/>
        </w:rPr>
      </w:pPr>
      <w:r w:rsidRPr="000B2E6D">
        <w:rPr>
          <w:rFonts w:ascii="Calibri" w:hAnsi="Calibri"/>
          <w:b/>
          <w:color w:val="1F497D" w:themeColor="text2"/>
        </w:rPr>
        <w:t xml:space="preserve">Implementation of the </w:t>
      </w:r>
      <w:r w:rsidR="00247D34" w:rsidRPr="000B2E6D">
        <w:rPr>
          <w:rFonts w:ascii="Calibri" w:hAnsi="Calibri"/>
          <w:b/>
          <w:color w:val="1F497D" w:themeColor="text2"/>
        </w:rPr>
        <w:t xml:space="preserve">First </w:t>
      </w:r>
      <w:r w:rsidRPr="000B2E6D">
        <w:rPr>
          <w:rFonts w:ascii="Calibri" w:hAnsi="Calibri"/>
          <w:b/>
          <w:color w:val="1F497D" w:themeColor="text2"/>
        </w:rPr>
        <w:t>NAP by the Government, Development Agencies and Civil Society</w:t>
      </w:r>
    </w:p>
    <w:p w14:paraId="204F1856" w14:textId="77777777" w:rsidR="005C68CA" w:rsidRPr="000B2E6D" w:rsidRDefault="005C68CA" w:rsidP="005C68CA">
      <w:pPr>
        <w:jc w:val="both"/>
        <w:rPr>
          <w:rFonts w:ascii="Calibri" w:hAnsi="Calibri"/>
          <w:u w:val="single"/>
        </w:rPr>
      </w:pPr>
    </w:p>
    <w:p w14:paraId="156563C7" w14:textId="63361E38" w:rsidR="005C68CA" w:rsidRPr="000B2E6D" w:rsidRDefault="000F406A" w:rsidP="005C68CA">
      <w:pPr>
        <w:jc w:val="both"/>
        <w:rPr>
          <w:rFonts w:ascii="Calibri" w:hAnsi="Calibri"/>
          <w:b/>
          <w:color w:val="1F497D" w:themeColor="text2"/>
          <w:u w:val="single"/>
        </w:rPr>
      </w:pPr>
      <w:r w:rsidRPr="000B2E6D">
        <w:rPr>
          <w:rFonts w:ascii="Calibri" w:hAnsi="Calibri"/>
          <w:b/>
          <w:color w:val="1F497D" w:themeColor="text2"/>
          <w:u w:val="single"/>
        </w:rPr>
        <w:t xml:space="preserve">Government </w:t>
      </w:r>
    </w:p>
    <w:p w14:paraId="6DB1762C" w14:textId="77777777" w:rsidR="005C68CA" w:rsidRPr="000B2E6D" w:rsidRDefault="005C68CA" w:rsidP="005C68CA">
      <w:pPr>
        <w:jc w:val="both"/>
        <w:rPr>
          <w:rFonts w:ascii="Calibri" w:hAnsi="Calibri"/>
          <w:u w:val="single"/>
        </w:rPr>
      </w:pPr>
    </w:p>
    <w:p w14:paraId="315075FF" w14:textId="1545A042" w:rsidR="00C00356" w:rsidRPr="000B2E6D" w:rsidRDefault="00B97296" w:rsidP="00530F89">
      <w:pPr>
        <w:spacing w:line="360" w:lineRule="auto"/>
        <w:jc w:val="both"/>
        <w:rPr>
          <w:rFonts w:ascii="Calibri" w:hAnsi="Calibri"/>
        </w:rPr>
      </w:pPr>
      <w:r w:rsidRPr="000B2E6D">
        <w:rPr>
          <w:rFonts w:ascii="Calibri" w:hAnsi="Calibri"/>
        </w:rPr>
        <w:t xml:space="preserve">Several </w:t>
      </w:r>
      <w:r w:rsidRPr="000B2E6D">
        <w:rPr>
          <w:rFonts w:ascii="Calibri" w:hAnsi="Calibri"/>
          <w:b/>
          <w:color w:val="4F81BD" w:themeColor="accent1"/>
        </w:rPr>
        <w:t>constitutional</w:t>
      </w:r>
      <w:r w:rsidRPr="000B2E6D">
        <w:rPr>
          <w:rFonts w:ascii="Calibri" w:hAnsi="Calibri"/>
        </w:rPr>
        <w:t xml:space="preserve"> and </w:t>
      </w:r>
      <w:r w:rsidRPr="000B2E6D">
        <w:rPr>
          <w:rFonts w:ascii="Calibri" w:hAnsi="Calibri"/>
          <w:b/>
          <w:color w:val="4F81BD" w:themeColor="accent1"/>
        </w:rPr>
        <w:t xml:space="preserve">legal measures </w:t>
      </w:r>
      <w:r w:rsidR="005C68CA" w:rsidRPr="000B2E6D">
        <w:rPr>
          <w:rFonts w:ascii="Calibri" w:hAnsi="Calibri"/>
        </w:rPr>
        <w:t xml:space="preserve">contribute to the Government’s duty to implement </w:t>
      </w:r>
      <w:r w:rsidR="00B77924" w:rsidRPr="000B2E6D">
        <w:rPr>
          <w:rFonts w:ascii="Calibri" w:hAnsi="Calibri"/>
        </w:rPr>
        <w:t>SCR</w:t>
      </w:r>
      <w:r w:rsidR="005C68CA" w:rsidRPr="000B2E6D">
        <w:rPr>
          <w:rFonts w:ascii="Calibri" w:hAnsi="Calibri"/>
        </w:rPr>
        <w:t xml:space="preserve"> 1325. </w:t>
      </w:r>
      <w:r w:rsidR="00C00356" w:rsidRPr="000B2E6D">
        <w:rPr>
          <w:rFonts w:ascii="Calibri" w:hAnsi="Calibri"/>
        </w:rPr>
        <w:t xml:space="preserve">Despite these measures, there has been limited success in implementing the first NAP. As in the DRC, government initiatives must be understood against a context of </w:t>
      </w:r>
      <w:r w:rsidR="00C00356" w:rsidRPr="000B2E6D">
        <w:rPr>
          <w:rFonts w:ascii="Calibri" w:hAnsi="Calibri"/>
          <w:b/>
          <w:color w:val="4F81BD" w:themeColor="accent1"/>
        </w:rPr>
        <w:t>women’s low levels of political participation</w:t>
      </w:r>
      <w:r w:rsidR="00C00356" w:rsidRPr="000B2E6D">
        <w:rPr>
          <w:rFonts w:ascii="Calibri" w:hAnsi="Calibri"/>
          <w:color w:val="4F81BD" w:themeColor="accent1"/>
        </w:rPr>
        <w:t xml:space="preserve">, </w:t>
      </w:r>
      <w:r w:rsidR="00C00356" w:rsidRPr="000B2E6D">
        <w:rPr>
          <w:rFonts w:ascii="Calibri" w:hAnsi="Calibri"/>
          <w:b/>
          <w:color w:val="4F81BD" w:themeColor="accent1"/>
        </w:rPr>
        <w:t>and a</w:t>
      </w:r>
      <w:r w:rsidR="00C00356" w:rsidRPr="000B2E6D">
        <w:rPr>
          <w:rFonts w:ascii="Calibri" w:hAnsi="Calibri"/>
          <w:color w:val="4F81BD" w:themeColor="accent1"/>
        </w:rPr>
        <w:t xml:space="preserve"> </w:t>
      </w:r>
      <w:r w:rsidR="00C00356" w:rsidRPr="000B2E6D">
        <w:rPr>
          <w:rFonts w:ascii="Calibri" w:hAnsi="Calibri"/>
          <w:b/>
          <w:color w:val="4F81BD" w:themeColor="accent1"/>
        </w:rPr>
        <w:t>lack of access to justice for victims and survivors of SGBV</w:t>
      </w:r>
      <w:r w:rsidR="00C00356" w:rsidRPr="000B2E6D">
        <w:rPr>
          <w:rFonts w:ascii="Calibri" w:hAnsi="Calibri"/>
        </w:rPr>
        <w:t>.</w:t>
      </w:r>
    </w:p>
    <w:p w14:paraId="77D886AD" w14:textId="77777777" w:rsidR="00C00356" w:rsidRPr="000B2E6D" w:rsidRDefault="00C00356" w:rsidP="005C68CA">
      <w:pPr>
        <w:jc w:val="both"/>
        <w:rPr>
          <w:rFonts w:ascii="Calibri" w:hAnsi="Calibri"/>
        </w:rPr>
      </w:pPr>
    </w:p>
    <w:p w14:paraId="4C0F6E9E" w14:textId="450310E3" w:rsidR="005C68CA" w:rsidRPr="000B2E6D" w:rsidRDefault="005C68CA" w:rsidP="00530F89">
      <w:pPr>
        <w:spacing w:line="360" w:lineRule="auto"/>
        <w:jc w:val="both"/>
        <w:rPr>
          <w:rFonts w:ascii="Calibri" w:hAnsi="Calibri"/>
        </w:rPr>
      </w:pPr>
      <w:r w:rsidRPr="000B2E6D">
        <w:rPr>
          <w:rFonts w:ascii="Calibri" w:hAnsi="Calibri"/>
        </w:rPr>
        <w:t>At the</w:t>
      </w:r>
      <w:r w:rsidRPr="000B2E6D">
        <w:rPr>
          <w:rFonts w:ascii="Calibri" w:hAnsi="Calibri"/>
          <w:color w:val="4F81BD" w:themeColor="accent1"/>
        </w:rPr>
        <w:t xml:space="preserve"> </w:t>
      </w:r>
      <w:r w:rsidRPr="000B2E6D">
        <w:rPr>
          <w:rFonts w:ascii="Calibri" w:hAnsi="Calibri"/>
          <w:b/>
          <w:color w:val="4F81BD" w:themeColor="accent1"/>
        </w:rPr>
        <w:t>constitutional</w:t>
      </w:r>
      <w:r w:rsidRPr="000B2E6D">
        <w:rPr>
          <w:rFonts w:ascii="Calibri" w:hAnsi="Calibri"/>
        </w:rPr>
        <w:t xml:space="preserve"> level, there are prov</w:t>
      </w:r>
      <w:r w:rsidR="00B77924" w:rsidRPr="000B2E6D">
        <w:rPr>
          <w:rFonts w:ascii="Calibri" w:hAnsi="Calibri"/>
        </w:rPr>
        <w:t xml:space="preserve">isions </w:t>
      </w:r>
      <w:r w:rsidR="00C70E8B" w:rsidRPr="000B2E6D">
        <w:rPr>
          <w:rFonts w:ascii="Calibri" w:hAnsi="Calibri"/>
        </w:rPr>
        <w:t>on</w:t>
      </w:r>
      <w:r w:rsidR="00B77924" w:rsidRPr="000B2E6D">
        <w:rPr>
          <w:rFonts w:ascii="Calibri" w:hAnsi="Calibri"/>
        </w:rPr>
        <w:t xml:space="preserve"> equality in t</w:t>
      </w:r>
      <w:r w:rsidRPr="000B2E6D">
        <w:rPr>
          <w:rFonts w:ascii="Calibri" w:hAnsi="Calibri"/>
        </w:rPr>
        <w:t>he Constitution</w:t>
      </w:r>
      <w:r w:rsidR="00B77924" w:rsidRPr="000B2E6D">
        <w:rPr>
          <w:rFonts w:ascii="Calibri" w:hAnsi="Calibri"/>
        </w:rPr>
        <w:t>s</w:t>
      </w:r>
      <w:r w:rsidRPr="000B2E6D">
        <w:rPr>
          <w:rFonts w:ascii="Calibri" w:hAnsi="Calibri"/>
        </w:rPr>
        <w:t xml:space="preserve"> of</w:t>
      </w:r>
      <w:r w:rsidR="00B77924" w:rsidRPr="000B2E6D">
        <w:rPr>
          <w:rFonts w:ascii="Calibri" w:hAnsi="Calibri"/>
        </w:rPr>
        <w:t>:</w:t>
      </w:r>
      <w:r w:rsidRPr="000B2E6D">
        <w:rPr>
          <w:rFonts w:ascii="Calibri" w:hAnsi="Calibri"/>
        </w:rPr>
        <w:t xml:space="preserve"> </w:t>
      </w:r>
      <w:r w:rsidR="00E241BA" w:rsidRPr="000B2E6D">
        <w:rPr>
          <w:rFonts w:ascii="Calibri" w:hAnsi="Calibri"/>
        </w:rPr>
        <w:t>BiH</w:t>
      </w:r>
      <w:r w:rsidR="00B77924" w:rsidRPr="000B2E6D">
        <w:rPr>
          <w:rFonts w:ascii="Calibri" w:hAnsi="Calibri"/>
        </w:rPr>
        <w:t>;</w:t>
      </w:r>
      <w:r w:rsidRPr="000B2E6D">
        <w:rPr>
          <w:rFonts w:ascii="Calibri" w:hAnsi="Calibri"/>
        </w:rPr>
        <w:t xml:space="preserve"> the Federation of </w:t>
      </w:r>
      <w:r w:rsidR="00E241BA" w:rsidRPr="000B2E6D">
        <w:rPr>
          <w:rFonts w:ascii="Calibri" w:hAnsi="Calibri"/>
        </w:rPr>
        <w:t>BiH</w:t>
      </w:r>
      <w:r w:rsidR="00B77924" w:rsidRPr="000B2E6D">
        <w:rPr>
          <w:rFonts w:ascii="Calibri" w:hAnsi="Calibri"/>
        </w:rPr>
        <w:t>;</w:t>
      </w:r>
      <w:r w:rsidRPr="000B2E6D">
        <w:rPr>
          <w:rFonts w:ascii="Calibri" w:hAnsi="Calibri"/>
        </w:rPr>
        <w:t xml:space="preserve"> </w:t>
      </w:r>
      <w:r w:rsidR="00B77924" w:rsidRPr="000B2E6D">
        <w:rPr>
          <w:rFonts w:ascii="Calibri" w:hAnsi="Calibri"/>
        </w:rPr>
        <w:t xml:space="preserve">and </w:t>
      </w:r>
      <w:r w:rsidRPr="000B2E6D">
        <w:rPr>
          <w:rFonts w:ascii="Calibri" w:hAnsi="Calibri"/>
        </w:rPr>
        <w:t>the Republika Srpska</w:t>
      </w:r>
      <w:r w:rsidR="00B77924" w:rsidRPr="000B2E6D">
        <w:rPr>
          <w:rFonts w:ascii="Calibri" w:hAnsi="Calibri"/>
        </w:rPr>
        <w:t>;</w:t>
      </w:r>
      <w:r w:rsidR="00DC5DE2" w:rsidRPr="000B2E6D">
        <w:rPr>
          <w:rFonts w:ascii="Calibri" w:hAnsi="Calibri"/>
        </w:rPr>
        <w:t xml:space="preserve"> as well as</w:t>
      </w:r>
      <w:r w:rsidRPr="000B2E6D">
        <w:rPr>
          <w:rFonts w:ascii="Calibri" w:hAnsi="Calibri"/>
        </w:rPr>
        <w:t xml:space="preserve"> the Statute of Brčko District. However, </w:t>
      </w:r>
      <w:r w:rsidR="00C70E8B" w:rsidRPr="000B2E6D">
        <w:rPr>
          <w:rFonts w:ascii="Calibri" w:hAnsi="Calibri"/>
        </w:rPr>
        <w:t>none of these documents</w:t>
      </w:r>
      <w:r w:rsidRPr="000B2E6D">
        <w:rPr>
          <w:rFonts w:ascii="Calibri" w:hAnsi="Calibri"/>
        </w:rPr>
        <w:t xml:space="preserve"> guarantee specific representation of sexes.</w:t>
      </w:r>
      <w:r w:rsidRPr="000B2E6D">
        <w:rPr>
          <w:rStyle w:val="FootnoteReference"/>
          <w:rFonts w:ascii="Calibri" w:hAnsi="Calibri"/>
          <w:lang w:val="hr-HR"/>
        </w:rPr>
        <w:footnoteReference w:id="212"/>
      </w:r>
      <w:r w:rsidRPr="000B2E6D">
        <w:rPr>
          <w:rFonts w:ascii="Calibri" w:hAnsi="Calibri"/>
        </w:rPr>
        <w:t xml:space="preserve"> The Law on Gender Equality requires that members of the less represented gender must make up at least 40% of the</w:t>
      </w:r>
      <w:r w:rsidR="00C70E8B" w:rsidRPr="000B2E6D">
        <w:rPr>
          <w:rFonts w:ascii="Calibri" w:hAnsi="Calibri"/>
        </w:rPr>
        <w:t xml:space="preserve"> members of public bodies (Article </w:t>
      </w:r>
      <w:r w:rsidRPr="000B2E6D">
        <w:rPr>
          <w:rFonts w:ascii="Calibri" w:hAnsi="Calibri"/>
        </w:rPr>
        <w:t xml:space="preserve">20). The Election Law of </w:t>
      </w:r>
      <w:r w:rsidR="00E241BA" w:rsidRPr="000B2E6D">
        <w:rPr>
          <w:rFonts w:ascii="Calibri" w:hAnsi="Calibri"/>
        </w:rPr>
        <w:t>BiH</w:t>
      </w:r>
      <w:r w:rsidRPr="000B2E6D">
        <w:rPr>
          <w:rFonts w:ascii="Calibri" w:hAnsi="Calibri"/>
        </w:rPr>
        <w:t xml:space="preserve"> also requires that there is one member of the less represented sex in the first two candidates on the electoral ballot, two in the first five, and three in the first eight (Art</w:t>
      </w:r>
      <w:r w:rsidR="00C70E8B" w:rsidRPr="000B2E6D">
        <w:rPr>
          <w:rFonts w:ascii="Calibri" w:hAnsi="Calibri"/>
        </w:rPr>
        <w:t>icle</w:t>
      </w:r>
      <w:r w:rsidRPr="000B2E6D">
        <w:rPr>
          <w:rFonts w:ascii="Calibri" w:hAnsi="Calibri"/>
        </w:rPr>
        <w:t xml:space="preserve"> 4.19)</w:t>
      </w:r>
      <w:r w:rsidR="00BD66EF" w:rsidRPr="000B2E6D">
        <w:rPr>
          <w:rFonts w:ascii="Calibri" w:hAnsi="Calibri"/>
        </w:rPr>
        <w:t>. The Election and Gender Equality laws have been harmonized to require women to</w:t>
      </w:r>
      <w:r w:rsidRPr="000B2E6D">
        <w:rPr>
          <w:rFonts w:ascii="Calibri" w:hAnsi="Calibri"/>
        </w:rPr>
        <w:t xml:space="preserve"> constitute at least 40% of the candidates on the list. Other initiatives include the Federation Law on Fundamentals of Social </w:t>
      </w:r>
      <w:r w:rsidRPr="000B2E6D">
        <w:rPr>
          <w:rFonts w:ascii="Calibri" w:hAnsi="Calibri"/>
        </w:rPr>
        <w:lastRenderedPageBreak/>
        <w:t xml:space="preserve">Protection, Protection of Civilian Victims of War and Protection of Families with Children and the Republika Srpska Law on the Protection of Civilian Victims of War. </w:t>
      </w:r>
    </w:p>
    <w:p w14:paraId="07138E53" w14:textId="77777777" w:rsidR="005C68CA" w:rsidRPr="000B2E6D" w:rsidRDefault="005C68CA" w:rsidP="005C68CA">
      <w:pPr>
        <w:jc w:val="both"/>
        <w:rPr>
          <w:rFonts w:ascii="Calibri" w:hAnsi="Calibri"/>
        </w:rPr>
      </w:pPr>
    </w:p>
    <w:p w14:paraId="38A4C406" w14:textId="6E825773" w:rsidR="005C68CA" w:rsidRPr="000B2E6D" w:rsidRDefault="00C00356" w:rsidP="00530F89">
      <w:pPr>
        <w:spacing w:line="360" w:lineRule="auto"/>
        <w:jc w:val="both"/>
        <w:rPr>
          <w:rFonts w:ascii="Calibri" w:hAnsi="Calibri"/>
        </w:rPr>
      </w:pPr>
      <w:r w:rsidRPr="000B2E6D">
        <w:rPr>
          <w:rFonts w:ascii="Calibri" w:hAnsi="Calibri"/>
          <w:b/>
          <w:color w:val="4F81BD" w:themeColor="accent1"/>
        </w:rPr>
        <w:t>W</w:t>
      </w:r>
      <w:r w:rsidR="00B97296" w:rsidRPr="000B2E6D">
        <w:rPr>
          <w:rFonts w:ascii="Calibri" w:hAnsi="Calibri"/>
          <w:b/>
          <w:color w:val="4F81BD" w:themeColor="accent1"/>
        </w:rPr>
        <w:t>omen’s</w:t>
      </w:r>
      <w:r w:rsidR="00C47E1B" w:rsidRPr="000B2E6D">
        <w:rPr>
          <w:rFonts w:ascii="Calibri" w:hAnsi="Calibri"/>
          <w:b/>
          <w:color w:val="4F81BD" w:themeColor="accent1"/>
        </w:rPr>
        <w:t xml:space="preserve"> low level of</w:t>
      </w:r>
      <w:r w:rsidR="00B97296" w:rsidRPr="000B2E6D">
        <w:rPr>
          <w:rFonts w:ascii="Calibri" w:hAnsi="Calibri"/>
          <w:b/>
          <w:color w:val="4F81BD" w:themeColor="accent1"/>
        </w:rPr>
        <w:t xml:space="preserve"> participation in political and public life</w:t>
      </w:r>
      <w:r w:rsidR="00B97296" w:rsidRPr="000B2E6D">
        <w:rPr>
          <w:rFonts w:ascii="Calibri" w:hAnsi="Calibri"/>
        </w:rPr>
        <w:t xml:space="preserve"> </w:t>
      </w:r>
      <w:r w:rsidR="00C47E1B" w:rsidRPr="000B2E6D">
        <w:rPr>
          <w:rFonts w:ascii="Calibri" w:hAnsi="Calibri"/>
        </w:rPr>
        <w:t xml:space="preserve">in BiH </w:t>
      </w:r>
      <w:r w:rsidR="00B97296" w:rsidRPr="000B2E6D">
        <w:rPr>
          <w:rFonts w:ascii="Calibri" w:hAnsi="Calibri"/>
        </w:rPr>
        <w:t xml:space="preserve">echoes the situation in the DRC, where women’s social </w:t>
      </w:r>
      <w:r w:rsidR="00C47E1B" w:rsidRPr="000B2E6D">
        <w:rPr>
          <w:rFonts w:ascii="Calibri" w:hAnsi="Calibri"/>
        </w:rPr>
        <w:t>exclusion</w:t>
      </w:r>
      <w:r w:rsidR="00B97296" w:rsidRPr="000B2E6D">
        <w:rPr>
          <w:rFonts w:ascii="Calibri" w:hAnsi="Calibri"/>
        </w:rPr>
        <w:t xml:space="preserve"> due to conflict-related S</w:t>
      </w:r>
      <w:r w:rsidR="00C47E1B" w:rsidRPr="000B2E6D">
        <w:rPr>
          <w:rFonts w:ascii="Calibri" w:hAnsi="Calibri"/>
        </w:rPr>
        <w:t>GBV compounds</w:t>
      </w:r>
      <w:r w:rsidR="000A1EA1" w:rsidRPr="000B2E6D">
        <w:rPr>
          <w:rFonts w:ascii="Calibri" w:hAnsi="Calibri"/>
        </w:rPr>
        <w:t xml:space="preserve"> their invisibility in politics</w:t>
      </w:r>
      <w:r w:rsidR="00C47E1B" w:rsidRPr="000B2E6D">
        <w:rPr>
          <w:rFonts w:ascii="Calibri" w:hAnsi="Calibri"/>
        </w:rPr>
        <w:t xml:space="preserve">. </w:t>
      </w:r>
      <w:r w:rsidR="005C68CA" w:rsidRPr="000B2E6D">
        <w:rPr>
          <w:rFonts w:ascii="Calibri" w:hAnsi="Calibri"/>
        </w:rPr>
        <w:t xml:space="preserve">Currently women </w:t>
      </w:r>
      <w:r w:rsidR="00C47E1B" w:rsidRPr="000B2E6D">
        <w:rPr>
          <w:rFonts w:ascii="Calibri" w:hAnsi="Calibri"/>
        </w:rPr>
        <w:t>constitute</w:t>
      </w:r>
      <w:r w:rsidR="005C68CA" w:rsidRPr="000B2E6D">
        <w:rPr>
          <w:rFonts w:ascii="Calibri" w:hAnsi="Calibri"/>
        </w:rPr>
        <w:t xml:space="preserve"> only 21.4% of </w:t>
      </w:r>
      <w:r w:rsidR="00C47E1B" w:rsidRPr="000B2E6D">
        <w:rPr>
          <w:rFonts w:ascii="Calibri" w:hAnsi="Calibri"/>
        </w:rPr>
        <w:t>parliamentarians in BiH.</w:t>
      </w:r>
      <w:r w:rsidR="005C68CA" w:rsidRPr="000B2E6D">
        <w:rPr>
          <w:rStyle w:val="FootnoteReference"/>
          <w:rFonts w:ascii="Calibri" w:hAnsi="Calibri"/>
        </w:rPr>
        <w:footnoteReference w:id="213"/>
      </w:r>
      <w:r w:rsidR="00C47E1B" w:rsidRPr="000B2E6D">
        <w:rPr>
          <w:rFonts w:ascii="Calibri" w:hAnsi="Calibri"/>
        </w:rPr>
        <w:t xml:space="preserve"> </w:t>
      </w:r>
      <w:r w:rsidR="005C68CA" w:rsidRPr="000B2E6D">
        <w:rPr>
          <w:rFonts w:ascii="Calibri" w:hAnsi="Calibri"/>
        </w:rPr>
        <w:t xml:space="preserve">Women are also underrepresented in executive bodies. </w:t>
      </w:r>
      <w:r w:rsidR="00C47E1B" w:rsidRPr="000B2E6D">
        <w:rPr>
          <w:rFonts w:ascii="Calibri" w:hAnsi="Calibri"/>
        </w:rPr>
        <w:t>While</w:t>
      </w:r>
      <w:r w:rsidR="005C68CA" w:rsidRPr="000B2E6D">
        <w:rPr>
          <w:rFonts w:ascii="Calibri" w:hAnsi="Calibri"/>
        </w:rPr>
        <w:t xml:space="preserve"> women </w:t>
      </w:r>
      <w:r w:rsidR="00C47E1B" w:rsidRPr="000B2E6D">
        <w:rPr>
          <w:rFonts w:ascii="Calibri" w:hAnsi="Calibri"/>
        </w:rPr>
        <w:t>represents</w:t>
      </w:r>
      <w:r w:rsidR="005C68CA" w:rsidRPr="000B2E6D">
        <w:rPr>
          <w:rFonts w:ascii="Calibri" w:hAnsi="Calibri"/>
        </w:rPr>
        <w:t xml:space="preserve"> around 40% of employees in the Ministry of </w:t>
      </w:r>
      <w:r w:rsidR="00806673" w:rsidRPr="000B2E6D">
        <w:rPr>
          <w:rFonts w:ascii="Calibri" w:hAnsi="Calibri"/>
        </w:rPr>
        <w:t>Defence</w:t>
      </w:r>
      <w:r w:rsidR="005C68CA" w:rsidRPr="000B2E6D">
        <w:rPr>
          <w:rFonts w:ascii="Calibri" w:hAnsi="Calibri"/>
        </w:rPr>
        <w:t>, only one woman holds the position of a deputy minister, and all other key positions are filled by men.</w:t>
      </w:r>
      <w:r w:rsidR="005C68CA" w:rsidRPr="000B2E6D">
        <w:rPr>
          <w:rStyle w:val="FootnoteReference"/>
          <w:rFonts w:ascii="Calibri" w:hAnsi="Calibri"/>
        </w:rPr>
        <w:footnoteReference w:id="214"/>
      </w:r>
      <w:r w:rsidR="005C68CA" w:rsidRPr="000B2E6D">
        <w:rPr>
          <w:rFonts w:ascii="Calibri" w:hAnsi="Calibri"/>
        </w:rPr>
        <w:t xml:space="preserve"> Women </w:t>
      </w:r>
      <w:r w:rsidR="00C47E1B" w:rsidRPr="000B2E6D">
        <w:rPr>
          <w:rFonts w:ascii="Calibri" w:hAnsi="Calibri"/>
        </w:rPr>
        <w:t>occupy</w:t>
      </w:r>
      <w:r w:rsidR="005C68CA" w:rsidRPr="000B2E6D">
        <w:rPr>
          <w:rFonts w:ascii="Calibri" w:hAnsi="Calibri"/>
        </w:rPr>
        <w:t xml:space="preserve"> 26.4% of leadership</w:t>
      </w:r>
      <w:r w:rsidR="0017720C" w:rsidRPr="000B2E6D">
        <w:rPr>
          <w:rFonts w:ascii="Calibri" w:hAnsi="Calibri"/>
        </w:rPr>
        <w:t xml:space="preserve"> </w:t>
      </w:r>
      <w:r w:rsidR="00C47E1B" w:rsidRPr="000B2E6D">
        <w:rPr>
          <w:rFonts w:ascii="Calibri" w:hAnsi="Calibri"/>
        </w:rPr>
        <w:t>positions in the p</w:t>
      </w:r>
      <w:r w:rsidR="005C68CA" w:rsidRPr="000B2E6D">
        <w:rPr>
          <w:rFonts w:ascii="Calibri" w:hAnsi="Calibri"/>
        </w:rPr>
        <w:t>olice force.</w:t>
      </w:r>
      <w:r w:rsidR="005C68CA" w:rsidRPr="000B2E6D">
        <w:rPr>
          <w:rStyle w:val="FootnoteReference"/>
          <w:rFonts w:ascii="Calibri" w:hAnsi="Calibri"/>
        </w:rPr>
        <w:footnoteReference w:id="215"/>
      </w:r>
      <w:r w:rsidR="005C68CA" w:rsidRPr="000B2E6D">
        <w:rPr>
          <w:rFonts w:ascii="Calibri" w:hAnsi="Calibri"/>
        </w:rPr>
        <w:t xml:space="preserve"> Women make up only 5% of the armed forces personnel,</w:t>
      </w:r>
      <w:r w:rsidR="005C68CA" w:rsidRPr="000B2E6D">
        <w:rPr>
          <w:rStyle w:val="FootnoteReference"/>
          <w:rFonts w:ascii="Calibri" w:hAnsi="Calibri"/>
        </w:rPr>
        <w:footnoteReference w:id="216"/>
      </w:r>
      <w:r w:rsidR="005C68CA" w:rsidRPr="000B2E6D">
        <w:rPr>
          <w:rFonts w:ascii="Calibri" w:hAnsi="Calibri"/>
        </w:rPr>
        <w:t xml:space="preserve"> and </w:t>
      </w:r>
      <w:r w:rsidR="00BD66EF" w:rsidRPr="000B2E6D">
        <w:rPr>
          <w:rFonts w:ascii="Calibri" w:hAnsi="Calibri"/>
        </w:rPr>
        <w:t>constituted</w:t>
      </w:r>
      <w:r w:rsidR="005C68CA" w:rsidRPr="000B2E6D">
        <w:rPr>
          <w:rFonts w:ascii="Calibri" w:hAnsi="Calibri"/>
        </w:rPr>
        <w:t xml:space="preserve"> </w:t>
      </w:r>
      <w:r w:rsidR="00BD66EF" w:rsidRPr="000B2E6D">
        <w:rPr>
          <w:rFonts w:ascii="Calibri" w:hAnsi="Calibri"/>
        </w:rPr>
        <w:t xml:space="preserve">just </w:t>
      </w:r>
      <w:r w:rsidR="005C68CA" w:rsidRPr="000B2E6D">
        <w:rPr>
          <w:rFonts w:ascii="Calibri" w:hAnsi="Calibri"/>
        </w:rPr>
        <w:t>1.3%-6% of peacekeeping forces deployed between 2000 and 2010.</w:t>
      </w:r>
      <w:r w:rsidR="005C68CA" w:rsidRPr="000B2E6D">
        <w:rPr>
          <w:rStyle w:val="FootnoteReference"/>
          <w:rFonts w:ascii="Calibri" w:hAnsi="Calibri"/>
        </w:rPr>
        <w:footnoteReference w:id="217"/>
      </w:r>
    </w:p>
    <w:p w14:paraId="2400E8A2" w14:textId="77777777" w:rsidR="005C68CA" w:rsidRPr="000B2E6D" w:rsidRDefault="005C68CA" w:rsidP="005C68CA">
      <w:pPr>
        <w:jc w:val="both"/>
        <w:rPr>
          <w:rFonts w:ascii="Calibri" w:hAnsi="Calibri"/>
        </w:rPr>
      </w:pPr>
    </w:p>
    <w:p w14:paraId="671DC0FD" w14:textId="11C8B1EE" w:rsidR="000B2E6D" w:rsidRDefault="00C00356" w:rsidP="004671D4">
      <w:pPr>
        <w:spacing w:line="360" w:lineRule="auto"/>
        <w:jc w:val="both"/>
        <w:rPr>
          <w:rFonts w:ascii="Calibri" w:hAnsi="Calibri"/>
        </w:rPr>
      </w:pPr>
      <w:r w:rsidRPr="000B2E6D">
        <w:rPr>
          <w:rFonts w:ascii="Calibri" w:hAnsi="Calibri"/>
        </w:rPr>
        <w:t xml:space="preserve">In BiH, victims and survivors of </w:t>
      </w:r>
      <w:r w:rsidRPr="000B2E6D">
        <w:rPr>
          <w:rFonts w:ascii="Calibri" w:hAnsi="Calibri"/>
          <w:b/>
          <w:color w:val="4F81BD" w:themeColor="accent1"/>
        </w:rPr>
        <w:t>SGBV</w:t>
      </w:r>
      <w:r w:rsidRPr="000B2E6D">
        <w:rPr>
          <w:rFonts w:ascii="Calibri" w:hAnsi="Calibri"/>
        </w:rPr>
        <w:t xml:space="preserve"> face discrimination </w:t>
      </w:r>
      <w:r w:rsidR="007D4A82" w:rsidRPr="000B2E6D">
        <w:rPr>
          <w:rFonts w:ascii="Calibri" w:hAnsi="Calibri"/>
        </w:rPr>
        <w:t>due to fragmented and inconsistent government policies</w:t>
      </w:r>
      <w:r w:rsidRPr="000B2E6D">
        <w:rPr>
          <w:rFonts w:ascii="Calibri" w:hAnsi="Calibri"/>
        </w:rPr>
        <w:t xml:space="preserve">, while </w:t>
      </w:r>
      <w:r w:rsidRPr="000B2E6D">
        <w:rPr>
          <w:rFonts w:ascii="Calibri" w:hAnsi="Calibri"/>
          <w:b/>
          <w:color w:val="4F81BD" w:themeColor="accent1"/>
        </w:rPr>
        <w:t>trafficking</w:t>
      </w:r>
      <w:r w:rsidRPr="000B2E6D">
        <w:rPr>
          <w:rFonts w:ascii="Calibri" w:hAnsi="Calibri"/>
          <w:color w:val="4F81BD" w:themeColor="accent1"/>
        </w:rPr>
        <w:t xml:space="preserve"> </w:t>
      </w:r>
      <w:r w:rsidRPr="000B2E6D">
        <w:rPr>
          <w:rFonts w:ascii="Calibri" w:hAnsi="Calibri"/>
        </w:rPr>
        <w:t xml:space="preserve">and </w:t>
      </w:r>
      <w:r w:rsidRPr="000B2E6D">
        <w:rPr>
          <w:rFonts w:ascii="Calibri" w:hAnsi="Calibri"/>
          <w:b/>
          <w:color w:val="4F81BD" w:themeColor="accent1"/>
        </w:rPr>
        <w:t>forced marriage</w:t>
      </w:r>
      <w:r w:rsidR="00681A7E" w:rsidRPr="000B2E6D">
        <w:rPr>
          <w:rFonts w:ascii="Calibri" w:hAnsi="Calibri"/>
          <w:b/>
          <w:color w:val="4F81BD" w:themeColor="accent1"/>
        </w:rPr>
        <w:t>s</w:t>
      </w:r>
      <w:r w:rsidRPr="000B2E6D">
        <w:rPr>
          <w:rFonts w:ascii="Calibri" w:hAnsi="Calibri"/>
          <w:color w:val="4F81BD" w:themeColor="accent1"/>
        </w:rPr>
        <w:t xml:space="preserve"> </w:t>
      </w:r>
      <w:r w:rsidRPr="000B2E6D">
        <w:rPr>
          <w:rFonts w:ascii="Calibri" w:hAnsi="Calibri"/>
        </w:rPr>
        <w:t xml:space="preserve">are </w:t>
      </w:r>
      <w:r w:rsidR="00BD66EF" w:rsidRPr="000B2E6D">
        <w:rPr>
          <w:rFonts w:ascii="Calibri" w:hAnsi="Calibri"/>
        </w:rPr>
        <w:t xml:space="preserve">among </w:t>
      </w:r>
      <w:r w:rsidRPr="000B2E6D">
        <w:rPr>
          <w:rFonts w:ascii="Calibri" w:hAnsi="Calibri"/>
        </w:rPr>
        <w:t xml:space="preserve">persistent gender-based crimes. </w:t>
      </w:r>
      <w:r w:rsidR="00681A7E" w:rsidRPr="000B2E6D">
        <w:rPr>
          <w:rFonts w:ascii="Calibri" w:hAnsi="Calibri"/>
        </w:rPr>
        <w:t>Women and girls affected by SGBV face different levels of protection depending on the entity responsible for providing basic services. In Republika Srpska, survivors do not have an independent victim of war status and must prove 60% of bodily injury to access social services including income support. In the Federation of BiH the 60% threshold does not apply, but discrimination persists regarding the treatment of survivors in terms of rehabilitation and restitution compared to war veterans.</w:t>
      </w:r>
      <w:r w:rsidR="00681A7E" w:rsidRPr="000B2E6D">
        <w:rPr>
          <w:rStyle w:val="FootnoteReference"/>
          <w:rFonts w:ascii="Calibri" w:hAnsi="Calibri"/>
        </w:rPr>
        <w:footnoteReference w:id="218"/>
      </w:r>
      <w:r w:rsidR="00681A7E" w:rsidRPr="000B2E6D">
        <w:rPr>
          <w:rFonts w:ascii="Calibri" w:hAnsi="Calibri"/>
        </w:rPr>
        <w:t xml:space="preserve">  </w:t>
      </w:r>
      <w:r w:rsidR="00E241BA" w:rsidRPr="000B2E6D">
        <w:rPr>
          <w:rFonts w:ascii="Calibri" w:hAnsi="Calibri"/>
        </w:rPr>
        <w:t>BiH</w:t>
      </w:r>
      <w:r w:rsidR="005C68CA" w:rsidRPr="000B2E6D">
        <w:rPr>
          <w:rFonts w:ascii="Calibri" w:hAnsi="Calibri"/>
        </w:rPr>
        <w:t xml:space="preserve"> </w:t>
      </w:r>
      <w:r w:rsidR="00AE57C8" w:rsidRPr="000B2E6D">
        <w:rPr>
          <w:rFonts w:ascii="Calibri" w:hAnsi="Calibri"/>
        </w:rPr>
        <w:t>is</w:t>
      </w:r>
      <w:r w:rsidR="005C68CA" w:rsidRPr="000B2E6D">
        <w:rPr>
          <w:rFonts w:ascii="Calibri" w:hAnsi="Calibri"/>
        </w:rPr>
        <w:t xml:space="preserve"> </w:t>
      </w:r>
      <w:r w:rsidR="00BD66EF" w:rsidRPr="000B2E6D">
        <w:rPr>
          <w:rFonts w:ascii="Calibri" w:hAnsi="Calibri"/>
        </w:rPr>
        <w:t xml:space="preserve">also </w:t>
      </w:r>
      <w:r w:rsidR="005C68CA" w:rsidRPr="000B2E6D">
        <w:rPr>
          <w:rFonts w:ascii="Calibri" w:hAnsi="Calibri"/>
        </w:rPr>
        <w:t>an origin and destination country for trafficking.</w:t>
      </w:r>
      <w:r w:rsidRPr="000B2E6D">
        <w:rPr>
          <w:rStyle w:val="FootnoteReference"/>
          <w:rFonts w:ascii="Calibri" w:hAnsi="Calibri"/>
        </w:rPr>
        <w:footnoteReference w:id="219"/>
      </w:r>
      <w:r w:rsidR="005C68CA" w:rsidRPr="000B2E6D">
        <w:rPr>
          <w:rFonts w:ascii="Calibri" w:hAnsi="Calibri"/>
        </w:rPr>
        <w:t xml:space="preserve"> </w:t>
      </w:r>
      <w:r w:rsidRPr="000B2E6D">
        <w:rPr>
          <w:rFonts w:ascii="Calibri" w:hAnsi="Calibri"/>
        </w:rPr>
        <w:t xml:space="preserve">As noted by the CEDAW Committee and </w:t>
      </w:r>
      <w:r w:rsidR="007D4A82" w:rsidRPr="000B2E6D">
        <w:rPr>
          <w:rFonts w:ascii="Calibri" w:hAnsi="Calibri"/>
        </w:rPr>
        <w:t>affirmed</w:t>
      </w:r>
      <w:r w:rsidRPr="000B2E6D">
        <w:rPr>
          <w:rFonts w:ascii="Calibri" w:hAnsi="Calibri"/>
        </w:rPr>
        <w:t xml:space="preserve"> in the new NAP, BiH</w:t>
      </w:r>
      <w:r w:rsidR="005C68CA" w:rsidRPr="000B2E6D">
        <w:rPr>
          <w:rFonts w:ascii="Calibri" w:hAnsi="Calibri"/>
        </w:rPr>
        <w:t xml:space="preserve"> is </w:t>
      </w:r>
      <w:r w:rsidRPr="000B2E6D">
        <w:rPr>
          <w:rFonts w:ascii="Calibri" w:hAnsi="Calibri"/>
        </w:rPr>
        <w:t>yet to comply</w:t>
      </w:r>
      <w:r w:rsidR="005C68CA" w:rsidRPr="000B2E6D">
        <w:rPr>
          <w:rFonts w:ascii="Calibri" w:hAnsi="Calibri"/>
        </w:rPr>
        <w:t xml:space="preserve"> with its international obligations </w:t>
      </w:r>
      <w:r w:rsidR="007D4A82" w:rsidRPr="000B2E6D">
        <w:rPr>
          <w:rFonts w:ascii="Calibri" w:hAnsi="Calibri"/>
        </w:rPr>
        <w:t>on trafficking. T</w:t>
      </w:r>
      <w:r w:rsidR="005C68CA" w:rsidRPr="000B2E6D">
        <w:rPr>
          <w:rFonts w:ascii="Calibri" w:hAnsi="Calibri"/>
        </w:rPr>
        <w:t xml:space="preserve">here are no statutes criminalizing trafficking, </w:t>
      </w:r>
      <w:r w:rsidR="007D4A82" w:rsidRPr="000B2E6D">
        <w:rPr>
          <w:rFonts w:ascii="Calibri" w:hAnsi="Calibri"/>
        </w:rPr>
        <w:t>which</w:t>
      </w:r>
      <w:r w:rsidRPr="000B2E6D">
        <w:rPr>
          <w:rFonts w:ascii="Calibri" w:hAnsi="Calibri"/>
        </w:rPr>
        <w:t xml:space="preserve"> has been addressed via</w:t>
      </w:r>
      <w:r w:rsidR="005C68CA" w:rsidRPr="000B2E6D">
        <w:rPr>
          <w:rFonts w:ascii="Calibri" w:hAnsi="Calibri"/>
        </w:rPr>
        <w:t xml:space="preserve"> amendment</w:t>
      </w:r>
      <w:r w:rsidRPr="000B2E6D">
        <w:rPr>
          <w:rFonts w:ascii="Calibri" w:hAnsi="Calibri"/>
        </w:rPr>
        <w:t>s</w:t>
      </w:r>
      <w:r w:rsidR="007D4A82" w:rsidRPr="000B2E6D">
        <w:rPr>
          <w:rFonts w:ascii="Calibri" w:hAnsi="Calibri"/>
        </w:rPr>
        <w:t xml:space="preserve"> to anti-prostitution laws, exacerbating the fragmentation of government efforts to address the problem</w:t>
      </w:r>
      <w:r w:rsidRPr="000B2E6D">
        <w:rPr>
          <w:rFonts w:ascii="Calibri" w:hAnsi="Calibri"/>
        </w:rPr>
        <w:t xml:space="preserve">. </w:t>
      </w:r>
      <w:r w:rsidR="00681A7E" w:rsidRPr="000B2E6D">
        <w:rPr>
          <w:rFonts w:ascii="Calibri" w:hAnsi="Calibri"/>
        </w:rPr>
        <w:t>The additional and interrelated problem of forced marriage is becoming more frequent for minors, especially Roma children.</w:t>
      </w:r>
      <w:r w:rsidR="00681A7E" w:rsidRPr="000B2E6D">
        <w:rPr>
          <w:rStyle w:val="FootnoteReference"/>
          <w:rFonts w:ascii="Calibri" w:hAnsi="Calibri"/>
        </w:rPr>
        <w:footnoteReference w:id="220"/>
      </w:r>
    </w:p>
    <w:p w14:paraId="7B8194FB" w14:textId="77777777" w:rsidR="000B2E6D" w:rsidRPr="000B2E6D" w:rsidRDefault="000B2E6D" w:rsidP="005C68CA">
      <w:pPr>
        <w:jc w:val="both"/>
        <w:rPr>
          <w:rFonts w:ascii="Calibri" w:hAnsi="Calibri"/>
        </w:rPr>
      </w:pPr>
    </w:p>
    <w:p w14:paraId="5788D03F" w14:textId="28E08FB4" w:rsidR="005C68CA" w:rsidRPr="000B2E6D" w:rsidRDefault="00681A7E" w:rsidP="005C68CA">
      <w:pPr>
        <w:jc w:val="both"/>
        <w:rPr>
          <w:rFonts w:ascii="Calibri" w:hAnsi="Calibri"/>
          <w:b/>
          <w:color w:val="1F497D" w:themeColor="text2"/>
          <w:u w:val="single"/>
        </w:rPr>
      </w:pPr>
      <w:r w:rsidRPr="000B2E6D">
        <w:rPr>
          <w:rFonts w:ascii="Calibri" w:hAnsi="Calibri"/>
          <w:b/>
          <w:color w:val="1F497D" w:themeColor="text2"/>
          <w:u w:val="single"/>
        </w:rPr>
        <w:t xml:space="preserve">Development Agencies and </w:t>
      </w:r>
      <w:r w:rsidR="005C68CA" w:rsidRPr="000B2E6D">
        <w:rPr>
          <w:rFonts w:ascii="Calibri" w:hAnsi="Calibri"/>
          <w:b/>
          <w:color w:val="1F497D" w:themeColor="text2"/>
          <w:u w:val="single"/>
        </w:rPr>
        <w:t>Civil Society</w:t>
      </w:r>
    </w:p>
    <w:p w14:paraId="47AF4DF2" w14:textId="77777777" w:rsidR="000B2E6D" w:rsidRDefault="000B2E6D" w:rsidP="00530F89">
      <w:pPr>
        <w:spacing w:line="360" w:lineRule="auto"/>
        <w:jc w:val="both"/>
        <w:rPr>
          <w:rFonts w:ascii="Calibri" w:hAnsi="Calibri"/>
        </w:rPr>
      </w:pPr>
    </w:p>
    <w:p w14:paraId="4C9DB26C" w14:textId="751A5826" w:rsidR="006B02AF" w:rsidRPr="000B2E6D" w:rsidRDefault="007D4A82" w:rsidP="00530F89">
      <w:pPr>
        <w:spacing w:line="360" w:lineRule="auto"/>
        <w:jc w:val="both"/>
        <w:rPr>
          <w:rFonts w:ascii="Calibri" w:hAnsi="Calibri"/>
        </w:rPr>
      </w:pPr>
      <w:r w:rsidRPr="000B2E6D">
        <w:rPr>
          <w:rFonts w:ascii="Calibri" w:hAnsi="Calibri"/>
        </w:rPr>
        <w:t xml:space="preserve">Development agencies and civil society are at the </w:t>
      </w:r>
      <w:r w:rsidRPr="000B2E6D">
        <w:rPr>
          <w:rFonts w:ascii="Calibri" w:hAnsi="Calibri"/>
          <w:b/>
          <w:color w:val="4F81BD" w:themeColor="accent1"/>
        </w:rPr>
        <w:t>forefront of tackling conflict-related SGBV</w:t>
      </w:r>
      <w:r w:rsidRPr="000B2E6D">
        <w:rPr>
          <w:rFonts w:ascii="Calibri" w:hAnsi="Calibri"/>
        </w:rPr>
        <w:t xml:space="preserve">. </w:t>
      </w:r>
      <w:r w:rsidR="00944E2A" w:rsidRPr="000B2E6D">
        <w:rPr>
          <w:rFonts w:ascii="Calibri" w:hAnsi="Calibri"/>
        </w:rPr>
        <w:t xml:space="preserve">The Organization for Security and Cooperation in Europe (OSCE) </w:t>
      </w:r>
      <w:r w:rsidR="00830AFB" w:rsidRPr="000B2E6D">
        <w:rPr>
          <w:rFonts w:ascii="Calibri" w:hAnsi="Calibri"/>
        </w:rPr>
        <w:t xml:space="preserve">Mission to BiH </w:t>
      </w:r>
      <w:r w:rsidR="00944E2A" w:rsidRPr="000B2E6D">
        <w:rPr>
          <w:rFonts w:ascii="Calibri" w:hAnsi="Calibri"/>
        </w:rPr>
        <w:t xml:space="preserve">is working with the government </w:t>
      </w:r>
      <w:r w:rsidR="00944E2A" w:rsidRPr="000B2E6D">
        <w:rPr>
          <w:rFonts w:ascii="Calibri" w:hAnsi="Calibri"/>
        </w:rPr>
        <w:lastRenderedPageBreak/>
        <w:t xml:space="preserve">to </w:t>
      </w:r>
      <w:r w:rsidR="0018099D" w:rsidRPr="000B2E6D">
        <w:rPr>
          <w:rFonts w:ascii="Calibri" w:hAnsi="Calibri"/>
        </w:rPr>
        <w:t>provide</w:t>
      </w:r>
      <w:r w:rsidR="00830AFB" w:rsidRPr="000B2E6D">
        <w:rPr>
          <w:rFonts w:ascii="Calibri" w:hAnsi="Calibri"/>
        </w:rPr>
        <w:t xml:space="preserve"> training for peacekeepers, and is monitoring the </w:t>
      </w:r>
      <w:r w:rsidR="0018099D" w:rsidRPr="000B2E6D">
        <w:rPr>
          <w:rFonts w:ascii="Calibri" w:hAnsi="Calibri"/>
        </w:rPr>
        <w:t xml:space="preserve">wartime rape </w:t>
      </w:r>
      <w:r w:rsidR="00830AFB" w:rsidRPr="000B2E6D">
        <w:rPr>
          <w:rFonts w:ascii="Calibri" w:hAnsi="Calibri"/>
        </w:rPr>
        <w:t>prosecutions</w:t>
      </w:r>
      <w:r w:rsidR="0018099D" w:rsidRPr="000B2E6D">
        <w:rPr>
          <w:rFonts w:ascii="Calibri" w:hAnsi="Calibri"/>
        </w:rPr>
        <w:t xml:space="preserve"> and redress</w:t>
      </w:r>
      <w:r w:rsidR="00830AFB" w:rsidRPr="000B2E6D">
        <w:rPr>
          <w:rFonts w:ascii="Calibri" w:hAnsi="Calibri"/>
        </w:rPr>
        <w:t xml:space="preserve"> for victims</w:t>
      </w:r>
      <w:r w:rsidRPr="000B2E6D">
        <w:rPr>
          <w:rFonts w:ascii="Calibri" w:hAnsi="Calibri"/>
        </w:rPr>
        <w:t xml:space="preserve"> and survivors</w:t>
      </w:r>
      <w:r w:rsidR="00830AFB" w:rsidRPr="000B2E6D">
        <w:rPr>
          <w:rFonts w:ascii="Calibri" w:hAnsi="Calibri"/>
        </w:rPr>
        <w:t>.</w:t>
      </w:r>
      <w:r w:rsidR="00830AFB" w:rsidRPr="000B2E6D">
        <w:rPr>
          <w:rStyle w:val="FootnoteReference"/>
          <w:rFonts w:ascii="Calibri" w:hAnsi="Calibri"/>
        </w:rPr>
        <w:footnoteReference w:id="221"/>
      </w:r>
      <w:r w:rsidR="00830AFB" w:rsidRPr="000B2E6D">
        <w:rPr>
          <w:rFonts w:ascii="Calibri" w:hAnsi="Calibri"/>
        </w:rPr>
        <w:t xml:space="preserve"> </w:t>
      </w:r>
      <w:r w:rsidRPr="000B2E6D">
        <w:rPr>
          <w:rFonts w:ascii="Calibri" w:hAnsi="Calibri"/>
        </w:rPr>
        <w:t xml:space="preserve">NGOs </w:t>
      </w:r>
      <w:r w:rsidR="0018099D" w:rsidRPr="000B2E6D">
        <w:rPr>
          <w:rFonts w:ascii="Calibri" w:hAnsi="Calibri"/>
        </w:rPr>
        <w:t xml:space="preserve">are providing </w:t>
      </w:r>
      <w:r w:rsidRPr="000B2E6D">
        <w:rPr>
          <w:rFonts w:ascii="Calibri" w:hAnsi="Calibri"/>
        </w:rPr>
        <w:t>essential services including counselling and other support to victims and survivors SGBV, most notably: Women to Women Sarajevo, Women United Banja Luka, Center for Women – Flame Sarajevo, Women BiH Mostar, Helsinki Citizens Parliament, Local Democracy Foundation, Trial Sarajevo and Medica Zenica.   Of the</w:t>
      </w:r>
      <w:r w:rsidR="00DC5DE2" w:rsidRPr="000B2E6D">
        <w:rPr>
          <w:rFonts w:ascii="Calibri" w:hAnsi="Calibri"/>
        </w:rPr>
        <w:t xml:space="preserve"> more than</w:t>
      </w:r>
      <w:r w:rsidRPr="000B2E6D">
        <w:rPr>
          <w:rFonts w:ascii="Calibri" w:hAnsi="Calibri"/>
        </w:rPr>
        <w:t xml:space="preserve"> 20,000 </w:t>
      </w:r>
      <w:r w:rsidR="006B02AF" w:rsidRPr="000B2E6D">
        <w:rPr>
          <w:rFonts w:ascii="Calibri" w:hAnsi="Calibri"/>
        </w:rPr>
        <w:t xml:space="preserve">survivors of wartime sexual violence in </w:t>
      </w:r>
      <w:r w:rsidRPr="000B2E6D">
        <w:rPr>
          <w:rFonts w:ascii="Calibri" w:hAnsi="Calibri"/>
        </w:rPr>
        <w:t>BiH,</w:t>
      </w:r>
      <w:r w:rsidR="006B02AF" w:rsidRPr="000B2E6D">
        <w:rPr>
          <w:rFonts w:ascii="Calibri" w:hAnsi="Calibri"/>
        </w:rPr>
        <w:t xml:space="preserve"> </w:t>
      </w:r>
      <w:r w:rsidRPr="000B2E6D">
        <w:rPr>
          <w:rFonts w:ascii="Calibri" w:hAnsi="Calibri"/>
        </w:rPr>
        <w:t>many of whom</w:t>
      </w:r>
      <w:r w:rsidR="006B02AF" w:rsidRPr="000B2E6D">
        <w:rPr>
          <w:rFonts w:ascii="Calibri" w:hAnsi="Calibri"/>
        </w:rPr>
        <w:t xml:space="preserve"> face daily discrimination and stigmatization</w:t>
      </w:r>
      <w:r w:rsidRPr="000B2E6D">
        <w:rPr>
          <w:rFonts w:ascii="Calibri" w:hAnsi="Calibri"/>
        </w:rPr>
        <w:t>, access to justice has been impeded by</w:t>
      </w:r>
      <w:r w:rsidR="006B02AF" w:rsidRPr="000B2E6D">
        <w:rPr>
          <w:rFonts w:ascii="Calibri" w:hAnsi="Calibri"/>
        </w:rPr>
        <w:t xml:space="preserve"> insufficient protections as witnesses in war crimes trials, </w:t>
      </w:r>
      <w:r w:rsidRPr="000B2E6D">
        <w:rPr>
          <w:rFonts w:ascii="Calibri" w:hAnsi="Calibri"/>
        </w:rPr>
        <w:t>and inadequate</w:t>
      </w:r>
      <w:r w:rsidR="006B02AF" w:rsidRPr="000B2E6D">
        <w:rPr>
          <w:rFonts w:ascii="Calibri" w:hAnsi="Calibri"/>
        </w:rPr>
        <w:t xml:space="preserve"> insufficient support and counsel</w:t>
      </w:r>
      <w:r w:rsidRPr="000B2E6D">
        <w:rPr>
          <w:rFonts w:ascii="Calibri" w:hAnsi="Calibri"/>
        </w:rPr>
        <w:t>l</w:t>
      </w:r>
      <w:r w:rsidR="006B02AF" w:rsidRPr="000B2E6D">
        <w:rPr>
          <w:rFonts w:ascii="Calibri" w:hAnsi="Calibri"/>
        </w:rPr>
        <w:t xml:space="preserve">ing </w:t>
      </w:r>
      <w:r w:rsidRPr="000B2E6D">
        <w:rPr>
          <w:rFonts w:ascii="Calibri" w:hAnsi="Calibri"/>
        </w:rPr>
        <w:t>during this process</w:t>
      </w:r>
      <w:r w:rsidR="006B02AF" w:rsidRPr="000B2E6D">
        <w:rPr>
          <w:rFonts w:ascii="Calibri" w:hAnsi="Calibri"/>
        </w:rPr>
        <w:t>.</w:t>
      </w:r>
      <w:r w:rsidR="006B02AF" w:rsidRPr="000B2E6D">
        <w:rPr>
          <w:rStyle w:val="FootnoteReference"/>
          <w:rFonts w:ascii="Calibri" w:hAnsi="Calibri"/>
        </w:rPr>
        <w:footnoteReference w:id="222"/>
      </w:r>
      <w:r w:rsidR="006B02AF" w:rsidRPr="000B2E6D">
        <w:rPr>
          <w:rFonts w:ascii="Calibri" w:hAnsi="Calibri"/>
        </w:rPr>
        <w:t xml:space="preserve"> </w:t>
      </w:r>
    </w:p>
    <w:p w14:paraId="37F1291F" w14:textId="77777777" w:rsidR="00C47E1B" w:rsidRPr="000B2E6D" w:rsidRDefault="00C47E1B" w:rsidP="005C68CA">
      <w:pPr>
        <w:jc w:val="both"/>
        <w:rPr>
          <w:rFonts w:ascii="Calibri" w:hAnsi="Calibri"/>
        </w:rPr>
      </w:pPr>
    </w:p>
    <w:p w14:paraId="39C351BE" w14:textId="1961C779" w:rsidR="00C47E1B" w:rsidRPr="000B2E6D" w:rsidRDefault="007D4A82" w:rsidP="00530F89">
      <w:pPr>
        <w:spacing w:line="360" w:lineRule="auto"/>
        <w:jc w:val="both"/>
        <w:rPr>
          <w:rFonts w:ascii="Calibri" w:hAnsi="Calibri"/>
        </w:rPr>
      </w:pPr>
      <w:r w:rsidRPr="000B2E6D">
        <w:rPr>
          <w:rFonts w:ascii="Calibri" w:hAnsi="Calibri"/>
        </w:rPr>
        <w:t xml:space="preserve">Civil society has also been proactive in </w:t>
      </w:r>
      <w:r w:rsidRPr="000B2E6D">
        <w:rPr>
          <w:rFonts w:ascii="Calibri" w:hAnsi="Calibri"/>
          <w:b/>
          <w:color w:val="4F81BD" w:themeColor="accent1"/>
        </w:rPr>
        <w:t>improving women’s political participation</w:t>
      </w:r>
      <w:r w:rsidRPr="000B2E6D">
        <w:rPr>
          <w:rFonts w:ascii="Calibri" w:hAnsi="Calibri"/>
        </w:rPr>
        <w:t xml:space="preserve">. Following the 2014 election, an NGO </w:t>
      </w:r>
      <w:r w:rsidR="00C47E1B" w:rsidRPr="000B2E6D">
        <w:rPr>
          <w:rFonts w:ascii="Calibri" w:hAnsi="Calibri"/>
        </w:rPr>
        <w:t>initiative</w:t>
      </w:r>
      <w:r w:rsidRPr="000B2E6D">
        <w:rPr>
          <w:rFonts w:ascii="Calibri" w:hAnsi="Calibri"/>
        </w:rPr>
        <w:t xml:space="preserve"> was formed</w:t>
      </w:r>
      <w:r w:rsidR="00C47E1B" w:rsidRPr="000B2E6D">
        <w:rPr>
          <w:rFonts w:ascii="Calibri" w:hAnsi="Calibri"/>
        </w:rPr>
        <w:t xml:space="preserve"> to </w:t>
      </w:r>
      <w:r w:rsidRPr="000B2E6D">
        <w:rPr>
          <w:rFonts w:ascii="Calibri" w:hAnsi="Calibri"/>
        </w:rPr>
        <w:t>pressure</w:t>
      </w:r>
      <w:r w:rsidR="00C47E1B" w:rsidRPr="000B2E6D">
        <w:rPr>
          <w:rFonts w:ascii="Calibri" w:hAnsi="Calibri"/>
        </w:rPr>
        <w:t xml:space="preserve"> the government to apply the Gender Equality Law and ensure that women make up 40% of </w:t>
      </w:r>
      <w:r w:rsidR="00BD66EF" w:rsidRPr="000B2E6D">
        <w:rPr>
          <w:rFonts w:ascii="Calibri" w:hAnsi="Calibri"/>
        </w:rPr>
        <w:t>the membership</w:t>
      </w:r>
      <w:r w:rsidR="00C47E1B" w:rsidRPr="000B2E6D">
        <w:rPr>
          <w:rFonts w:ascii="Calibri" w:hAnsi="Calibri"/>
        </w:rPr>
        <w:t xml:space="preserve"> of the official bodies. </w:t>
      </w:r>
      <w:r w:rsidR="00806673">
        <w:rPr>
          <w:rFonts w:ascii="Calibri" w:hAnsi="Calibri"/>
        </w:rPr>
        <w:t xml:space="preserve">The </w:t>
      </w:r>
      <w:r w:rsidR="00C47E1B" w:rsidRPr="000B2E6D">
        <w:rPr>
          <w:rFonts w:ascii="Calibri" w:hAnsi="Calibri"/>
        </w:rPr>
        <w:t xml:space="preserve">Zenica-Doboj Canton and Sarajevo Canton assemblies agreed provisionally to this requirement, following lobbying by </w:t>
      </w:r>
      <w:r w:rsidR="00DC5DE2" w:rsidRPr="000B2E6D">
        <w:rPr>
          <w:rFonts w:ascii="Calibri" w:hAnsi="Calibri"/>
        </w:rPr>
        <w:t xml:space="preserve">the </w:t>
      </w:r>
      <w:r w:rsidR="00C47E1B" w:rsidRPr="000B2E6D">
        <w:rPr>
          <w:rFonts w:ascii="Calibri" w:hAnsi="Calibri"/>
        </w:rPr>
        <w:t>Women’s Legal Aid Centre, Infohouse, Cure, and Sarajevo Open Centre.</w:t>
      </w:r>
      <w:r w:rsidR="00C47E1B" w:rsidRPr="000B2E6D">
        <w:rPr>
          <w:rStyle w:val="FootnoteReference"/>
          <w:rFonts w:ascii="Calibri" w:hAnsi="Calibri"/>
        </w:rPr>
        <w:footnoteReference w:id="223"/>
      </w:r>
    </w:p>
    <w:p w14:paraId="4564F5B1" w14:textId="77777777" w:rsidR="005C68CA" w:rsidRPr="000B2E6D" w:rsidRDefault="005C68CA" w:rsidP="005C68CA">
      <w:pPr>
        <w:jc w:val="both"/>
        <w:rPr>
          <w:rFonts w:ascii="Calibri" w:hAnsi="Calibri"/>
        </w:rPr>
      </w:pPr>
    </w:p>
    <w:p w14:paraId="660A95C8" w14:textId="6852F054" w:rsidR="009F3AF0" w:rsidRPr="000B2E6D" w:rsidRDefault="009F3AF0" w:rsidP="007F364C">
      <w:pPr>
        <w:pStyle w:val="ListParagraph"/>
        <w:numPr>
          <w:ilvl w:val="0"/>
          <w:numId w:val="12"/>
        </w:numPr>
        <w:jc w:val="both"/>
        <w:rPr>
          <w:rFonts w:ascii="Calibri" w:hAnsi="Calibri"/>
          <w:b/>
          <w:color w:val="1F497D" w:themeColor="text2"/>
        </w:rPr>
      </w:pPr>
      <w:r w:rsidRPr="000B2E6D">
        <w:rPr>
          <w:rFonts w:ascii="Calibri" w:hAnsi="Calibri"/>
          <w:b/>
          <w:color w:val="1F497D" w:themeColor="text2"/>
        </w:rPr>
        <w:t>Conclusion</w:t>
      </w:r>
    </w:p>
    <w:p w14:paraId="1424F18A" w14:textId="77777777" w:rsidR="009F3AF0" w:rsidRPr="000B2E6D" w:rsidRDefault="009F3AF0" w:rsidP="009F3AF0">
      <w:pPr>
        <w:ind w:left="360"/>
        <w:jc w:val="both"/>
        <w:rPr>
          <w:rFonts w:ascii="Calibri" w:hAnsi="Calibri"/>
          <w:b/>
        </w:rPr>
      </w:pPr>
    </w:p>
    <w:p w14:paraId="28194AFA" w14:textId="6D718117" w:rsidR="005C68CA" w:rsidRPr="000B2E6D" w:rsidRDefault="00DC5DE2" w:rsidP="00CD181F">
      <w:pPr>
        <w:spacing w:line="360" w:lineRule="auto"/>
        <w:jc w:val="both"/>
        <w:rPr>
          <w:rFonts w:ascii="Calibri" w:hAnsi="Calibri"/>
        </w:rPr>
      </w:pPr>
      <w:r w:rsidRPr="000B2E6D">
        <w:rPr>
          <w:rFonts w:ascii="Calibri" w:hAnsi="Calibri"/>
        </w:rPr>
        <w:t>Under the</w:t>
      </w:r>
      <w:r w:rsidR="009F3AF0" w:rsidRPr="000B2E6D">
        <w:rPr>
          <w:rFonts w:ascii="Calibri" w:hAnsi="Calibri"/>
        </w:rPr>
        <w:t xml:space="preserve"> </w:t>
      </w:r>
      <w:r w:rsidR="00954E95" w:rsidRPr="000B2E6D">
        <w:rPr>
          <w:rFonts w:ascii="Calibri" w:hAnsi="Calibri"/>
        </w:rPr>
        <w:t xml:space="preserve">first </w:t>
      </w:r>
      <w:r w:rsidR="009F3AF0" w:rsidRPr="000B2E6D">
        <w:rPr>
          <w:rFonts w:ascii="Calibri" w:hAnsi="Calibri"/>
        </w:rPr>
        <w:t>NAP</w:t>
      </w:r>
      <w:r w:rsidRPr="000B2E6D">
        <w:rPr>
          <w:rFonts w:ascii="Calibri" w:hAnsi="Calibri"/>
        </w:rPr>
        <w:t xml:space="preserve">, </w:t>
      </w:r>
      <w:r w:rsidR="009F3AF0" w:rsidRPr="000B2E6D">
        <w:rPr>
          <w:rFonts w:ascii="Calibri" w:hAnsi="Calibri"/>
        </w:rPr>
        <w:t xml:space="preserve">unified </w:t>
      </w:r>
      <w:r w:rsidRPr="000B2E6D">
        <w:rPr>
          <w:rFonts w:ascii="Calibri" w:hAnsi="Calibri"/>
        </w:rPr>
        <w:t xml:space="preserve">state </w:t>
      </w:r>
      <w:r w:rsidR="009F3AF0" w:rsidRPr="000B2E6D">
        <w:rPr>
          <w:rFonts w:ascii="Calibri" w:hAnsi="Calibri"/>
        </w:rPr>
        <w:t>action</w:t>
      </w:r>
      <w:r w:rsidRPr="000B2E6D">
        <w:rPr>
          <w:rFonts w:ascii="Calibri" w:hAnsi="Calibri"/>
        </w:rPr>
        <w:t xml:space="preserve"> was</w:t>
      </w:r>
      <w:r w:rsidR="009F3AF0" w:rsidRPr="000B2E6D">
        <w:rPr>
          <w:rFonts w:ascii="Calibri" w:hAnsi="Calibri"/>
        </w:rPr>
        <w:t xml:space="preserve"> </w:t>
      </w:r>
      <w:r w:rsidR="00BD66EF" w:rsidRPr="000B2E6D">
        <w:rPr>
          <w:rFonts w:ascii="Calibri" w:hAnsi="Calibri"/>
        </w:rPr>
        <w:t>near</w:t>
      </w:r>
      <w:r w:rsidR="009F3AF0" w:rsidRPr="000B2E6D">
        <w:rPr>
          <w:rFonts w:ascii="Calibri" w:hAnsi="Calibri"/>
        </w:rPr>
        <w:t xml:space="preserve"> impossible to achieve</w:t>
      </w:r>
      <w:r w:rsidR="00954E95" w:rsidRPr="000B2E6D">
        <w:rPr>
          <w:rFonts w:ascii="Calibri" w:hAnsi="Calibri"/>
        </w:rPr>
        <w:t>,</w:t>
      </w:r>
      <w:r w:rsidR="009F3AF0" w:rsidRPr="000B2E6D">
        <w:rPr>
          <w:rFonts w:ascii="Calibri" w:hAnsi="Calibri"/>
        </w:rPr>
        <w:t xml:space="preserve"> </w:t>
      </w:r>
      <w:r w:rsidRPr="000B2E6D">
        <w:rPr>
          <w:rFonts w:ascii="Calibri" w:hAnsi="Calibri"/>
        </w:rPr>
        <w:t>evident in</w:t>
      </w:r>
      <w:r w:rsidR="00954E95" w:rsidRPr="000B2E6D">
        <w:rPr>
          <w:rFonts w:ascii="Calibri" w:hAnsi="Calibri"/>
        </w:rPr>
        <w:t xml:space="preserve"> varying</w:t>
      </w:r>
      <w:r w:rsidR="00BD66EF" w:rsidRPr="000B2E6D">
        <w:rPr>
          <w:rFonts w:ascii="Calibri" w:hAnsi="Calibri"/>
        </w:rPr>
        <w:t xml:space="preserve"> levels of</w:t>
      </w:r>
      <w:r w:rsidR="009F3AF0" w:rsidRPr="000B2E6D">
        <w:rPr>
          <w:rFonts w:ascii="Calibri" w:hAnsi="Calibri"/>
        </w:rPr>
        <w:t xml:space="preserve"> legislative </w:t>
      </w:r>
      <w:r w:rsidR="00954E95" w:rsidRPr="000B2E6D">
        <w:rPr>
          <w:rFonts w:ascii="Calibri" w:hAnsi="Calibri"/>
        </w:rPr>
        <w:t xml:space="preserve">protections and a fragmented government response that </w:t>
      </w:r>
      <w:r w:rsidR="00BD66EF" w:rsidRPr="000B2E6D">
        <w:rPr>
          <w:rFonts w:ascii="Calibri" w:hAnsi="Calibri"/>
        </w:rPr>
        <w:t xml:space="preserve">led </w:t>
      </w:r>
      <w:r w:rsidR="00954E95" w:rsidRPr="000B2E6D">
        <w:rPr>
          <w:rFonts w:ascii="Calibri" w:hAnsi="Calibri"/>
        </w:rPr>
        <w:t>to</w:t>
      </w:r>
      <w:r w:rsidR="009F3AF0" w:rsidRPr="000B2E6D">
        <w:rPr>
          <w:rFonts w:ascii="Calibri" w:hAnsi="Calibri"/>
        </w:rPr>
        <w:t xml:space="preserve"> discrimination in practice</w:t>
      </w:r>
      <w:r w:rsidR="00954E95" w:rsidRPr="000B2E6D">
        <w:rPr>
          <w:rFonts w:ascii="Calibri" w:hAnsi="Calibri"/>
        </w:rPr>
        <w:t xml:space="preserve"> against women and girls affected by conflict</w:t>
      </w:r>
      <w:r w:rsidR="009F3AF0" w:rsidRPr="000B2E6D">
        <w:rPr>
          <w:rFonts w:ascii="Calibri" w:hAnsi="Calibri"/>
        </w:rPr>
        <w:t xml:space="preserve">. </w:t>
      </w:r>
      <w:r w:rsidR="00BD66EF" w:rsidRPr="000B2E6D">
        <w:rPr>
          <w:rFonts w:ascii="Calibri" w:hAnsi="Calibri"/>
        </w:rPr>
        <w:t>Civil society has</w:t>
      </w:r>
      <w:r w:rsidR="009F3AF0" w:rsidRPr="000B2E6D">
        <w:rPr>
          <w:rFonts w:ascii="Calibri" w:hAnsi="Calibri"/>
        </w:rPr>
        <w:t xml:space="preserve"> been </w:t>
      </w:r>
      <w:r w:rsidR="00954E95" w:rsidRPr="000B2E6D">
        <w:rPr>
          <w:rFonts w:ascii="Calibri" w:hAnsi="Calibri"/>
        </w:rPr>
        <w:t>doing much of the</w:t>
      </w:r>
      <w:r w:rsidR="009F3AF0" w:rsidRPr="000B2E6D">
        <w:rPr>
          <w:rFonts w:ascii="Calibri" w:hAnsi="Calibri"/>
        </w:rPr>
        <w:t xml:space="preserve"> work that </w:t>
      </w:r>
      <w:r w:rsidRPr="000B2E6D">
        <w:rPr>
          <w:rFonts w:ascii="Calibri" w:hAnsi="Calibri"/>
        </w:rPr>
        <w:t xml:space="preserve">should be done by the government, and </w:t>
      </w:r>
      <w:r w:rsidR="00BD66EF" w:rsidRPr="000B2E6D">
        <w:rPr>
          <w:rFonts w:ascii="Calibri" w:hAnsi="Calibri"/>
        </w:rPr>
        <w:t xml:space="preserve">NGOs </w:t>
      </w:r>
      <w:r w:rsidR="00954E95" w:rsidRPr="000B2E6D">
        <w:rPr>
          <w:rFonts w:ascii="Calibri" w:hAnsi="Calibri"/>
        </w:rPr>
        <w:t>are often</w:t>
      </w:r>
      <w:r w:rsidR="009F3AF0" w:rsidRPr="000B2E6D">
        <w:rPr>
          <w:rFonts w:ascii="Calibri" w:hAnsi="Calibri"/>
        </w:rPr>
        <w:t xml:space="preserve"> the only recourse </w:t>
      </w:r>
      <w:r w:rsidR="00954E95" w:rsidRPr="000B2E6D">
        <w:rPr>
          <w:rFonts w:ascii="Calibri" w:hAnsi="Calibri"/>
        </w:rPr>
        <w:t>for victims and survivors of SGBV to achieve access to justice</w:t>
      </w:r>
      <w:r w:rsidR="009F3AF0" w:rsidRPr="000B2E6D">
        <w:rPr>
          <w:rFonts w:ascii="Calibri" w:hAnsi="Calibri"/>
        </w:rPr>
        <w:t xml:space="preserve">. </w:t>
      </w:r>
      <w:r w:rsidR="00954E95" w:rsidRPr="000B2E6D">
        <w:rPr>
          <w:rFonts w:ascii="Calibri" w:hAnsi="Calibri"/>
        </w:rPr>
        <w:t xml:space="preserve">BiH needs </w:t>
      </w:r>
      <w:r w:rsidR="009F3AF0" w:rsidRPr="000B2E6D">
        <w:rPr>
          <w:rFonts w:ascii="Calibri" w:hAnsi="Calibri"/>
        </w:rPr>
        <w:t xml:space="preserve">significant political </w:t>
      </w:r>
      <w:r w:rsidR="00954E95" w:rsidRPr="000B2E6D">
        <w:rPr>
          <w:rFonts w:ascii="Calibri" w:hAnsi="Calibri"/>
        </w:rPr>
        <w:t>buy-in and coordination at all levels of government</w:t>
      </w:r>
      <w:r w:rsidR="00BD66EF" w:rsidRPr="000B2E6D">
        <w:rPr>
          <w:rFonts w:ascii="Calibri" w:hAnsi="Calibri"/>
        </w:rPr>
        <w:t xml:space="preserve"> to protect women and girls in its unique post-conflict context, especially those facing a lack of access to justice and meaningful redress for rape and SGBV-related crimes</w:t>
      </w:r>
      <w:r w:rsidR="00954E95" w:rsidRPr="000B2E6D">
        <w:rPr>
          <w:rFonts w:ascii="Calibri" w:hAnsi="Calibri"/>
        </w:rPr>
        <w:t xml:space="preserve">. The new NAP provides a solid foundation for improved government action, </w:t>
      </w:r>
      <w:r w:rsidR="00BD66EF" w:rsidRPr="000B2E6D">
        <w:rPr>
          <w:rFonts w:ascii="Calibri" w:hAnsi="Calibri"/>
        </w:rPr>
        <w:t xml:space="preserve">by directly incorporating CEDAW Committee recommendations and referring to BIH’s obligations under </w:t>
      </w:r>
      <w:r w:rsidR="00954E95" w:rsidRPr="000B2E6D">
        <w:rPr>
          <w:rFonts w:ascii="Calibri" w:hAnsi="Calibri"/>
        </w:rPr>
        <w:t>the legal framework.</w:t>
      </w:r>
    </w:p>
    <w:p w14:paraId="352D3BD6" w14:textId="1B412CDB" w:rsidR="00BD66EF" w:rsidRDefault="00BD66EF" w:rsidP="00BD66EF">
      <w:pPr>
        <w:rPr>
          <w:rFonts w:ascii="Calibri" w:hAnsi="Calibri"/>
        </w:rPr>
      </w:pPr>
      <w:r>
        <w:rPr>
          <w:rFonts w:ascii="Calibri" w:hAnsi="Calibri"/>
        </w:rPr>
        <w:br w:type="page"/>
      </w:r>
    </w:p>
    <w:p w14:paraId="6BE5B3D5" w14:textId="6226AF5E" w:rsidR="003330F3" w:rsidRPr="003330F3" w:rsidRDefault="003330F3" w:rsidP="003330F3">
      <w:pPr>
        <w:pStyle w:val="Heading3"/>
        <w:keepLines/>
        <w:spacing w:before="20" w:after="0"/>
        <w:jc w:val="center"/>
        <w:rPr>
          <w:b w:val="0"/>
          <w:color w:val="1F497D" w:themeColor="text2"/>
          <w:spacing w:val="14"/>
          <w:sz w:val="32"/>
          <w:szCs w:val="32"/>
          <w:u w:val="single"/>
          <w:lang w:val="en-GB"/>
        </w:rPr>
      </w:pPr>
      <w:bookmarkStart w:id="17" w:name="_Toc416867095"/>
      <w:r>
        <w:rPr>
          <w:b w:val="0"/>
          <w:color w:val="1F497D" w:themeColor="text2"/>
          <w:spacing w:val="14"/>
          <w:sz w:val="32"/>
          <w:szCs w:val="32"/>
          <w:u w:val="single"/>
          <w:lang w:val="en-GB"/>
        </w:rPr>
        <w:lastRenderedPageBreak/>
        <w:t>LATIN AMERICA</w:t>
      </w:r>
      <w:bookmarkEnd w:id="17"/>
    </w:p>
    <w:p w14:paraId="6630EE88" w14:textId="77777777" w:rsidR="003330F3" w:rsidRDefault="003330F3" w:rsidP="003330F3">
      <w:pPr>
        <w:jc w:val="both"/>
        <w:rPr>
          <w:rFonts w:ascii="Calibri" w:hAnsi="Calibri"/>
          <w:b/>
        </w:rPr>
      </w:pPr>
    </w:p>
    <w:p w14:paraId="2AC4286B" w14:textId="2A4F48EF" w:rsidR="000E78A5" w:rsidRPr="000E78A5" w:rsidRDefault="000E78A5" w:rsidP="000E78A5">
      <w:pPr>
        <w:pStyle w:val="Heading3"/>
        <w:keepLines/>
        <w:spacing w:before="20" w:after="0"/>
        <w:jc w:val="center"/>
        <w:rPr>
          <w:b w:val="0"/>
          <w:color w:val="1F497D" w:themeColor="text2"/>
          <w:spacing w:val="14"/>
          <w:sz w:val="32"/>
          <w:szCs w:val="32"/>
          <w:lang w:val="en-GB"/>
        </w:rPr>
      </w:pPr>
      <w:bookmarkStart w:id="18" w:name="_Toc416867096"/>
      <w:r>
        <w:rPr>
          <w:b w:val="0"/>
          <w:color w:val="1F497D" w:themeColor="text2"/>
          <w:spacing w:val="14"/>
          <w:sz w:val="32"/>
          <w:szCs w:val="32"/>
          <w:lang w:val="en-GB"/>
        </w:rPr>
        <w:t>CHILE – A NAP FOR NATIONAL AND INTERNATIONAL COOPERATION</w:t>
      </w:r>
      <w:bookmarkEnd w:id="18"/>
    </w:p>
    <w:p w14:paraId="4D3073EB" w14:textId="77777777" w:rsidR="00874314" w:rsidRPr="003756F9" w:rsidRDefault="00874314" w:rsidP="00874314">
      <w:pPr>
        <w:jc w:val="both"/>
        <w:rPr>
          <w:rFonts w:ascii="Calibri" w:hAnsi="Calibri"/>
          <w:b/>
          <w:smallCaps/>
          <w:sz w:val="28"/>
        </w:rPr>
      </w:pPr>
    </w:p>
    <w:p w14:paraId="56DBE998" w14:textId="36723E2D" w:rsidR="00874314" w:rsidRPr="0090438F" w:rsidRDefault="000E4B5D" w:rsidP="007F364C">
      <w:pPr>
        <w:pStyle w:val="ListParagraph"/>
        <w:numPr>
          <w:ilvl w:val="0"/>
          <w:numId w:val="13"/>
        </w:numPr>
        <w:jc w:val="both"/>
        <w:rPr>
          <w:rFonts w:ascii="Calibri" w:hAnsi="Calibri"/>
          <w:b/>
          <w:color w:val="1F497D" w:themeColor="text2"/>
        </w:rPr>
      </w:pPr>
      <w:r w:rsidRPr="0090438F">
        <w:rPr>
          <w:rFonts w:ascii="Calibri" w:hAnsi="Calibri"/>
          <w:b/>
          <w:color w:val="1F497D" w:themeColor="text2"/>
        </w:rPr>
        <w:t>An</w:t>
      </w:r>
      <w:r w:rsidR="00874314" w:rsidRPr="0090438F">
        <w:rPr>
          <w:rFonts w:ascii="Calibri" w:hAnsi="Calibri"/>
          <w:b/>
          <w:color w:val="1F497D" w:themeColor="text2"/>
        </w:rPr>
        <w:t xml:space="preserve"> Overview </w:t>
      </w:r>
      <w:r w:rsidR="00BD66EF" w:rsidRPr="0090438F">
        <w:rPr>
          <w:rFonts w:ascii="Calibri" w:hAnsi="Calibri"/>
          <w:b/>
          <w:color w:val="1F497D" w:themeColor="text2"/>
        </w:rPr>
        <w:t xml:space="preserve">of </w:t>
      </w:r>
      <w:r w:rsidR="00213F5E" w:rsidRPr="0090438F">
        <w:rPr>
          <w:rFonts w:ascii="Calibri" w:hAnsi="Calibri"/>
          <w:b/>
          <w:color w:val="1F497D" w:themeColor="text2"/>
        </w:rPr>
        <w:t>Post-Conflict</w:t>
      </w:r>
      <w:r w:rsidR="00874314" w:rsidRPr="0090438F">
        <w:rPr>
          <w:rFonts w:ascii="Calibri" w:hAnsi="Calibri"/>
          <w:b/>
          <w:color w:val="1F497D" w:themeColor="text2"/>
        </w:rPr>
        <w:t xml:space="preserve"> Chile</w:t>
      </w:r>
    </w:p>
    <w:p w14:paraId="4D9D4349" w14:textId="77777777" w:rsidR="00874314" w:rsidRPr="0090438F" w:rsidRDefault="00874314" w:rsidP="00874314">
      <w:pPr>
        <w:jc w:val="both"/>
        <w:rPr>
          <w:rFonts w:ascii="Calibri" w:hAnsi="Calibri"/>
          <w:b/>
        </w:rPr>
      </w:pPr>
    </w:p>
    <w:p w14:paraId="3150BA64" w14:textId="5D949D51" w:rsidR="00874314" w:rsidRPr="0090438F" w:rsidRDefault="00A35147" w:rsidP="00CD181F">
      <w:pPr>
        <w:spacing w:line="360" w:lineRule="auto"/>
        <w:jc w:val="both"/>
        <w:rPr>
          <w:rFonts w:ascii="Calibri" w:hAnsi="Calibri"/>
        </w:rPr>
      </w:pPr>
      <w:r w:rsidRPr="0090438F">
        <w:rPr>
          <w:rFonts w:ascii="Calibri" w:hAnsi="Calibri"/>
        </w:rPr>
        <w:t>Chile is a</w:t>
      </w:r>
      <w:r w:rsidR="00AF5015" w:rsidRPr="0090438F">
        <w:rPr>
          <w:rFonts w:ascii="Calibri" w:hAnsi="Calibri"/>
        </w:rPr>
        <w:t xml:space="preserve"> country not currently affected by</w:t>
      </w:r>
      <w:r w:rsidR="000E4B5D" w:rsidRPr="0090438F">
        <w:rPr>
          <w:rFonts w:ascii="Calibri" w:hAnsi="Calibri"/>
        </w:rPr>
        <w:t xml:space="preserve"> </w:t>
      </w:r>
      <w:r w:rsidR="00AF5015" w:rsidRPr="0090438F">
        <w:rPr>
          <w:rFonts w:ascii="Calibri" w:hAnsi="Calibri"/>
        </w:rPr>
        <w:t>conflict</w:t>
      </w:r>
      <w:r w:rsidR="000E4B5D" w:rsidRPr="0090438F">
        <w:rPr>
          <w:rFonts w:ascii="Calibri" w:hAnsi="Calibri"/>
        </w:rPr>
        <w:t xml:space="preserve">, </w:t>
      </w:r>
      <w:r w:rsidRPr="0090438F">
        <w:rPr>
          <w:rFonts w:ascii="Calibri" w:hAnsi="Calibri"/>
        </w:rPr>
        <w:t>having</w:t>
      </w:r>
      <w:r w:rsidR="000E4B5D" w:rsidRPr="0090438F">
        <w:rPr>
          <w:rFonts w:ascii="Calibri" w:hAnsi="Calibri"/>
        </w:rPr>
        <w:t xml:space="preserve"> had</w:t>
      </w:r>
      <w:r w:rsidR="00874314" w:rsidRPr="0090438F">
        <w:rPr>
          <w:rFonts w:ascii="Calibri" w:hAnsi="Calibri"/>
        </w:rPr>
        <w:t xml:space="preserve"> more than 40 years to heal </w:t>
      </w:r>
      <w:r w:rsidR="000E4B5D" w:rsidRPr="0090438F">
        <w:rPr>
          <w:rFonts w:ascii="Calibri" w:hAnsi="Calibri"/>
        </w:rPr>
        <w:t xml:space="preserve">from </w:t>
      </w:r>
      <w:r w:rsidR="00AF5015" w:rsidRPr="0090438F">
        <w:rPr>
          <w:rFonts w:ascii="Calibri" w:hAnsi="Calibri"/>
        </w:rPr>
        <w:t>the dictatorship of Augusto Pinochet</w:t>
      </w:r>
      <w:r w:rsidR="00874314" w:rsidRPr="0090438F">
        <w:rPr>
          <w:rFonts w:ascii="Calibri" w:hAnsi="Calibri"/>
        </w:rPr>
        <w:t xml:space="preserve">. </w:t>
      </w:r>
      <w:r w:rsidRPr="0090438F">
        <w:rPr>
          <w:rFonts w:ascii="Calibri" w:hAnsi="Calibri"/>
        </w:rPr>
        <w:t>Violence, especially against women, was systematic and widespread d</w:t>
      </w:r>
      <w:r w:rsidR="00874314" w:rsidRPr="0090438F">
        <w:rPr>
          <w:rFonts w:ascii="Calibri" w:hAnsi="Calibri"/>
        </w:rPr>
        <w:t xml:space="preserve">uring the Pinochet regime. </w:t>
      </w:r>
      <w:r w:rsidR="008C2DA1" w:rsidRPr="0090438F">
        <w:rPr>
          <w:rFonts w:ascii="Calibri" w:hAnsi="Calibri"/>
        </w:rPr>
        <w:t>The 2005 report of the</w:t>
      </w:r>
      <w:r w:rsidRPr="0090438F">
        <w:rPr>
          <w:rFonts w:ascii="Calibri" w:hAnsi="Calibri"/>
        </w:rPr>
        <w:t xml:space="preserve"> National Commission on Political Imprisonment and Torture</w:t>
      </w:r>
      <w:r w:rsidR="008C2DA1" w:rsidRPr="0090438F">
        <w:rPr>
          <w:rFonts w:ascii="Calibri" w:hAnsi="Calibri"/>
        </w:rPr>
        <w:t xml:space="preserve"> (</w:t>
      </w:r>
      <w:r w:rsidR="000B2E6D" w:rsidRPr="0090438F">
        <w:rPr>
          <w:rFonts w:ascii="Calibri" w:hAnsi="Calibri"/>
        </w:rPr>
        <w:t xml:space="preserve">the </w:t>
      </w:r>
      <w:r w:rsidR="006171DA" w:rsidRPr="0090438F">
        <w:rPr>
          <w:rFonts w:ascii="Calibri" w:hAnsi="Calibri"/>
        </w:rPr>
        <w:t>Valech Report</w:t>
      </w:r>
      <w:r w:rsidR="008C2DA1" w:rsidRPr="0090438F">
        <w:rPr>
          <w:rFonts w:ascii="Calibri" w:hAnsi="Calibri"/>
        </w:rPr>
        <w:t>) recorded that</w:t>
      </w:r>
      <w:r w:rsidRPr="0090438F">
        <w:rPr>
          <w:rFonts w:ascii="Calibri" w:hAnsi="Calibri"/>
        </w:rPr>
        <w:t xml:space="preserve"> m</w:t>
      </w:r>
      <w:r w:rsidR="00874314" w:rsidRPr="0090438F">
        <w:rPr>
          <w:rFonts w:ascii="Calibri" w:hAnsi="Calibri"/>
        </w:rPr>
        <w:t>ore than three thousand women, in addition to being victims of torture methods used against all the detainees, suffered sexual violence from state agents. Of the 3</w:t>
      </w:r>
      <w:r w:rsidR="000E4B5D" w:rsidRPr="0090438F">
        <w:rPr>
          <w:rFonts w:ascii="Calibri" w:hAnsi="Calibri"/>
        </w:rPr>
        <w:t>,</w:t>
      </w:r>
      <w:r w:rsidR="00874314" w:rsidRPr="0090438F">
        <w:rPr>
          <w:rFonts w:ascii="Calibri" w:hAnsi="Calibri"/>
        </w:rPr>
        <w:t xml:space="preserve">400 women who testified </w:t>
      </w:r>
      <w:r w:rsidR="006171DA" w:rsidRPr="0090438F">
        <w:rPr>
          <w:rFonts w:ascii="Calibri" w:hAnsi="Calibri"/>
        </w:rPr>
        <w:t>in the Valech Report</w:t>
      </w:r>
      <w:r w:rsidR="00874314" w:rsidRPr="0090438F">
        <w:rPr>
          <w:rFonts w:ascii="Calibri" w:hAnsi="Calibri"/>
        </w:rPr>
        <w:t xml:space="preserve">, most </w:t>
      </w:r>
      <w:r w:rsidRPr="0090438F">
        <w:rPr>
          <w:rFonts w:ascii="Calibri" w:hAnsi="Calibri"/>
        </w:rPr>
        <w:t>reported being some</w:t>
      </w:r>
      <w:r w:rsidR="00874314" w:rsidRPr="0090438F">
        <w:rPr>
          <w:rFonts w:ascii="Calibri" w:hAnsi="Calibri"/>
        </w:rPr>
        <w:t xml:space="preserve"> form of sexual</w:t>
      </w:r>
      <w:r w:rsidRPr="0090438F">
        <w:rPr>
          <w:rFonts w:ascii="Calibri" w:hAnsi="Calibri"/>
        </w:rPr>
        <w:t xml:space="preserve"> and gender-based</w:t>
      </w:r>
      <w:r w:rsidR="00874314" w:rsidRPr="0090438F">
        <w:rPr>
          <w:rFonts w:ascii="Calibri" w:hAnsi="Calibri"/>
        </w:rPr>
        <w:t xml:space="preserve"> violence</w:t>
      </w:r>
      <w:r w:rsidRPr="0090438F">
        <w:rPr>
          <w:rFonts w:ascii="Calibri" w:hAnsi="Calibri"/>
        </w:rPr>
        <w:t xml:space="preserve"> (SGBV) </w:t>
      </w:r>
      <w:r w:rsidR="00874314" w:rsidRPr="0090438F">
        <w:rPr>
          <w:rFonts w:ascii="Calibri" w:hAnsi="Calibri"/>
        </w:rPr>
        <w:t xml:space="preserve">and more than 200 reported </w:t>
      </w:r>
      <w:r w:rsidR="00A90ED0" w:rsidRPr="0090438F">
        <w:rPr>
          <w:rFonts w:ascii="Calibri" w:hAnsi="Calibri"/>
        </w:rPr>
        <w:t>being</w:t>
      </w:r>
      <w:r w:rsidR="00874314" w:rsidRPr="0090438F">
        <w:rPr>
          <w:rFonts w:ascii="Calibri" w:hAnsi="Calibri"/>
        </w:rPr>
        <w:t xml:space="preserve"> arrested while pregnant.</w:t>
      </w:r>
      <w:r w:rsidR="001109DA" w:rsidRPr="0090438F">
        <w:rPr>
          <w:rStyle w:val="FootnoteReference"/>
          <w:rFonts w:ascii="Calibri" w:hAnsi="Calibri"/>
        </w:rPr>
        <w:t xml:space="preserve"> </w:t>
      </w:r>
      <w:r w:rsidR="001109DA" w:rsidRPr="0090438F">
        <w:rPr>
          <w:rStyle w:val="FootnoteReference"/>
          <w:rFonts w:ascii="Calibri" w:hAnsi="Calibri"/>
        </w:rPr>
        <w:footnoteReference w:id="224"/>
      </w:r>
      <w:r w:rsidR="001109DA" w:rsidRPr="0090438F">
        <w:rPr>
          <w:rStyle w:val="FootnoteReference"/>
          <w:rFonts w:ascii="Calibri" w:hAnsi="Calibri"/>
        </w:rPr>
        <w:t xml:space="preserve"> </w:t>
      </w:r>
      <w:r w:rsidR="008C15E2" w:rsidRPr="0090438F">
        <w:rPr>
          <w:rFonts w:ascii="Calibri" w:hAnsi="Calibri"/>
        </w:rPr>
        <w:t xml:space="preserve"> </w:t>
      </w:r>
      <w:r w:rsidR="00BD66EF" w:rsidRPr="0090438F">
        <w:rPr>
          <w:rFonts w:ascii="Calibri" w:hAnsi="Calibri"/>
        </w:rPr>
        <w:t>It has been observed that SGBV during the dictatorship has</w:t>
      </w:r>
      <w:r w:rsidR="00151500" w:rsidRPr="0090438F">
        <w:rPr>
          <w:rFonts w:ascii="Calibri" w:hAnsi="Calibri"/>
        </w:rPr>
        <w:t xml:space="preserve"> “</w:t>
      </w:r>
      <w:r w:rsidR="00874314" w:rsidRPr="0090438F">
        <w:rPr>
          <w:rFonts w:ascii="Calibri" w:hAnsi="Calibri"/>
        </w:rPr>
        <w:t>many common elements with the widespread sexual violence committed against women in wars and armed conflicts</w:t>
      </w:r>
      <w:r w:rsidR="000E4B5D" w:rsidRPr="0090438F">
        <w:rPr>
          <w:rFonts w:ascii="Calibri" w:hAnsi="Calibri"/>
        </w:rPr>
        <w:t>…</w:t>
      </w:r>
      <w:r w:rsidR="00151500" w:rsidRPr="0090438F">
        <w:rPr>
          <w:rFonts w:ascii="Calibri" w:hAnsi="Calibri"/>
        </w:rPr>
        <w:t xml:space="preserve">The bodies of women are </w:t>
      </w:r>
      <w:r w:rsidR="00874314" w:rsidRPr="0090438F">
        <w:rPr>
          <w:rFonts w:ascii="Calibri" w:hAnsi="Calibri"/>
        </w:rPr>
        <w:t>attacked and occupied as part of a military strategy to attack the enemy, as if their bodies also represent enemy territory to be occupied, invaded, violated</w:t>
      </w:r>
      <w:r w:rsidR="00464F1A" w:rsidRPr="0090438F">
        <w:rPr>
          <w:rFonts w:ascii="Calibri" w:hAnsi="Calibri"/>
        </w:rPr>
        <w:t>”.</w:t>
      </w:r>
      <w:r w:rsidR="00874314" w:rsidRPr="0090438F">
        <w:rPr>
          <w:rStyle w:val="FootnoteReference"/>
          <w:rFonts w:ascii="Calibri" w:hAnsi="Calibri"/>
        </w:rPr>
        <w:footnoteReference w:id="225"/>
      </w:r>
    </w:p>
    <w:p w14:paraId="1C58C24C" w14:textId="77777777" w:rsidR="00874314" w:rsidRPr="0090438F" w:rsidRDefault="00874314" w:rsidP="00874314">
      <w:pPr>
        <w:jc w:val="both"/>
        <w:rPr>
          <w:rFonts w:ascii="Calibri" w:hAnsi="Calibri"/>
          <w:b/>
        </w:rPr>
      </w:pPr>
    </w:p>
    <w:p w14:paraId="1422976B" w14:textId="7F0FF340" w:rsidR="00874314" w:rsidRPr="0090438F" w:rsidRDefault="00E56F5F" w:rsidP="007F364C">
      <w:pPr>
        <w:pStyle w:val="ListParagraph"/>
        <w:numPr>
          <w:ilvl w:val="0"/>
          <w:numId w:val="13"/>
        </w:numPr>
        <w:jc w:val="both"/>
        <w:rPr>
          <w:rFonts w:ascii="Calibri" w:hAnsi="Calibri"/>
          <w:b/>
          <w:color w:val="1F497D" w:themeColor="text2"/>
        </w:rPr>
      </w:pPr>
      <w:r w:rsidRPr="0090438F">
        <w:rPr>
          <w:rFonts w:ascii="Calibri" w:hAnsi="Calibri"/>
          <w:b/>
          <w:color w:val="1F497D" w:themeColor="text2"/>
        </w:rPr>
        <w:t>Chile’s National Action Plan</w:t>
      </w:r>
      <w:r w:rsidR="00AF5015" w:rsidRPr="0090438F">
        <w:rPr>
          <w:rFonts w:ascii="Calibri" w:hAnsi="Calibri"/>
          <w:b/>
          <w:color w:val="1F497D" w:themeColor="text2"/>
        </w:rPr>
        <w:t>s</w:t>
      </w:r>
      <w:r w:rsidRPr="0090438F">
        <w:rPr>
          <w:rFonts w:ascii="Calibri" w:hAnsi="Calibri"/>
          <w:b/>
          <w:color w:val="1F497D" w:themeColor="text2"/>
        </w:rPr>
        <w:t xml:space="preserve"> 1 (2009-</w:t>
      </w:r>
      <w:r w:rsidR="00D55C34" w:rsidRPr="0090438F">
        <w:rPr>
          <w:rFonts w:ascii="Calibri" w:hAnsi="Calibri"/>
          <w:b/>
          <w:color w:val="1F497D" w:themeColor="text2"/>
        </w:rPr>
        <w:t>unspecified</w:t>
      </w:r>
      <w:r w:rsidR="00BB71B2" w:rsidRPr="0090438F">
        <w:rPr>
          <w:rFonts w:ascii="Calibri" w:hAnsi="Calibri"/>
          <w:b/>
          <w:color w:val="1F497D" w:themeColor="text2"/>
        </w:rPr>
        <w:t>) and 2 (</w:t>
      </w:r>
      <w:r w:rsidRPr="0090438F">
        <w:rPr>
          <w:rFonts w:ascii="Calibri" w:hAnsi="Calibri"/>
          <w:b/>
          <w:color w:val="1F497D" w:themeColor="text2"/>
        </w:rPr>
        <w:t>2015</w:t>
      </w:r>
      <w:r w:rsidR="002827AD" w:rsidRPr="0090438F">
        <w:rPr>
          <w:rFonts w:ascii="Calibri" w:hAnsi="Calibri"/>
          <w:b/>
          <w:color w:val="1F497D" w:themeColor="text2"/>
        </w:rPr>
        <w:t>-18</w:t>
      </w:r>
      <w:r w:rsidRPr="0090438F">
        <w:rPr>
          <w:rFonts w:ascii="Calibri" w:hAnsi="Calibri"/>
          <w:b/>
          <w:color w:val="1F497D" w:themeColor="text2"/>
        </w:rPr>
        <w:t>)</w:t>
      </w:r>
    </w:p>
    <w:p w14:paraId="3005BA2A" w14:textId="77777777" w:rsidR="00874314" w:rsidRPr="0090438F" w:rsidRDefault="00874314" w:rsidP="00874314">
      <w:pPr>
        <w:jc w:val="both"/>
        <w:rPr>
          <w:rFonts w:ascii="Calibri" w:hAnsi="Calibri"/>
        </w:rPr>
      </w:pPr>
    </w:p>
    <w:p w14:paraId="1FAE3EA6" w14:textId="53AD6301" w:rsidR="000A1EA1" w:rsidRPr="0090438F" w:rsidRDefault="000A1EA1" w:rsidP="00874314">
      <w:pPr>
        <w:jc w:val="both"/>
        <w:rPr>
          <w:rFonts w:ascii="Calibri" w:hAnsi="Calibri"/>
          <w:b/>
          <w:color w:val="1F497D" w:themeColor="text2"/>
          <w:u w:val="single"/>
        </w:rPr>
      </w:pPr>
      <w:r w:rsidRPr="0090438F">
        <w:rPr>
          <w:rFonts w:ascii="Calibri" w:hAnsi="Calibri"/>
          <w:b/>
          <w:color w:val="1F497D" w:themeColor="text2"/>
          <w:u w:val="single"/>
        </w:rPr>
        <w:t>First NAP (2009-unspecified)</w:t>
      </w:r>
    </w:p>
    <w:p w14:paraId="7AA62A30" w14:textId="77777777" w:rsidR="000A1EA1" w:rsidRPr="0090438F" w:rsidRDefault="000A1EA1" w:rsidP="00874314">
      <w:pPr>
        <w:jc w:val="both"/>
        <w:rPr>
          <w:rFonts w:ascii="Calibri" w:hAnsi="Calibri"/>
        </w:rPr>
      </w:pPr>
    </w:p>
    <w:p w14:paraId="12D04A9D" w14:textId="5E452388" w:rsidR="005857C6" w:rsidRPr="0090438F" w:rsidRDefault="008C15E2" w:rsidP="00CD181F">
      <w:pPr>
        <w:spacing w:line="360" w:lineRule="auto"/>
        <w:jc w:val="both"/>
        <w:rPr>
          <w:rFonts w:ascii="Calibri" w:hAnsi="Calibri"/>
        </w:rPr>
      </w:pPr>
      <w:r w:rsidRPr="0090438F">
        <w:rPr>
          <w:rFonts w:ascii="Calibri" w:hAnsi="Calibri"/>
        </w:rPr>
        <w:t>Chile was the first Latin American country to adopt a NAP i</w:t>
      </w:r>
      <w:r w:rsidR="00874314" w:rsidRPr="0090438F">
        <w:rPr>
          <w:rFonts w:ascii="Calibri" w:hAnsi="Calibri"/>
        </w:rPr>
        <w:t>n August 2009</w:t>
      </w:r>
      <w:r w:rsidRPr="0090438F">
        <w:rPr>
          <w:rFonts w:ascii="Calibri" w:hAnsi="Calibri"/>
        </w:rPr>
        <w:t xml:space="preserve">, </w:t>
      </w:r>
      <w:r w:rsidR="00E56F5F" w:rsidRPr="0090438F">
        <w:rPr>
          <w:rFonts w:ascii="Calibri" w:hAnsi="Calibri"/>
        </w:rPr>
        <w:t>co-signed by</w:t>
      </w:r>
      <w:r w:rsidR="00396B07" w:rsidRPr="0090438F">
        <w:rPr>
          <w:rFonts w:ascii="Calibri" w:hAnsi="Calibri"/>
        </w:rPr>
        <w:t xml:space="preserve"> President Michelle Bachelet, the Foreign Affairs and Defence Ministers</w:t>
      </w:r>
      <w:r w:rsidR="00874314" w:rsidRPr="0090438F">
        <w:rPr>
          <w:rFonts w:ascii="Calibri" w:hAnsi="Calibri"/>
        </w:rPr>
        <w:t xml:space="preserve">, and the Minister and Director </w:t>
      </w:r>
      <w:r w:rsidR="00E56F5F" w:rsidRPr="0090438F">
        <w:rPr>
          <w:rFonts w:ascii="Calibri" w:hAnsi="Calibri"/>
        </w:rPr>
        <w:t>of the National Women’s Service</w:t>
      </w:r>
      <w:r w:rsidR="00874314" w:rsidRPr="0090438F">
        <w:rPr>
          <w:rFonts w:ascii="Calibri" w:hAnsi="Calibri"/>
        </w:rPr>
        <w:t xml:space="preserve">. </w:t>
      </w:r>
      <w:r w:rsidR="00211F9F" w:rsidRPr="0090438F">
        <w:rPr>
          <w:rFonts w:ascii="Calibri" w:hAnsi="Calibri"/>
        </w:rPr>
        <w:t>While the consultation process leading to the NAP included many government and academic institutions,</w:t>
      </w:r>
      <w:r w:rsidR="00211F9F" w:rsidRPr="0090438F">
        <w:rPr>
          <w:rStyle w:val="FootnoteReference"/>
          <w:rFonts w:ascii="Calibri" w:hAnsi="Calibri"/>
        </w:rPr>
        <w:footnoteReference w:id="226"/>
      </w:r>
      <w:r w:rsidR="00211F9F" w:rsidRPr="0090438F">
        <w:rPr>
          <w:rFonts w:ascii="Calibri" w:hAnsi="Calibri"/>
        </w:rPr>
        <w:t xml:space="preserve"> only one NGO</w:t>
      </w:r>
      <w:r w:rsidR="00BB71B2" w:rsidRPr="0090438F">
        <w:rPr>
          <w:rFonts w:ascii="Calibri" w:hAnsi="Calibri"/>
        </w:rPr>
        <w:t xml:space="preserve"> working on women’s rights</w:t>
      </w:r>
      <w:r w:rsidR="00211F9F" w:rsidRPr="0090438F">
        <w:rPr>
          <w:rFonts w:ascii="Calibri" w:hAnsi="Calibri"/>
        </w:rPr>
        <w:t xml:space="preserve"> was involved.</w:t>
      </w:r>
      <w:r w:rsidR="00211F9F" w:rsidRPr="0090438F">
        <w:rPr>
          <w:rStyle w:val="FootnoteReference"/>
          <w:rFonts w:ascii="Calibri" w:hAnsi="Calibri"/>
        </w:rPr>
        <w:footnoteReference w:id="227"/>
      </w:r>
      <w:r w:rsidR="00211F9F" w:rsidRPr="0090438F">
        <w:rPr>
          <w:rFonts w:ascii="Calibri" w:hAnsi="Calibri"/>
        </w:rPr>
        <w:t xml:space="preserve"> </w:t>
      </w:r>
      <w:r w:rsidR="005857C6" w:rsidRPr="0090438F">
        <w:rPr>
          <w:rFonts w:ascii="Calibri" w:hAnsi="Calibri"/>
        </w:rPr>
        <w:t>In December 2009 the Foreign Affairs Minister organized a seminar on ‘Challenges in the Implementation of Resolution 1325’, to</w:t>
      </w:r>
      <w:r w:rsidR="00BD66EF" w:rsidRPr="0090438F">
        <w:rPr>
          <w:rFonts w:ascii="Calibri" w:hAnsi="Calibri"/>
        </w:rPr>
        <w:t xml:space="preserve"> better</w:t>
      </w:r>
      <w:r w:rsidR="005857C6" w:rsidRPr="0090438F">
        <w:rPr>
          <w:rFonts w:ascii="Calibri" w:hAnsi="Calibri"/>
        </w:rPr>
        <w:t xml:space="preserve"> involve civil society in </w:t>
      </w:r>
      <w:r w:rsidR="00BD66EF" w:rsidRPr="0090438F">
        <w:rPr>
          <w:rFonts w:ascii="Calibri" w:hAnsi="Calibri"/>
        </w:rPr>
        <w:t>implementing</w:t>
      </w:r>
      <w:r w:rsidR="005857C6" w:rsidRPr="0090438F">
        <w:rPr>
          <w:rFonts w:ascii="Calibri" w:hAnsi="Calibri"/>
        </w:rPr>
        <w:t xml:space="preserve"> the NAP. </w:t>
      </w:r>
    </w:p>
    <w:p w14:paraId="159BBDE2" w14:textId="77777777" w:rsidR="005857C6" w:rsidRPr="0090438F" w:rsidRDefault="005857C6" w:rsidP="00874314">
      <w:pPr>
        <w:jc w:val="both"/>
        <w:rPr>
          <w:rFonts w:ascii="Calibri" w:hAnsi="Calibri"/>
        </w:rPr>
      </w:pPr>
    </w:p>
    <w:p w14:paraId="6B99DD51" w14:textId="0EE8082D" w:rsidR="008D4BBE" w:rsidRPr="0090438F" w:rsidRDefault="00D55C34" w:rsidP="00CD181F">
      <w:pPr>
        <w:spacing w:line="360" w:lineRule="auto"/>
        <w:jc w:val="both"/>
        <w:rPr>
          <w:rFonts w:ascii="Calibri" w:hAnsi="Calibri"/>
        </w:rPr>
      </w:pPr>
      <w:r w:rsidRPr="0090438F">
        <w:rPr>
          <w:rFonts w:ascii="Calibri" w:hAnsi="Calibri"/>
        </w:rPr>
        <w:lastRenderedPageBreak/>
        <w:t>The first NAP was unique in focusing on regional cooperation and foreign relations.</w:t>
      </w:r>
      <w:r w:rsidRPr="0090438F">
        <w:rPr>
          <w:rStyle w:val="FootnoteReference"/>
          <w:rFonts w:ascii="Calibri" w:hAnsi="Calibri"/>
        </w:rPr>
        <w:footnoteReference w:id="228"/>
      </w:r>
      <w:r w:rsidRPr="0090438F">
        <w:rPr>
          <w:rFonts w:ascii="Calibri" w:hAnsi="Calibri"/>
        </w:rPr>
        <w:t xml:space="preserve"> </w:t>
      </w:r>
      <w:r w:rsidR="00874314" w:rsidRPr="0090438F">
        <w:rPr>
          <w:rFonts w:ascii="Calibri" w:hAnsi="Calibri"/>
        </w:rPr>
        <w:t xml:space="preserve">The </w:t>
      </w:r>
      <w:r w:rsidR="001109DA" w:rsidRPr="0090438F">
        <w:rPr>
          <w:rFonts w:ascii="Calibri" w:hAnsi="Calibri"/>
        </w:rPr>
        <w:t xml:space="preserve">NAP </w:t>
      </w:r>
      <w:r w:rsidR="00396B07" w:rsidRPr="0090438F">
        <w:rPr>
          <w:rFonts w:ascii="Calibri" w:hAnsi="Calibri"/>
        </w:rPr>
        <w:t>had</w:t>
      </w:r>
      <w:r w:rsidR="00874314" w:rsidRPr="0090438F">
        <w:rPr>
          <w:rFonts w:ascii="Calibri" w:hAnsi="Calibri"/>
        </w:rPr>
        <w:t xml:space="preserve"> </w:t>
      </w:r>
      <w:r w:rsidR="001109DA" w:rsidRPr="0090438F">
        <w:rPr>
          <w:rFonts w:ascii="Calibri" w:hAnsi="Calibri"/>
        </w:rPr>
        <w:t>five pillars</w:t>
      </w:r>
      <w:r w:rsidR="00874314" w:rsidRPr="0090438F">
        <w:rPr>
          <w:rFonts w:ascii="Calibri" w:hAnsi="Calibri"/>
        </w:rPr>
        <w:t xml:space="preserve">: (1) Applying a gender focus </w:t>
      </w:r>
      <w:r w:rsidR="002827AD" w:rsidRPr="0090438F">
        <w:rPr>
          <w:rFonts w:ascii="Calibri" w:hAnsi="Calibri"/>
        </w:rPr>
        <w:t xml:space="preserve">to respecting and promoting </w:t>
      </w:r>
      <w:r w:rsidR="00874314" w:rsidRPr="0090438F">
        <w:rPr>
          <w:rFonts w:ascii="Calibri" w:hAnsi="Calibri"/>
        </w:rPr>
        <w:t xml:space="preserve">human rights in Chile and beyond </w:t>
      </w:r>
      <w:r w:rsidR="00BD66EF" w:rsidRPr="0090438F">
        <w:rPr>
          <w:rFonts w:ascii="Calibri" w:hAnsi="Calibri"/>
        </w:rPr>
        <w:t xml:space="preserve">Chile’s </w:t>
      </w:r>
      <w:r w:rsidR="00874314" w:rsidRPr="0090438F">
        <w:rPr>
          <w:rFonts w:ascii="Calibri" w:hAnsi="Calibri"/>
        </w:rPr>
        <w:t xml:space="preserve">borders; (2) Promoting </w:t>
      </w:r>
      <w:r w:rsidR="002827AD" w:rsidRPr="0090438F">
        <w:rPr>
          <w:rFonts w:ascii="Calibri" w:hAnsi="Calibri"/>
        </w:rPr>
        <w:t xml:space="preserve">women’s </w:t>
      </w:r>
      <w:r w:rsidR="00211F9F" w:rsidRPr="0090438F">
        <w:rPr>
          <w:rFonts w:ascii="Calibri" w:hAnsi="Calibri"/>
        </w:rPr>
        <w:t xml:space="preserve">equal participation in </w:t>
      </w:r>
      <w:r w:rsidR="00874314" w:rsidRPr="0090438F">
        <w:rPr>
          <w:rFonts w:ascii="Calibri" w:hAnsi="Calibri"/>
        </w:rPr>
        <w:t>peace operations</w:t>
      </w:r>
      <w:r w:rsidR="00211F9F" w:rsidRPr="0090438F">
        <w:rPr>
          <w:rFonts w:ascii="Calibri" w:hAnsi="Calibri"/>
        </w:rPr>
        <w:t>, including</w:t>
      </w:r>
      <w:r w:rsidR="00874314" w:rsidRPr="0090438F">
        <w:rPr>
          <w:rFonts w:ascii="Calibri" w:hAnsi="Calibri"/>
        </w:rPr>
        <w:t xml:space="preserve"> decision-making; (3) Considering </w:t>
      </w:r>
      <w:r w:rsidR="00DC5DE2" w:rsidRPr="0090438F">
        <w:rPr>
          <w:rFonts w:ascii="Calibri" w:hAnsi="Calibri"/>
        </w:rPr>
        <w:t xml:space="preserve">gender-responsive </w:t>
      </w:r>
      <w:r w:rsidR="00874314" w:rsidRPr="0090438F">
        <w:rPr>
          <w:rFonts w:ascii="Calibri" w:hAnsi="Calibri"/>
        </w:rPr>
        <w:t>policies in the design, i</w:t>
      </w:r>
      <w:r w:rsidR="00DC5DE2" w:rsidRPr="0090438F">
        <w:rPr>
          <w:rFonts w:ascii="Calibri" w:hAnsi="Calibri"/>
        </w:rPr>
        <w:t>mplementation and execution of Chile’s</w:t>
      </w:r>
      <w:r w:rsidR="00874314" w:rsidRPr="0090438F">
        <w:rPr>
          <w:rFonts w:ascii="Calibri" w:hAnsi="Calibri"/>
        </w:rPr>
        <w:t xml:space="preserve"> international cooperation; (4) Strengthenin</w:t>
      </w:r>
      <w:r w:rsidR="00211F9F" w:rsidRPr="0090438F">
        <w:rPr>
          <w:rFonts w:ascii="Calibri" w:hAnsi="Calibri"/>
        </w:rPr>
        <w:t>g the technical capacity of</w:t>
      </w:r>
      <w:r w:rsidR="00874314" w:rsidRPr="0090438F">
        <w:rPr>
          <w:rFonts w:ascii="Calibri" w:hAnsi="Calibri"/>
        </w:rPr>
        <w:t xml:space="preserve"> public officials and civil society </w:t>
      </w:r>
      <w:r w:rsidR="00DC5DE2" w:rsidRPr="0090438F">
        <w:rPr>
          <w:rFonts w:ascii="Calibri" w:hAnsi="Calibri"/>
        </w:rPr>
        <w:t>on</w:t>
      </w:r>
      <w:r w:rsidR="00874314" w:rsidRPr="0090438F">
        <w:rPr>
          <w:rFonts w:ascii="Calibri" w:hAnsi="Calibri"/>
        </w:rPr>
        <w:t xml:space="preserve"> gender, security and conflict; and (5) Promoting the implementation of </w:t>
      </w:r>
      <w:r w:rsidR="008C15E2" w:rsidRPr="0090438F">
        <w:rPr>
          <w:rFonts w:ascii="Calibri" w:hAnsi="Calibri"/>
        </w:rPr>
        <w:t>SCR</w:t>
      </w:r>
      <w:r w:rsidR="00874314" w:rsidRPr="0090438F">
        <w:rPr>
          <w:rFonts w:ascii="Calibri" w:hAnsi="Calibri"/>
        </w:rPr>
        <w:t xml:space="preserve"> 1325 in the region by sharing experiences, bilaterally and </w:t>
      </w:r>
      <w:r w:rsidR="002827AD" w:rsidRPr="0090438F">
        <w:rPr>
          <w:rFonts w:ascii="Calibri" w:hAnsi="Calibri"/>
        </w:rPr>
        <w:t xml:space="preserve">via </w:t>
      </w:r>
      <w:r w:rsidR="00874314" w:rsidRPr="0090438F">
        <w:rPr>
          <w:rFonts w:ascii="Calibri" w:hAnsi="Calibri"/>
        </w:rPr>
        <w:t>regional peacekeeping mechanisms</w:t>
      </w:r>
      <w:r w:rsidR="00DC5DE2" w:rsidRPr="0090438F">
        <w:rPr>
          <w:rFonts w:ascii="Calibri" w:hAnsi="Calibri"/>
        </w:rPr>
        <w:t>, and through international cooperation</w:t>
      </w:r>
      <w:r w:rsidR="00874314" w:rsidRPr="0090438F">
        <w:rPr>
          <w:rFonts w:ascii="Calibri" w:hAnsi="Calibri"/>
        </w:rPr>
        <w:t>.</w:t>
      </w:r>
      <w:r w:rsidR="008C15E2" w:rsidRPr="0090438F">
        <w:rPr>
          <w:rFonts w:ascii="Calibri" w:hAnsi="Calibri"/>
        </w:rPr>
        <w:t xml:space="preserve"> </w:t>
      </w:r>
    </w:p>
    <w:p w14:paraId="2184FB72" w14:textId="77777777" w:rsidR="008D4BBE" w:rsidRPr="0090438F" w:rsidRDefault="008D4BBE" w:rsidP="00874314">
      <w:pPr>
        <w:jc w:val="both"/>
        <w:rPr>
          <w:rFonts w:ascii="Calibri" w:hAnsi="Calibri"/>
        </w:rPr>
      </w:pPr>
    </w:p>
    <w:p w14:paraId="5C3D19F3" w14:textId="6BE359BE" w:rsidR="00211F9F" w:rsidRPr="0090438F" w:rsidRDefault="008D4BBE" w:rsidP="00CD181F">
      <w:pPr>
        <w:spacing w:line="360" w:lineRule="auto"/>
        <w:jc w:val="both"/>
        <w:rPr>
          <w:rFonts w:ascii="Calibri" w:hAnsi="Calibri" w:cs="Times New Roman"/>
        </w:rPr>
      </w:pPr>
      <w:r w:rsidRPr="0090438F">
        <w:rPr>
          <w:rFonts w:ascii="Calibri" w:hAnsi="Calibri"/>
        </w:rPr>
        <w:t xml:space="preserve">The first NAP referred to Chile’s </w:t>
      </w:r>
      <w:r w:rsidR="001031A6" w:rsidRPr="0090438F">
        <w:rPr>
          <w:rFonts w:ascii="Calibri" w:hAnsi="Calibri"/>
        </w:rPr>
        <w:t>commitment</w:t>
      </w:r>
      <w:r w:rsidRPr="0090438F">
        <w:rPr>
          <w:rFonts w:ascii="Calibri" w:hAnsi="Calibri"/>
        </w:rPr>
        <w:t xml:space="preserve"> to</w:t>
      </w:r>
      <w:r w:rsidR="001031A6" w:rsidRPr="0090438F">
        <w:rPr>
          <w:rFonts w:ascii="Calibri" w:hAnsi="Calibri"/>
        </w:rPr>
        <w:t xml:space="preserve"> “the main human rights principles, including the obligation of non-discrimination in the exercise of individual rights”.</w:t>
      </w:r>
      <w:r w:rsidR="001031A6" w:rsidRPr="0090438F">
        <w:rPr>
          <w:rStyle w:val="FootnoteReference"/>
          <w:rFonts w:ascii="Calibri" w:hAnsi="Calibri"/>
        </w:rPr>
        <w:footnoteReference w:id="229"/>
      </w:r>
      <w:r w:rsidR="008D4C60" w:rsidRPr="0090438F">
        <w:rPr>
          <w:rFonts w:ascii="Calibri" w:hAnsi="Calibri"/>
        </w:rPr>
        <w:t xml:space="preserve"> It affirmed </w:t>
      </w:r>
      <w:r w:rsidR="001031A6" w:rsidRPr="0090438F">
        <w:rPr>
          <w:rFonts w:ascii="Calibri" w:hAnsi="Calibri"/>
        </w:rPr>
        <w:t xml:space="preserve">Chile’s obligations on </w:t>
      </w:r>
      <w:r w:rsidR="000A1EA1" w:rsidRPr="0090438F">
        <w:rPr>
          <w:rFonts w:ascii="Calibri" w:hAnsi="Calibri"/>
        </w:rPr>
        <w:t>gender equality</w:t>
      </w:r>
      <w:r w:rsidRPr="0090438F">
        <w:rPr>
          <w:rFonts w:ascii="Calibri" w:hAnsi="Calibri"/>
        </w:rPr>
        <w:t xml:space="preserve"> under CEDAW, noting that these were reinforced at the regional level via </w:t>
      </w:r>
      <w:r w:rsidRPr="0090438F">
        <w:rPr>
          <w:rFonts w:ascii="Calibri" w:hAnsi="Calibri" w:cs="Times New Roman"/>
        </w:rPr>
        <w:t>the Inter American Convention on the Prevention, Punishment and Eradication of Violence against Wom</w:t>
      </w:r>
      <w:r w:rsidR="0090438F" w:rsidRPr="0090438F">
        <w:rPr>
          <w:rFonts w:ascii="Calibri" w:hAnsi="Calibri" w:cs="Times New Roman"/>
        </w:rPr>
        <w:t>en 1994 (Convention of Belém do Pará</w:t>
      </w:r>
      <w:r w:rsidRPr="0090438F">
        <w:rPr>
          <w:rFonts w:ascii="Calibri" w:hAnsi="Calibri" w:cs="Times New Roman"/>
        </w:rPr>
        <w:t>). The first NAP recognised Chile’s international commitments on gender equality under the BPfA and the Millennium Development Goals, as well as its international criminal law obligations under the Rome Statute of the International Criminal Court 1998.</w:t>
      </w:r>
      <w:r w:rsidRPr="0090438F">
        <w:rPr>
          <w:rStyle w:val="FootnoteReference"/>
          <w:rFonts w:ascii="Calibri" w:hAnsi="Calibri" w:cs="Times New Roman"/>
        </w:rPr>
        <w:footnoteReference w:id="230"/>
      </w:r>
      <w:r w:rsidR="000A1EA1" w:rsidRPr="0090438F">
        <w:rPr>
          <w:rFonts w:ascii="Calibri" w:hAnsi="Calibri" w:cs="Times New Roman"/>
        </w:rPr>
        <w:t xml:space="preserve"> </w:t>
      </w:r>
      <w:r w:rsidR="008D4C60" w:rsidRPr="0090438F">
        <w:rPr>
          <w:rFonts w:ascii="Calibri" w:hAnsi="Calibri"/>
        </w:rPr>
        <w:t>Chile also referred to the NAP in its country</w:t>
      </w:r>
      <w:r w:rsidR="00396B07" w:rsidRPr="0090438F">
        <w:rPr>
          <w:rFonts w:ascii="Calibri" w:hAnsi="Calibri"/>
        </w:rPr>
        <w:t xml:space="preserve"> report to the CEDAW Committee in 2011, </w:t>
      </w:r>
      <w:r w:rsidR="008D4C60" w:rsidRPr="0090438F">
        <w:rPr>
          <w:rFonts w:ascii="Calibri" w:hAnsi="Calibri"/>
        </w:rPr>
        <w:t>as a sign of Chilean</w:t>
      </w:r>
      <w:r w:rsidR="00874314" w:rsidRPr="0090438F">
        <w:rPr>
          <w:rFonts w:ascii="Calibri" w:hAnsi="Calibri"/>
        </w:rPr>
        <w:t xml:space="preserve"> “commitment to full engagement in international action and, as part of that effort, to mainstreaming the social and gender perspective into peace operations”</w:t>
      </w:r>
      <w:r w:rsidR="00396B07" w:rsidRPr="0090438F">
        <w:rPr>
          <w:rFonts w:ascii="Calibri" w:hAnsi="Calibri"/>
        </w:rPr>
        <w:t>.</w:t>
      </w:r>
      <w:r w:rsidR="00874314" w:rsidRPr="0090438F">
        <w:rPr>
          <w:rStyle w:val="FootnoteReference"/>
          <w:rFonts w:ascii="Calibri" w:hAnsi="Calibri"/>
        </w:rPr>
        <w:footnoteReference w:id="231"/>
      </w:r>
      <w:r w:rsidR="002827AD" w:rsidRPr="0090438F">
        <w:rPr>
          <w:rFonts w:ascii="Calibri" w:hAnsi="Calibri"/>
        </w:rPr>
        <w:t xml:space="preserve"> </w:t>
      </w:r>
    </w:p>
    <w:p w14:paraId="58C80204" w14:textId="77777777" w:rsidR="000A1EA1" w:rsidRPr="0090438F" w:rsidRDefault="000A1EA1" w:rsidP="00874314">
      <w:pPr>
        <w:jc w:val="both"/>
        <w:rPr>
          <w:rFonts w:ascii="Calibri" w:hAnsi="Calibri"/>
        </w:rPr>
      </w:pPr>
    </w:p>
    <w:p w14:paraId="05AD02EC" w14:textId="1670C3B0" w:rsidR="00BB71B2" w:rsidRPr="0090438F" w:rsidRDefault="00BB71B2" w:rsidP="00BB71B2">
      <w:pPr>
        <w:jc w:val="both"/>
        <w:rPr>
          <w:rFonts w:ascii="Calibri" w:hAnsi="Calibri"/>
          <w:b/>
          <w:color w:val="1F497D" w:themeColor="text2"/>
          <w:u w:val="single"/>
        </w:rPr>
      </w:pPr>
      <w:r w:rsidRPr="0090438F">
        <w:rPr>
          <w:rFonts w:ascii="Calibri" w:hAnsi="Calibri"/>
          <w:b/>
          <w:color w:val="1F497D" w:themeColor="text2"/>
          <w:u w:val="single"/>
        </w:rPr>
        <w:t>Second NAP (2015-18)</w:t>
      </w:r>
    </w:p>
    <w:p w14:paraId="28D81BBE" w14:textId="77777777" w:rsidR="00BB71B2" w:rsidRPr="0090438F" w:rsidRDefault="00BB71B2" w:rsidP="00874314">
      <w:pPr>
        <w:jc w:val="both"/>
        <w:rPr>
          <w:rFonts w:ascii="Calibri" w:hAnsi="Calibri"/>
        </w:rPr>
      </w:pPr>
    </w:p>
    <w:p w14:paraId="78FFB563" w14:textId="34B47C48" w:rsidR="00874314" w:rsidRPr="0090438F" w:rsidRDefault="002827AD" w:rsidP="00CD181F">
      <w:pPr>
        <w:spacing w:line="360" w:lineRule="auto"/>
        <w:jc w:val="both"/>
        <w:rPr>
          <w:rFonts w:ascii="Calibri" w:hAnsi="Calibri"/>
        </w:rPr>
      </w:pPr>
      <w:r w:rsidRPr="0090438F">
        <w:rPr>
          <w:rFonts w:ascii="Calibri" w:hAnsi="Calibri"/>
        </w:rPr>
        <w:t>Chile</w:t>
      </w:r>
      <w:r w:rsidR="00BB71B2" w:rsidRPr="0090438F">
        <w:rPr>
          <w:rFonts w:ascii="Calibri" w:hAnsi="Calibri"/>
        </w:rPr>
        <w:t>’s</w:t>
      </w:r>
      <w:r w:rsidRPr="0090438F">
        <w:rPr>
          <w:rFonts w:ascii="Calibri" w:hAnsi="Calibri"/>
        </w:rPr>
        <w:t xml:space="preserve"> </w:t>
      </w:r>
      <w:r w:rsidR="00151500" w:rsidRPr="0090438F">
        <w:rPr>
          <w:rFonts w:ascii="Calibri" w:hAnsi="Calibri"/>
        </w:rPr>
        <w:t xml:space="preserve">very recently </w:t>
      </w:r>
      <w:r w:rsidR="00BB71B2" w:rsidRPr="0090438F">
        <w:rPr>
          <w:rFonts w:ascii="Calibri" w:hAnsi="Calibri"/>
        </w:rPr>
        <w:t>completed</w:t>
      </w:r>
      <w:r w:rsidRPr="0090438F">
        <w:rPr>
          <w:rFonts w:ascii="Calibri" w:hAnsi="Calibri"/>
        </w:rPr>
        <w:t xml:space="preserve"> second NAP</w:t>
      </w:r>
      <w:r w:rsidR="00BB71B2" w:rsidRPr="0090438F">
        <w:rPr>
          <w:rFonts w:ascii="Calibri" w:hAnsi="Calibri"/>
        </w:rPr>
        <w:t xml:space="preserve"> (adopted on March 2015)</w:t>
      </w:r>
      <w:r w:rsidRPr="0090438F">
        <w:rPr>
          <w:rFonts w:ascii="Calibri" w:hAnsi="Calibri"/>
        </w:rPr>
        <w:t xml:space="preserve"> </w:t>
      </w:r>
      <w:r w:rsidR="00A731BE" w:rsidRPr="0090438F">
        <w:rPr>
          <w:rFonts w:ascii="Calibri" w:hAnsi="Calibri"/>
        </w:rPr>
        <w:t>makes two key improvements compared to its predecessor</w:t>
      </w:r>
      <w:r w:rsidRPr="0090438F">
        <w:rPr>
          <w:rFonts w:ascii="Calibri" w:hAnsi="Calibri"/>
        </w:rPr>
        <w:t xml:space="preserve">. </w:t>
      </w:r>
      <w:r w:rsidR="00A731BE" w:rsidRPr="0090438F">
        <w:rPr>
          <w:rFonts w:ascii="Calibri" w:hAnsi="Calibri"/>
        </w:rPr>
        <w:t>The</w:t>
      </w:r>
      <w:r w:rsidR="00211F9F" w:rsidRPr="0090438F">
        <w:rPr>
          <w:rFonts w:ascii="Calibri" w:hAnsi="Calibri"/>
        </w:rPr>
        <w:t xml:space="preserve"> </w:t>
      </w:r>
      <w:r w:rsidR="00C36C65" w:rsidRPr="0090438F">
        <w:rPr>
          <w:rFonts w:ascii="Calibri" w:hAnsi="Calibri"/>
        </w:rPr>
        <w:t>new NAP</w:t>
      </w:r>
      <w:r w:rsidR="00211F9F" w:rsidRPr="0090438F">
        <w:rPr>
          <w:rFonts w:ascii="Calibri" w:hAnsi="Calibri"/>
        </w:rPr>
        <w:t xml:space="preserve"> </w:t>
      </w:r>
      <w:r w:rsidR="00C36C65" w:rsidRPr="0090438F">
        <w:rPr>
          <w:rFonts w:ascii="Calibri" w:hAnsi="Calibri"/>
        </w:rPr>
        <w:t xml:space="preserve">seeks </w:t>
      </w:r>
      <w:r w:rsidR="00C36C65" w:rsidRPr="0090438F">
        <w:rPr>
          <w:rFonts w:ascii="Calibri" w:hAnsi="Calibri"/>
          <w:b/>
          <w:color w:val="4F81BD" w:themeColor="accent1"/>
        </w:rPr>
        <w:t>integrate all of the SCRs on WPS</w:t>
      </w:r>
      <w:r w:rsidR="0095795F" w:rsidRPr="0090438F">
        <w:rPr>
          <w:rFonts w:ascii="Calibri" w:hAnsi="Calibri"/>
        </w:rPr>
        <w:t xml:space="preserve">, </w:t>
      </w:r>
      <w:r w:rsidR="00C36C65" w:rsidRPr="0090438F">
        <w:rPr>
          <w:rFonts w:ascii="Calibri" w:hAnsi="Calibri"/>
        </w:rPr>
        <w:t xml:space="preserve">to fulfil the obligations contained in them. </w:t>
      </w:r>
      <w:r w:rsidR="0095795F" w:rsidRPr="0090438F">
        <w:rPr>
          <w:rFonts w:ascii="Calibri" w:hAnsi="Calibri"/>
        </w:rPr>
        <w:t>As discussed in Section 1, the resolutions that follow SCR 1325 reflect a wider range of state obligations under international law, and their inclusion in the new NAP shows Chile’s acknowledgement of its commitments beyond SCR 1325</w:t>
      </w:r>
      <w:r w:rsidR="00BB71B2" w:rsidRPr="0090438F">
        <w:rPr>
          <w:rFonts w:ascii="Calibri" w:hAnsi="Calibri"/>
        </w:rPr>
        <w:t xml:space="preserve"> and the international and regional treaties already mentioned in the first NAP</w:t>
      </w:r>
      <w:r w:rsidR="0095795F" w:rsidRPr="0090438F">
        <w:rPr>
          <w:rFonts w:ascii="Calibri" w:hAnsi="Calibri"/>
        </w:rPr>
        <w:t xml:space="preserve">. </w:t>
      </w:r>
      <w:r w:rsidR="00A731BE" w:rsidRPr="0090438F">
        <w:rPr>
          <w:rFonts w:ascii="Calibri" w:hAnsi="Calibri"/>
        </w:rPr>
        <w:t>The</w:t>
      </w:r>
      <w:r w:rsidR="0095795F" w:rsidRPr="0090438F">
        <w:rPr>
          <w:rFonts w:ascii="Calibri" w:hAnsi="Calibri"/>
        </w:rPr>
        <w:t xml:space="preserve"> new NAP also includes </w:t>
      </w:r>
      <w:r w:rsidR="008D4C60" w:rsidRPr="0090438F">
        <w:rPr>
          <w:rFonts w:ascii="Calibri" w:hAnsi="Calibri"/>
        </w:rPr>
        <w:t>outcome indicators that allow for the measurement of concrete results</w:t>
      </w:r>
      <w:r w:rsidR="00C36C65" w:rsidRPr="0090438F">
        <w:rPr>
          <w:rFonts w:ascii="Calibri" w:hAnsi="Calibri"/>
        </w:rPr>
        <w:t xml:space="preserve">. </w:t>
      </w:r>
      <w:r w:rsidR="0095795F" w:rsidRPr="0090438F">
        <w:rPr>
          <w:rFonts w:ascii="Calibri" w:hAnsi="Calibri"/>
        </w:rPr>
        <w:t xml:space="preserve"> As this second NAP is implemented, monitored and evaluated, these </w:t>
      </w:r>
      <w:r w:rsidR="0095795F" w:rsidRPr="0090438F">
        <w:rPr>
          <w:rFonts w:ascii="Calibri" w:hAnsi="Calibri"/>
        </w:rPr>
        <w:lastRenderedPageBreak/>
        <w:t xml:space="preserve">indicators will be crucial to ensuring its effectiveness. </w:t>
      </w:r>
      <w:r w:rsidR="00A731BE" w:rsidRPr="0090438F">
        <w:rPr>
          <w:rFonts w:ascii="Calibri" w:hAnsi="Calibri"/>
        </w:rPr>
        <w:t>It is not yet known whether women and girls, and their civil society organizations, were included in the shaping these indica</w:t>
      </w:r>
      <w:r w:rsidR="00BB71B2" w:rsidRPr="0090438F">
        <w:rPr>
          <w:rFonts w:ascii="Calibri" w:hAnsi="Calibri"/>
        </w:rPr>
        <w:t xml:space="preserve">tors, or whether consultations </w:t>
      </w:r>
      <w:r w:rsidR="00A731BE" w:rsidRPr="0090438F">
        <w:rPr>
          <w:rFonts w:ascii="Calibri" w:hAnsi="Calibri"/>
        </w:rPr>
        <w:t xml:space="preserve">on the indicators and the wider NAP process were held </w:t>
      </w:r>
      <w:r w:rsidR="008D4C60" w:rsidRPr="0090438F">
        <w:rPr>
          <w:rFonts w:ascii="Calibri" w:hAnsi="Calibri"/>
        </w:rPr>
        <w:t>via a whole-of-government approach</w:t>
      </w:r>
      <w:r w:rsidR="00A731BE" w:rsidRPr="0090438F">
        <w:rPr>
          <w:rFonts w:ascii="Calibri" w:hAnsi="Calibri"/>
        </w:rPr>
        <w:t xml:space="preserve"> (as with the previous NAP). </w:t>
      </w:r>
    </w:p>
    <w:p w14:paraId="7C2EB20A" w14:textId="77777777" w:rsidR="00211F9F" w:rsidRPr="0090438F" w:rsidRDefault="00211F9F" w:rsidP="00874314">
      <w:pPr>
        <w:jc w:val="both"/>
        <w:rPr>
          <w:rFonts w:ascii="Calibri" w:hAnsi="Calibri"/>
        </w:rPr>
      </w:pPr>
    </w:p>
    <w:p w14:paraId="6749684C" w14:textId="0B10AE6D" w:rsidR="0095795F" w:rsidRPr="0090438F" w:rsidRDefault="00211F9F" w:rsidP="00CD181F">
      <w:pPr>
        <w:spacing w:line="360" w:lineRule="auto"/>
        <w:jc w:val="both"/>
        <w:rPr>
          <w:rFonts w:ascii="Calibri" w:hAnsi="Calibri"/>
        </w:rPr>
      </w:pPr>
      <w:r w:rsidRPr="0090438F">
        <w:rPr>
          <w:rFonts w:ascii="Calibri" w:hAnsi="Calibri"/>
        </w:rPr>
        <w:t xml:space="preserve">The </w:t>
      </w:r>
      <w:r w:rsidR="00A731BE" w:rsidRPr="0090438F">
        <w:rPr>
          <w:rFonts w:ascii="Calibri" w:hAnsi="Calibri"/>
        </w:rPr>
        <w:t>new</w:t>
      </w:r>
      <w:r w:rsidRPr="0090438F">
        <w:rPr>
          <w:rFonts w:ascii="Calibri" w:hAnsi="Calibri"/>
        </w:rPr>
        <w:t xml:space="preserve"> NAP </w:t>
      </w:r>
      <w:r w:rsidR="0095795F" w:rsidRPr="0090438F">
        <w:rPr>
          <w:rFonts w:ascii="Calibri" w:hAnsi="Calibri"/>
        </w:rPr>
        <w:t>follow</w:t>
      </w:r>
      <w:r w:rsidR="00BB71B2" w:rsidRPr="0090438F">
        <w:rPr>
          <w:rFonts w:ascii="Calibri" w:hAnsi="Calibri"/>
        </w:rPr>
        <w:t>s</w:t>
      </w:r>
      <w:r w:rsidR="0095795F" w:rsidRPr="0090438F">
        <w:rPr>
          <w:rFonts w:ascii="Calibri" w:hAnsi="Calibri"/>
        </w:rPr>
        <w:t xml:space="preserve"> the four pillars of SCR 1325, </w:t>
      </w:r>
      <w:r w:rsidR="00BB71B2" w:rsidRPr="0090438F">
        <w:rPr>
          <w:rFonts w:ascii="Calibri" w:hAnsi="Calibri"/>
        </w:rPr>
        <w:t xml:space="preserve">slightly </w:t>
      </w:r>
      <w:r w:rsidR="0095795F" w:rsidRPr="0090438F">
        <w:rPr>
          <w:rFonts w:ascii="Calibri" w:hAnsi="Calibri"/>
        </w:rPr>
        <w:t>modifying the fourth</w:t>
      </w:r>
      <w:r w:rsidR="008D4C60" w:rsidRPr="0090438F">
        <w:rPr>
          <w:rFonts w:ascii="Calibri" w:hAnsi="Calibri"/>
        </w:rPr>
        <w:t xml:space="preserve"> pillar</w:t>
      </w:r>
      <w:r w:rsidR="0095795F" w:rsidRPr="0090438F">
        <w:rPr>
          <w:rFonts w:ascii="Calibri" w:hAnsi="Calibri"/>
        </w:rPr>
        <w:t xml:space="preserve"> </w:t>
      </w:r>
      <w:r w:rsidR="00BB71B2" w:rsidRPr="0090438F">
        <w:rPr>
          <w:rFonts w:ascii="Calibri" w:hAnsi="Calibri"/>
        </w:rPr>
        <w:t>(relief and recovery) to address aid and recuperation:</w:t>
      </w:r>
    </w:p>
    <w:p w14:paraId="1759AF42" w14:textId="77777777" w:rsidR="00CD181F" w:rsidRPr="0090438F" w:rsidRDefault="00CD181F" w:rsidP="00CD181F">
      <w:pPr>
        <w:jc w:val="both"/>
        <w:rPr>
          <w:rFonts w:ascii="Calibri" w:hAnsi="Calibri"/>
        </w:rPr>
      </w:pPr>
    </w:p>
    <w:p w14:paraId="739AA270" w14:textId="4EB806EA" w:rsidR="0095795F" w:rsidRPr="0090438F" w:rsidRDefault="00CD181F" w:rsidP="00CD181F">
      <w:pPr>
        <w:spacing w:line="360" w:lineRule="auto"/>
        <w:jc w:val="both"/>
        <w:rPr>
          <w:rFonts w:ascii="Calibri" w:hAnsi="Calibri"/>
        </w:rPr>
      </w:pPr>
      <w:r w:rsidRPr="0090438F">
        <w:rPr>
          <w:rFonts w:ascii="Calibri" w:hAnsi="Calibri"/>
        </w:rPr>
        <w:t>(</w:t>
      </w:r>
      <w:r w:rsidR="00211F9F" w:rsidRPr="0090438F">
        <w:rPr>
          <w:rFonts w:ascii="Calibri" w:hAnsi="Calibri"/>
        </w:rPr>
        <w:t>1) Prevention</w:t>
      </w:r>
      <w:r w:rsidR="0095795F" w:rsidRPr="0090438F">
        <w:rPr>
          <w:rFonts w:ascii="Calibri" w:hAnsi="Calibri"/>
        </w:rPr>
        <w:t>, namely</w:t>
      </w:r>
      <w:r w:rsidR="00211F9F" w:rsidRPr="0090438F">
        <w:rPr>
          <w:rFonts w:ascii="Calibri" w:hAnsi="Calibri"/>
        </w:rPr>
        <w:t>: a) incorporating a gender perspective in all activities and strategies of conflict prevention and the main</w:t>
      </w:r>
      <w:r w:rsidR="0095795F" w:rsidRPr="0090438F">
        <w:rPr>
          <w:rFonts w:ascii="Calibri" w:hAnsi="Calibri"/>
        </w:rPr>
        <w:t xml:space="preserve">tenance and promotion of peace; </w:t>
      </w:r>
      <w:r w:rsidR="00211F9F" w:rsidRPr="0090438F">
        <w:rPr>
          <w:rFonts w:ascii="Calibri" w:hAnsi="Calibri"/>
        </w:rPr>
        <w:t xml:space="preserve">b) creating effective </w:t>
      </w:r>
      <w:r w:rsidR="0095795F" w:rsidRPr="0090438F">
        <w:rPr>
          <w:rFonts w:ascii="Calibri" w:hAnsi="Calibri"/>
        </w:rPr>
        <w:t xml:space="preserve">and gender-responsive </w:t>
      </w:r>
      <w:r w:rsidR="00211F9F" w:rsidRPr="0090438F">
        <w:rPr>
          <w:rFonts w:ascii="Calibri" w:hAnsi="Calibri"/>
        </w:rPr>
        <w:t>‘early warning’ mechanisms</w:t>
      </w:r>
      <w:r w:rsidR="0095795F" w:rsidRPr="0090438F">
        <w:rPr>
          <w:rFonts w:ascii="Calibri" w:hAnsi="Calibri"/>
        </w:rPr>
        <w:t xml:space="preserve">; </w:t>
      </w:r>
      <w:r w:rsidR="00211F9F" w:rsidRPr="0090438F">
        <w:rPr>
          <w:rFonts w:ascii="Calibri" w:hAnsi="Calibri"/>
        </w:rPr>
        <w:t xml:space="preserve">and c) strengthening instruments </w:t>
      </w:r>
      <w:r w:rsidR="0095795F" w:rsidRPr="0090438F">
        <w:rPr>
          <w:rFonts w:ascii="Calibri" w:hAnsi="Calibri"/>
        </w:rPr>
        <w:t>to prevent gender-based</w:t>
      </w:r>
      <w:r w:rsidR="00211F9F" w:rsidRPr="0090438F">
        <w:rPr>
          <w:rFonts w:ascii="Calibri" w:hAnsi="Calibri"/>
        </w:rPr>
        <w:t xml:space="preserve"> violence </w:t>
      </w:r>
      <w:r w:rsidR="0095795F" w:rsidRPr="0090438F">
        <w:rPr>
          <w:rFonts w:ascii="Calibri" w:hAnsi="Calibri"/>
        </w:rPr>
        <w:t xml:space="preserve">(GBV) </w:t>
      </w:r>
      <w:r w:rsidR="00211F9F" w:rsidRPr="0090438F">
        <w:rPr>
          <w:rFonts w:ascii="Calibri" w:hAnsi="Calibri"/>
        </w:rPr>
        <w:t xml:space="preserve">against women and girls on gender grounds, especially </w:t>
      </w:r>
      <w:r w:rsidR="0095795F" w:rsidRPr="0090438F">
        <w:rPr>
          <w:rFonts w:ascii="Calibri" w:hAnsi="Calibri"/>
        </w:rPr>
        <w:t xml:space="preserve">SGBV. </w:t>
      </w:r>
    </w:p>
    <w:p w14:paraId="66A52608" w14:textId="77777777" w:rsidR="00CD181F" w:rsidRPr="0090438F" w:rsidRDefault="00CD181F" w:rsidP="00CD181F">
      <w:pPr>
        <w:jc w:val="both"/>
        <w:rPr>
          <w:rFonts w:ascii="Calibri" w:hAnsi="Calibri"/>
        </w:rPr>
      </w:pPr>
    </w:p>
    <w:p w14:paraId="2D888D02" w14:textId="42AF00A1" w:rsidR="0095795F" w:rsidRPr="0090438F" w:rsidRDefault="00CD181F" w:rsidP="00CD181F">
      <w:pPr>
        <w:spacing w:line="360" w:lineRule="auto"/>
        <w:jc w:val="both"/>
        <w:rPr>
          <w:rFonts w:ascii="Calibri" w:hAnsi="Calibri"/>
        </w:rPr>
      </w:pPr>
      <w:r w:rsidRPr="0090438F">
        <w:rPr>
          <w:rFonts w:ascii="Calibri" w:hAnsi="Calibri"/>
        </w:rPr>
        <w:t>(</w:t>
      </w:r>
      <w:r w:rsidR="00211F9F" w:rsidRPr="0090438F">
        <w:rPr>
          <w:rFonts w:ascii="Calibri" w:hAnsi="Calibri"/>
        </w:rPr>
        <w:t>2) Participation</w:t>
      </w:r>
      <w:r w:rsidR="0095795F" w:rsidRPr="0090438F">
        <w:rPr>
          <w:rFonts w:ascii="Calibri" w:hAnsi="Calibri"/>
        </w:rPr>
        <w:t>, namely</w:t>
      </w:r>
      <w:r w:rsidR="00211F9F" w:rsidRPr="0090438F">
        <w:rPr>
          <w:rFonts w:ascii="Calibri" w:hAnsi="Calibri"/>
        </w:rPr>
        <w:t>: a) promoting and supporting</w:t>
      </w:r>
      <w:r w:rsidR="0095795F" w:rsidRPr="0090438F">
        <w:rPr>
          <w:rFonts w:ascii="Calibri" w:hAnsi="Calibri"/>
        </w:rPr>
        <w:t xml:space="preserve"> women’s</w:t>
      </w:r>
      <w:r w:rsidR="00211F9F" w:rsidRPr="0090438F">
        <w:rPr>
          <w:rFonts w:ascii="Calibri" w:hAnsi="Calibri"/>
        </w:rPr>
        <w:t xml:space="preserve"> active and meaningful participation of women in all peace processes and their representation at all levels of decision-making </w:t>
      </w:r>
      <w:r w:rsidR="0095795F" w:rsidRPr="0090438F">
        <w:rPr>
          <w:rFonts w:ascii="Calibri" w:hAnsi="Calibri"/>
        </w:rPr>
        <w:t>concerning conflict</w:t>
      </w:r>
      <w:r w:rsidR="00211F9F" w:rsidRPr="0090438F">
        <w:rPr>
          <w:rFonts w:ascii="Calibri" w:hAnsi="Calibri"/>
        </w:rPr>
        <w:t xml:space="preserve"> preven</w:t>
      </w:r>
      <w:r w:rsidR="0095795F" w:rsidRPr="0090438F">
        <w:rPr>
          <w:rFonts w:ascii="Calibri" w:hAnsi="Calibri"/>
        </w:rPr>
        <w:t xml:space="preserve">tion, management and resolution; and </w:t>
      </w:r>
      <w:r w:rsidR="00211F9F" w:rsidRPr="0090438F">
        <w:rPr>
          <w:rFonts w:ascii="Calibri" w:hAnsi="Calibri"/>
        </w:rPr>
        <w:t>b) strengthening partnerships and communication with national and internationa</w:t>
      </w:r>
      <w:r w:rsidR="0095795F" w:rsidRPr="0090438F">
        <w:rPr>
          <w:rFonts w:ascii="Calibri" w:hAnsi="Calibri"/>
        </w:rPr>
        <w:t>l women's rights organizations.</w:t>
      </w:r>
    </w:p>
    <w:p w14:paraId="68B0DD71" w14:textId="77777777" w:rsidR="00CD181F" w:rsidRPr="0090438F" w:rsidRDefault="00CD181F" w:rsidP="00CD181F">
      <w:pPr>
        <w:jc w:val="both"/>
        <w:rPr>
          <w:rFonts w:ascii="Calibri" w:hAnsi="Calibri"/>
        </w:rPr>
      </w:pPr>
    </w:p>
    <w:p w14:paraId="216222F3" w14:textId="05D1A0E6" w:rsidR="0095795F" w:rsidRPr="0090438F" w:rsidRDefault="00211F9F" w:rsidP="00CD181F">
      <w:pPr>
        <w:spacing w:line="360" w:lineRule="auto"/>
        <w:jc w:val="both"/>
        <w:rPr>
          <w:rFonts w:ascii="Calibri" w:hAnsi="Calibri"/>
        </w:rPr>
      </w:pPr>
      <w:r w:rsidRPr="0090438F">
        <w:rPr>
          <w:rFonts w:ascii="Calibri" w:hAnsi="Calibri"/>
        </w:rPr>
        <w:t>(3) Protection</w:t>
      </w:r>
      <w:r w:rsidR="0095795F" w:rsidRPr="0090438F">
        <w:rPr>
          <w:rFonts w:ascii="Calibri" w:hAnsi="Calibri"/>
        </w:rPr>
        <w:t>, namely</w:t>
      </w:r>
      <w:r w:rsidRPr="0090438F">
        <w:rPr>
          <w:rFonts w:ascii="Calibri" w:hAnsi="Calibri"/>
        </w:rPr>
        <w:t xml:space="preserve">: a) strengthening and broadening methods to ensure </w:t>
      </w:r>
      <w:r w:rsidR="0095795F" w:rsidRPr="0090438F">
        <w:rPr>
          <w:rFonts w:ascii="Calibri" w:hAnsi="Calibri"/>
        </w:rPr>
        <w:t xml:space="preserve">women and girls’ </w:t>
      </w:r>
      <w:r w:rsidRPr="0090438F">
        <w:rPr>
          <w:rFonts w:ascii="Calibri" w:hAnsi="Calibri"/>
        </w:rPr>
        <w:t xml:space="preserve">safety, physical and mental integrity, sexual and reproductive health, welfare, economic autonomy </w:t>
      </w:r>
      <w:r w:rsidR="0095795F" w:rsidRPr="0090438F">
        <w:rPr>
          <w:rFonts w:ascii="Calibri" w:hAnsi="Calibri"/>
        </w:rPr>
        <w:t xml:space="preserve">and dignity; </w:t>
      </w:r>
      <w:r w:rsidRPr="0090438F">
        <w:rPr>
          <w:rFonts w:ascii="Calibri" w:hAnsi="Calibri"/>
        </w:rPr>
        <w:t xml:space="preserve">and b) respecting and guaranteeing the full exercise of human rights of women and girls, incorporating </w:t>
      </w:r>
      <w:r w:rsidR="0095795F" w:rsidRPr="0090438F">
        <w:rPr>
          <w:rFonts w:ascii="Calibri" w:hAnsi="Calibri"/>
        </w:rPr>
        <w:t xml:space="preserve">a </w:t>
      </w:r>
      <w:r w:rsidRPr="0090438F">
        <w:rPr>
          <w:rFonts w:ascii="Calibri" w:hAnsi="Calibri"/>
        </w:rPr>
        <w:t>gender perspective in the institutions that play a role in peacekeepi</w:t>
      </w:r>
      <w:r w:rsidR="0095795F" w:rsidRPr="0090438F">
        <w:rPr>
          <w:rFonts w:ascii="Calibri" w:hAnsi="Calibri"/>
        </w:rPr>
        <w:t>ng, conflict and post-conflict situations.</w:t>
      </w:r>
    </w:p>
    <w:p w14:paraId="642C1E67" w14:textId="77777777" w:rsidR="00CD181F" w:rsidRPr="0090438F" w:rsidRDefault="00CD181F" w:rsidP="00CD181F">
      <w:pPr>
        <w:jc w:val="both"/>
        <w:rPr>
          <w:rFonts w:ascii="Calibri" w:hAnsi="Calibri"/>
        </w:rPr>
      </w:pPr>
    </w:p>
    <w:p w14:paraId="2B887380" w14:textId="0B9733E8" w:rsidR="00211F9F" w:rsidRPr="0090438F" w:rsidRDefault="00211F9F" w:rsidP="00CD181F">
      <w:pPr>
        <w:spacing w:line="360" w:lineRule="auto"/>
        <w:jc w:val="both"/>
        <w:rPr>
          <w:rFonts w:ascii="Calibri" w:hAnsi="Calibri"/>
          <w:b/>
        </w:rPr>
      </w:pPr>
      <w:r w:rsidRPr="0090438F">
        <w:rPr>
          <w:rFonts w:ascii="Calibri" w:hAnsi="Calibri"/>
        </w:rPr>
        <w:t>(4) Aid and Recuperation</w:t>
      </w:r>
      <w:r w:rsidR="0095795F" w:rsidRPr="0090438F">
        <w:rPr>
          <w:rFonts w:ascii="Calibri" w:hAnsi="Calibri"/>
        </w:rPr>
        <w:t>, namely</w:t>
      </w:r>
      <w:r w:rsidRPr="0090438F">
        <w:rPr>
          <w:rFonts w:ascii="Calibri" w:hAnsi="Calibri"/>
        </w:rPr>
        <w:t xml:space="preserve">: a) facilitating </w:t>
      </w:r>
      <w:r w:rsidR="0095795F" w:rsidRPr="0090438F">
        <w:rPr>
          <w:rFonts w:ascii="Calibri" w:hAnsi="Calibri"/>
        </w:rPr>
        <w:t xml:space="preserve">women’s </w:t>
      </w:r>
      <w:r w:rsidRPr="0090438F">
        <w:rPr>
          <w:rFonts w:ascii="Calibri" w:hAnsi="Calibri"/>
        </w:rPr>
        <w:t>to support services mechanisms and distribution, and b) considering women</w:t>
      </w:r>
      <w:r w:rsidR="0095795F" w:rsidRPr="0090438F">
        <w:rPr>
          <w:rFonts w:ascii="Calibri" w:hAnsi="Calibri"/>
        </w:rPr>
        <w:t>’s</w:t>
      </w:r>
      <w:r w:rsidRPr="0090438F">
        <w:rPr>
          <w:rFonts w:ascii="Calibri" w:hAnsi="Calibri"/>
        </w:rPr>
        <w:t xml:space="preserve"> </w:t>
      </w:r>
      <w:r w:rsidR="0095795F" w:rsidRPr="0090438F">
        <w:rPr>
          <w:rFonts w:ascii="Calibri" w:hAnsi="Calibri"/>
        </w:rPr>
        <w:t>specific needs and requirements concerning</w:t>
      </w:r>
      <w:r w:rsidRPr="0090438F">
        <w:rPr>
          <w:rFonts w:ascii="Calibri" w:hAnsi="Calibri"/>
        </w:rPr>
        <w:t xml:space="preserve"> transitional justice.</w:t>
      </w:r>
      <w:r w:rsidRPr="0090438F">
        <w:rPr>
          <w:rFonts w:ascii="Calibri" w:hAnsi="Calibri"/>
          <w:b/>
        </w:rPr>
        <w:t xml:space="preserve"> </w:t>
      </w:r>
    </w:p>
    <w:p w14:paraId="04DE9A78" w14:textId="77777777" w:rsidR="00874314" w:rsidRPr="0090438F" w:rsidRDefault="00874314" w:rsidP="00874314">
      <w:pPr>
        <w:jc w:val="both"/>
        <w:rPr>
          <w:rFonts w:ascii="Calibri" w:hAnsi="Calibri"/>
        </w:rPr>
      </w:pPr>
    </w:p>
    <w:p w14:paraId="4F91AE9B" w14:textId="2A19C97E" w:rsidR="00213F5E" w:rsidRPr="0090438F" w:rsidRDefault="00213F5E" w:rsidP="007F364C">
      <w:pPr>
        <w:pStyle w:val="ListParagraph"/>
        <w:numPr>
          <w:ilvl w:val="0"/>
          <w:numId w:val="13"/>
        </w:numPr>
        <w:jc w:val="both"/>
        <w:rPr>
          <w:rFonts w:ascii="Calibri" w:hAnsi="Calibri"/>
          <w:b/>
          <w:color w:val="1F497D" w:themeColor="text2"/>
        </w:rPr>
      </w:pPr>
      <w:r w:rsidRPr="0090438F">
        <w:rPr>
          <w:rFonts w:ascii="Calibri" w:hAnsi="Calibri"/>
          <w:b/>
          <w:color w:val="1F497D" w:themeColor="text2"/>
        </w:rPr>
        <w:t>Implementation of the First NAP by the Government, Development Agencies and Civil Society</w:t>
      </w:r>
    </w:p>
    <w:p w14:paraId="12660FB3" w14:textId="77777777" w:rsidR="00874314" w:rsidRPr="0090438F" w:rsidRDefault="00874314" w:rsidP="00874314">
      <w:pPr>
        <w:jc w:val="both"/>
        <w:rPr>
          <w:rFonts w:ascii="Calibri" w:hAnsi="Calibri"/>
          <w:u w:val="single"/>
        </w:rPr>
      </w:pPr>
    </w:p>
    <w:p w14:paraId="7074FA66" w14:textId="77777777" w:rsidR="00874314" w:rsidRPr="0090438F" w:rsidRDefault="00874314" w:rsidP="00874314">
      <w:pPr>
        <w:jc w:val="both"/>
        <w:rPr>
          <w:rFonts w:ascii="Calibri" w:hAnsi="Calibri"/>
          <w:b/>
          <w:color w:val="1F497D" w:themeColor="text2"/>
          <w:u w:val="single"/>
        </w:rPr>
      </w:pPr>
      <w:r w:rsidRPr="0090438F">
        <w:rPr>
          <w:rFonts w:ascii="Calibri" w:hAnsi="Calibri"/>
          <w:b/>
          <w:color w:val="1F497D" w:themeColor="text2"/>
          <w:u w:val="single"/>
        </w:rPr>
        <w:t>Government</w:t>
      </w:r>
    </w:p>
    <w:p w14:paraId="52B719FB" w14:textId="77777777" w:rsidR="00874314" w:rsidRPr="0090438F" w:rsidRDefault="00874314" w:rsidP="00874314">
      <w:pPr>
        <w:jc w:val="both"/>
        <w:rPr>
          <w:rFonts w:ascii="Calibri" w:hAnsi="Calibri"/>
        </w:rPr>
      </w:pPr>
    </w:p>
    <w:p w14:paraId="500CB618" w14:textId="738252E7" w:rsidR="00DF6336" w:rsidRPr="0090438F" w:rsidRDefault="008D4C60" w:rsidP="00CD181F">
      <w:pPr>
        <w:spacing w:line="360" w:lineRule="auto"/>
        <w:jc w:val="both"/>
        <w:rPr>
          <w:rFonts w:ascii="Calibri" w:hAnsi="Calibri"/>
        </w:rPr>
      </w:pPr>
      <w:r w:rsidRPr="0090438F">
        <w:rPr>
          <w:rFonts w:ascii="Calibri" w:hAnsi="Calibri"/>
        </w:rPr>
        <w:t xml:space="preserve">Lessons learned from the first NAP should that </w:t>
      </w:r>
      <w:r w:rsidR="00ED350A" w:rsidRPr="0090438F">
        <w:rPr>
          <w:rFonts w:ascii="Calibri" w:hAnsi="Calibri"/>
        </w:rPr>
        <w:t xml:space="preserve">Chile will need to focus on </w:t>
      </w:r>
      <w:r w:rsidR="00ED350A" w:rsidRPr="0090438F">
        <w:rPr>
          <w:rFonts w:ascii="Calibri" w:hAnsi="Calibri"/>
          <w:b/>
          <w:color w:val="4F81BD" w:themeColor="accent1"/>
        </w:rPr>
        <w:t>national-level implementation</w:t>
      </w:r>
      <w:r w:rsidR="00ED350A" w:rsidRPr="0090438F">
        <w:rPr>
          <w:rFonts w:ascii="Calibri" w:hAnsi="Calibri"/>
        </w:rPr>
        <w:t xml:space="preserve"> for its new NAP, based on</w:t>
      </w:r>
      <w:r w:rsidR="00ED350A" w:rsidRPr="0090438F">
        <w:rPr>
          <w:rFonts w:ascii="Calibri" w:hAnsi="Calibri"/>
          <w:color w:val="4F81BD" w:themeColor="accent1"/>
        </w:rPr>
        <w:t xml:space="preserve"> </w:t>
      </w:r>
      <w:r w:rsidR="00ED350A" w:rsidRPr="0090438F">
        <w:rPr>
          <w:rFonts w:ascii="Calibri" w:hAnsi="Calibri"/>
          <w:b/>
          <w:color w:val="4F81BD" w:themeColor="accent1"/>
        </w:rPr>
        <w:t xml:space="preserve">women’s low level of </w:t>
      </w:r>
      <w:r w:rsidR="00E3050F" w:rsidRPr="0090438F">
        <w:rPr>
          <w:rFonts w:ascii="Calibri" w:hAnsi="Calibri"/>
          <w:b/>
          <w:color w:val="4F81BD" w:themeColor="accent1"/>
        </w:rPr>
        <w:t>participation in politics and public life</w:t>
      </w:r>
      <w:r w:rsidR="00ED350A" w:rsidRPr="0090438F">
        <w:rPr>
          <w:rFonts w:ascii="Calibri" w:hAnsi="Calibri"/>
        </w:rPr>
        <w:t xml:space="preserve"> and high rates of </w:t>
      </w:r>
      <w:r w:rsidR="00ED350A" w:rsidRPr="0090438F">
        <w:rPr>
          <w:rFonts w:ascii="Calibri" w:hAnsi="Calibri"/>
          <w:b/>
          <w:color w:val="4F81BD" w:themeColor="accent1"/>
        </w:rPr>
        <w:t>violence against women</w:t>
      </w:r>
      <w:r w:rsidR="00ED350A" w:rsidRPr="0090438F">
        <w:rPr>
          <w:rFonts w:ascii="Calibri" w:hAnsi="Calibri"/>
        </w:rPr>
        <w:t xml:space="preserve">. </w:t>
      </w:r>
      <w:r w:rsidR="006171DA" w:rsidRPr="0090438F">
        <w:rPr>
          <w:rFonts w:ascii="Calibri" w:hAnsi="Calibri"/>
        </w:rPr>
        <w:t xml:space="preserve">The latter issue has not been linked to the NAP because Chile is a post-conflict country. However domestic violence is a peace and security issue in all countries, and </w:t>
      </w:r>
      <w:r w:rsidRPr="0090438F">
        <w:rPr>
          <w:rFonts w:ascii="Calibri" w:hAnsi="Calibri"/>
        </w:rPr>
        <w:t xml:space="preserve">must </w:t>
      </w:r>
      <w:r w:rsidR="006171DA" w:rsidRPr="0090438F">
        <w:rPr>
          <w:rFonts w:ascii="Calibri" w:hAnsi="Calibri"/>
        </w:rPr>
        <w:t>be addressed in the</w:t>
      </w:r>
      <w:r w:rsidR="00DF6336" w:rsidRPr="0090438F">
        <w:rPr>
          <w:rFonts w:ascii="Calibri" w:hAnsi="Calibri"/>
        </w:rPr>
        <w:t xml:space="preserve"> new</w:t>
      </w:r>
      <w:r w:rsidR="006171DA" w:rsidRPr="0090438F">
        <w:rPr>
          <w:rFonts w:ascii="Calibri" w:hAnsi="Calibri"/>
        </w:rPr>
        <w:t xml:space="preserve"> NAP. </w:t>
      </w:r>
      <w:r w:rsidRPr="0090438F">
        <w:rPr>
          <w:rFonts w:ascii="Calibri" w:hAnsi="Calibri"/>
        </w:rPr>
        <w:t>One of</w:t>
      </w:r>
      <w:r w:rsidR="00ED350A" w:rsidRPr="0090438F">
        <w:rPr>
          <w:rFonts w:ascii="Calibri" w:hAnsi="Calibri"/>
        </w:rPr>
        <w:t xml:space="preserve"> the new NAP’s objectives is consolidating progress at</w:t>
      </w:r>
      <w:r w:rsidRPr="0090438F">
        <w:rPr>
          <w:rFonts w:ascii="Calibri" w:hAnsi="Calibri"/>
        </w:rPr>
        <w:t xml:space="preserve"> the national level on SCR 1325. However,</w:t>
      </w:r>
      <w:r w:rsidR="00ED350A" w:rsidRPr="0090438F">
        <w:rPr>
          <w:rFonts w:ascii="Calibri" w:hAnsi="Calibri"/>
        </w:rPr>
        <w:t xml:space="preserve"> </w:t>
      </w:r>
      <w:r w:rsidR="00DF6336" w:rsidRPr="0090438F">
        <w:rPr>
          <w:rFonts w:ascii="Calibri" w:hAnsi="Calibri"/>
        </w:rPr>
        <w:t xml:space="preserve">this appears to focus on </w:t>
      </w:r>
      <w:r w:rsidR="00ED350A" w:rsidRPr="0090438F">
        <w:rPr>
          <w:rFonts w:ascii="Calibri" w:hAnsi="Calibri"/>
        </w:rPr>
        <w:t xml:space="preserve">incorporating a gender perspective in the armed forces and </w:t>
      </w:r>
      <w:r w:rsidR="006171DA" w:rsidRPr="0090438F">
        <w:rPr>
          <w:rFonts w:ascii="Calibri" w:hAnsi="Calibri"/>
        </w:rPr>
        <w:t xml:space="preserve">the work of </w:t>
      </w:r>
      <w:r w:rsidR="00ED350A" w:rsidRPr="0090438F">
        <w:rPr>
          <w:rFonts w:ascii="Calibri" w:hAnsi="Calibri"/>
        </w:rPr>
        <w:t>public officials</w:t>
      </w:r>
      <w:r w:rsidR="00DF6336" w:rsidRPr="0090438F">
        <w:rPr>
          <w:rFonts w:ascii="Calibri" w:hAnsi="Calibri"/>
        </w:rPr>
        <w:t xml:space="preserve">, rather than on women’s political engagement or </w:t>
      </w:r>
      <w:r w:rsidR="00B91027" w:rsidRPr="0090438F">
        <w:rPr>
          <w:rFonts w:ascii="Calibri" w:hAnsi="Calibri"/>
        </w:rPr>
        <w:t xml:space="preserve">SGBV. </w:t>
      </w:r>
    </w:p>
    <w:p w14:paraId="7200B0C2" w14:textId="5F2CD62D" w:rsidR="00ED350A" w:rsidRPr="0090438F" w:rsidRDefault="006171DA" w:rsidP="00874314">
      <w:pPr>
        <w:jc w:val="both"/>
        <w:rPr>
          <w:rFonts w:ascii="Calibri" w:hAnsi="Calibri"/>
        </w:rPr>
      </w:pPr>
      <w:r w:rsidRPr="0090438F">
        <w:rPr>
          <w:rFonts w:ascii="Calibri" w:hAnsi="Calibri"/>
        </w:rPr>
        <w:lastRenderedPageBreak/>
        <w:t xml:space="preserve"> </w:t>
      </w:r>
    </w:p>
    <w:p w14:paraId="556CA6FF" w14:textId="01A76183" w:rsidR="00874314" w:rsidRPr="0090438F" w:rsidRDefault="00A1755F" w:rsidP="00CD181F">
      <w:pPr>
        <w:spacing w:line="360" w:lineRule="auto"/>
        <w:jc w:val="both"/>
        <w:rPr>
          <w:rFonts w:ascii="Calibri" w:hAnsi="Calibri"/>
        </w:rPr>
      </w:pPr>
      <w:r w:rsidRPr="0090438F">
        <w:rPr>
          <w:rFonts w:ascii="Calibri" w:hAnsi="Calibri"/>
        </w:rPr>
        <w:t>Chile has made some progress</w:t>
      </w:r>
      <w:r w:rsidR="006171DA" w:rsidRPr="0090438F">
        <w:rPr>
          <w:rFonts w:ascii="Calibri" w:hAnsi="Calibri"/>
        </w:rPr>
        <w:t xml:space="preserve"> on </w:t>
      </w:r>
      <w:r w:rsidR="006171DA" w:rsidRPr="0090438F">
        <w:rPr>
          <w:rFonts w:ascii="Calibri" w:hAnsi="Calibri"/>
          <w:b/>
          <w:color w:val="4F81BD" w:themeColor="accent1"/>
        </w:rPr>
        <w:t>women’s political participation</w:t>
      </w:r>
      <w:r w:rsidRPr="0090438F">
        <w:rPr>
          <w:rFonts w:ascii="Calibri" w:hAnsi="Calibri"/>
        </w:rPr>
        <w:t xml:space="preserve">, with women represented at the highest levels of government, </w:t>
      </w:r>
      <w:r w:rsidR="006C60E3" w:rsidRPr="0090438F">
        <w:rPr>
          <w:rFonts w:ascii="Calibri" w:hAnsi="Calibri"/>
        </w:rPr>
        <w:t>including</w:t>
      </w:r>
      <w:r w:rsidR="00B91027" w:rsidRPr="0090438F">
        <w:rPr>
          <w:rFonts w:ascii="Calibri" w:hAnsi="Calibri"/>
        </w:rPr>
        <w:t xml:space="preserve"> President Bachelet (re-elected in 2014)</w:t>
      </w:r>
      <w:r w:rsidRPr="0090438F">
        <w:rPr>
          <w:rFonts w:ascii="Calibri" w:hAnsi="Calibri"/>
        </w:rPr>
        <w:t xml:space="preserve"> </w:t>
      </w:r>
      <w:r w:rsidR="006C60E3" w:rsidRPr="0090438F">
        <w:rPr>
          <w:rFonts w:ascii="Calibri" w:hAnsi="Calibri"/>
        </w:rPr>
        <w:t xml:space="preserve">as well as </w:t>
      </w:r>
      <w:r w:rsidR="00021A53" w:rsidRPr="0090438F">
        <w:rPr>
          <w:rFonts w:ascii="Calibri" w:hAnsi="Calibri"/>
        </w:rPr>
        <w:t>women in</w:t>
      </w:r>
      <w:r w:rsidR="006C60E3" w:rsidRPr="0090438F">
        <w:rPr>
          <w:rFonts w:ascii="Calibri" w:hAnsi="Calibri"/>
        </w:rPr>
        <w:t xml:space="preserve"> 39% of ministerial roles.</w:t>
      </w:r>
      <w:r w:rsidR="006C60E3" w:rsidRPr="0090438F">
        <w:rPr>
          <w:rStyle w:val="FootnoteReference"/>
          <w:rFonts w:ascii="Calibri" w:hAnsi="Calibri"/>
        </w:rPr>
        <w:footnoteReference w:id="232"/>
      </w:r>
      <w:r w:rsidR="006C60E3" w:rsidRPr="0090438F">
        <w:rPr>
          <w:rFonts w:ascii="Calibri" w:hAnsi="Calibri"/>
        </w:rPr>
        <w:t xml:space="preserve"> However, women only represent 15.8% of parliamentarians (“deputies”) in Chile’s lower house of parliament, and 18.4% of members of the Senate in 2014.</w:t>
      </w:r>
      <w:r w:rsidR="006C60E3" w:rsidRPr="0090438F">
        <w:rPr>
          <w:rStyle w:val="FootnoteReference"/>
          <w:rFonts w:ascii="Calibri" w:hAnsi="Calibri"/>
        </w:rPr>
        <w:footnoteReference w:id="233"/>
      </w:r>
      <w:r w:rsidR="006C60E3" w:rsidRPr="0090438F">
        <w:rPr>
          <w:rFonts w:ascii="Calibri" w:hAnsi="Calibri"/>
        </w:rPr>
        <w:t xml:space="preserve"> </w:t>
      </w:r>
      <w:r w:rsidR="00BB71B2" w:rsidRPr="0090438F">
        <w:rPr>
          <w:rFonts w:ascii="Calibri" w:hAnsi="Calibri"/>
        </w:rPr>
        <w:t>The CEDAW C</w:t>
      </w:r>
      <w:r w:rsidR="006C60E3" w:rsidRPr="0090438F">
        <w:rPr>
          <w:rFonts w:ascii="Calibri" w:hAnsi="Calibri"/>
        </w:rPr>
        <w:t xml:space="preserve">ommittee, </w:t>
      </w:r>
      <w:r w:rsidR="00BB71B2" w:rsidRPr="0090438F">
        <w:rPr>
          <w:rFonts w:ascii="Calibri" w:hAnsi="Calibri"/>
        </w:rPr>
        <w:t>in</w:t>
      </w:r>
      <w:r w:rsidR="006C60E3" w:rsidRPr="0090438F">
        <w:rPr>
          <w:rFonts w:ascii="Calibri" w:hAnsi="Calibri"/>
        </w:rPr>
        <w:t xml:space="preserve"> its</w:t>
      </w:r>
      <w:r w:rsidRPr="0090438F">
        <w:rPr>
          <w:rFonts w:ascii="Calibri" w:hAnsi="Calibri"/>
        </w:rPr>
        <w:t xml:space="preserve"> 2012 Concluding Observations on Chile’s most recent country report</w:t>
      </w:r>
      <w:r w:rsidR="006C60E3" w:rsidRPr="0090438F">
        <w:rPr>
          <w:rFonts w:ascii="Calibri" w:hAnsi="Calibri"/>
        </w:rPr>
        <w:t>, noted</w:t>
      </w:r>
      <w:r w:rsidR="00BB71B2" w:rsidRPr="0090438F">
        <w:rPr>
          <w:rFonts w:ascii="Calibri" w:hAnsi="Calibri"/>
        </w:rPr>
        <w:t xml:space="preserve"> “the persistence of patriarchal attitudes and stereotypes and the lack of temporary special measures continue to impede women’s participation in Parliament and in decision-making positions at the State and municipal levels, including indigenous women”.</w:t>
      </w:r>
      <w:r w:rsidR="00BB71B2" w:rsidRPr="0090438F">
        <w:rPr>
          <w:rStyle w:val="FootnoteReference"/>
          <w:rFonts w:ascii="Calibri" w:hAnsi="Calibri"/>
        </w:rPr>
        <w:footnoteReference w:id="234"/>
      </w:r>
      <w:r w:rsidRPr="0090438F">
        <w:rPr>
          <w:rFonts w:ascii="Calibri" w:hAnsi="Calibri"/>
        </w:rPr>
        <w:t xml:space="preserve"> The Committee reiterated its concern that the binominal electoral system unfavourably impacted women’s political representation.</w:t>
      </w:r>
      <w:r w:rsidRPr="0090438F">
        <w:rPr>
          <w:rStyle w:val="FootnoteReference"/>
          <w:rFonts w:ascii="Calibri" w:hAnsi="Calibri"/>
        </w:rPr>
        <w:footnoteReference w:id="235"/>
      </w:r>
      <w:r w:rsidR="00021A53" w:rsidRPr="0090438F">
        <w:rPr>
          <w:rFonts w:ascii="Calibri" w:hAnsi="Calibri"/>
        </w:rPr>
        <w:t xml:space="preserve"> </w:t>
      </w:r>
    </w:p>
    <w:p w14:paraId="5173B13D" w14:textId="77777777" w:rsidR="005857C6" w:rsidRPr="0090438F" w:rsidRDefault="005857C6" w:rsidP="00874314">
      <w:pPr>
        <w:jc w:val="both"/>
        <w:rPr>
          <w:rFonts w:ascii="Calibri" w:hAnsi="Calibri"/>
        </w:rPr>
      </w:pPr>
    </w:p>
    <w:p w14:paraId="6190EDD8" w14:textId="6B056DD6" w:rsidR="005857C6" w:rsidRPr="0090438F" w:rsidRDefault="005857C6" w:rsidP="00CD181F">
      <w:pPr>
        <w:spacing w:line="360" w:lineRule="auto"/>
        <w:jc w:val="both"/>
        <w:rPr>
          <w:rFonts w:ascii="Calibri" w:hAnsi="Calibri"/>
        </w:rPr>
      </w:pPr>
      <w:r w:rsidRPr="0090438F">
        <w:rPr>
          <w:rFonts w:ascii="Calibri" w:hAnsi="Calibri"/>
          <w:b/>
          <w:color w:val="4F81BD" w:themeColor="accent1"/>
        </w:rPr>
        <w:t>Violence against women</w:t>
      </w:r>
      <w:r w:rsidR="001031A6" w:rsidRPr="0090438F">
        <w:rPr>
          <w:rFonts w:ascii="Calibri" w:hAnsi="Calibri"/>
        </w:rPr>
        <w:t xml:space="preserve"> </w:t>
      </w:r>
      <w:r w:rsidR="00AF5015" w:rsidRPr="0090438F">
        <w:rPr>
          <w:rFonts w:ascii="Calibri" w:hAnsi="Calibri"/>
        </w:rPr>
        <w:t>and</w:t>
      </w:r>
      <w:r w:rsidR="00AC649F" w:rsidRPr="0090438F">
        <w:rPr>
          <w:rFonts w:ascii="Calibri" w:hAnsi="Calibri"/>
        </w:rPr>
        <w:t xml:space="preserve"> the denial of </w:t>
      </w:r>
      <w:r w:rsidR="00AC649F" w:rsidRPr="0090438F">
        <w:rPr>
          <w:rFonts w:ascii="Calibri" w:hAnsi="Calibri"/>
          <w:b/>
          <w:color w:val="4F81BD" w:themeColor="accent1"/>
        </w:rPr>
        <w:t xml:space="preserve">sexual and </w:t>
      </w:r>
      <w:r w:rsidR="00AC649F" w:rsidRPr="00471761">
        <w:rPr>
          <w:rFonts w:ascii="Calibri" w:hAnsi="Calibri"/>
          <w:b/>
          <w:color w:val="4F81BD" w:themeColor="accent1"/>
        </w:rPr>
        <w:t>reproductive</w:t>
      </w:r>
      <w:r w:rsidR="00B91027" w:rsidRPr="00471761">
        <w:rPr>
          <w:rFonts w:ascii="Calibri" w:hAnsi="Calibri"/>
          <w:b/>
          <w:color w:val="4F81BD" w:themeColor="accent1"/>
        </w:rPr>
        <w:t xml:space="preserve"> health</w:t>
      </w:r>
      <w:r w:rsidR="00AC649F" w:rsidRPr="00471761">
        <w:rPr>
          <w:rFonts w:ascii="Calibri" w:hAnsi="Calibri"/>
          <w:b/>
          <w:color w:val="4F81BD" w:themeColor="accent1"/>
        </w:rPr>
        <w:t xml:space="preserve"> </w:t>
      </w:r>
      <w:r w:rsidR="00AC649F" w:rsidRPr="0090438F">
        <w:rPr>
          <w:rFonts w:ascii="Calibri" w:hAnsi="Calibri"/>
          <w:b/>
          <w:color w:val="4F81BD" w:themeColor="accent1"/>
        </w:rPr>
        <w:t>rights</w:t>
      </w:r>
      <w:r w:rsidR="00AF5015" w:rsidRPr="0090438F">
        <w:rPr>
          <w:rFonts w:ascii="Calibri" w:hAnsi="Calibri"/>
        </w:rPr>
        <w:t xml:space="preserve"> are also major problems in Chile.</w:t>
      </w:r>
      <w:r w:rsidR="00ED350A" w:rsidRPr="0090438F">
        <w:rPr>
          <w:rFonts w:ascii="Calibri" w:hAnsi="Calibri"/>
        </w:rPr>
        <w:t xml:space="preserve"> A</w:t>
      </w:r>
      <w:r w:rsidRPr="0090438F">
        <w:rPr>
          <w:rFonts w:ascii="Calibri" w:hAnsi="Calibri"/>
        </w:rPr>
        <w:t xml:space="preserve"> 2004 </w:t>
      </w:r>
      <w:r w:rsidR="001031A6" w:rsidRPr="0090438F">
        <w:rPr>
          <w:rFonts w:ascii="Calibri" w:hAnsi="Calibri"/>
        </w:rPr>
        <w:t>national survey showed</w:t>
      </w:r>
      <w:r w:rsidRPr="0090438F">
        <w:rPr>
          <w:rFonts w:ascii="Calibri" w:hAnsi="Calibri"/>
        </w:rPr>
        <w:t xml:space="preserve"> that</w:t>
      </w:r>
      <w:r w:rsidR="006171DA" w:rsidRPr="0090438F">
        <w:rPr>
          <w:rFonts w:ascii="Calibri" w:hAnsi="Calibri"/>
        </w:rPr>
        <w:t xml:space="preserve"> in their lifetimes,</w:t>
      </w:r>
      <w:r w:rsidRPr="0090438F">
        <w:rPr>
          <w:rFonts w:ascii="Calibri" w:hAnsi="Calibri"/>
        </w:rPr>
        <w:t xml:space="preserve"> </w:t>
      </w:r>
      <w:r w:rsidR="00ED350A" w:rsidRPr="0090438F">
        <w:rPr>
          <w:rFonts w:ascii="Calibri" w:hAnsi="Calibri"/>
        </w:rPr>
        <w:t xml:space="preserve">15% of Chilean women had experienced physical violence, 15% had experienced sexual violence, and 36% had experienced </w:t>
      </w:r>
      <w:r w:rsidR="006171DA" w:rsidRPr="0090438F">
        <w:rPr>
          <w:rFonts w:ascii="Calibri" w:hAnsi="Calibri"/>
        </w:rPr>
        <w:t>physical and/or sexual violence</w:t>
      </w:r>
      <w:r w:rsidR="00ED350A" w:rsidRPr="0090438F">
        <w:rPr>
          <w:rFonts w:ascii="Calibri" w:hAnsi="Calibri"/>
        </w:rPr>
        <w:t>.</w:t>
      </w:r>
      <w:r w:rsidR="00ED350A" w:rsidRPr="0090438F">
        <w:rPr>
          <w:rStyle w:val="FootnoteReference"/>
          <w:rFonts w:ascii="Calibri" w:hAnsi="Calibri"/>
        </w:rPr>
        <w:footnoteReference w:id="236"/>
      </w:r>
      <w:r w:rsidR="006171DA" w:rsidRPr="0090438F">
        <w:rPr>
          <w:rFonts w:ascii="Calibri" w:hAnsi="Calibri"/>
        </w:rPr>
        <w:t xml:space="preserve"> </w:t>
      </w:r>
      <w:r w:rsidR="00B91027" w:rsidRPr="0090438F">
        <w:rPr>
          <w:rFonts w:ascii="Calibri" w:hAnsi="Calibri"/>
        </w:rPr>
        <w:t>In 2012 the CEDAW Committee noted</w:t>
      </w:r>
      <w:r w:rsidR="00AC649F" w:rsidRPr="0090438F">
        <w:rPr>
          <w:rFonts w:ascii="Calibri" w:hAnsi="Calibri"/>
        </w:rPr>
        <w:t xml:space="preserve"> the Government’s efforts to combat domestic violence, including amending Chile’s Penal Code to include the crime of femicide perpetrated by spouses or ex-spouses, and to provide redress to victims and survivors of domestic violence. However, domestic violence is not defined as a criminal offence including psychological and physical violence, and the penal code has procedural barriers to prosecuting perpetrators of violence. Sexual harassment</w:t>
      </w:r>
      <w:r w:rsidR="00AF5015" w:rsidRPr="0090438F">
        <w:rPr>
          <w:rFonts w:ascii="Calibri" w:hAnsi="Calibri"/>
        </w:rPr>
        <w:t xml:space="preserve"> is only criminalized as workplace</w:t>
      </w:r>
      <w:r w:rsidR="00AC649F" w:rsidRPr="0090438F">
        <w:rPr>
          <w:rFonts w:ascii="Calibri" w:hAnsi="Calibri"/>
        </w:rPr>
        <w:t xml:space="preserve"> conduct and against minors.</w:t>
      </w:r>
      <w:r w:rsidR="00AC649F" w:rsidRPr="0090438F">
        <w:rPr>
          <w:rStyle w:val="FootnoteReference"/>
          <w:rFonts w:ascii="Calibri" w:hAnsi="Calibri"/>
        </w:rPr>
        <w:footnoteReference w:id="237"/>
      </w:r>
      <w:r w:rsidR="00AC649F" w:rsidRPr="0090438F">
        <w:rPr>
          <w:rFonts w:ascii="Calibri" w:hAnsi="Calibri"/>
        </w:rPr>
        <w:t xml:space="preserve"> The denial of women’s rights is perhaps most evident in the illegality of abortion in Chile</w:t>
      </w:r>
      <w:r w:rsidR="00AF5015" w:rsidRPr="0090438F">
        <w:rPr>
          <w:rFonts w:ascii="Calibri" w:hAnsi="Calibri"/>
        </w:rPr>
        <w:t xml:space="preserve"> and women’s inability to access the right to a safe abortion</w:t>
      </w:r>
      <w:r w:rsidR="00AC649F" w:rsidRPr="0090438F">
        <w:rPr>
          <w:rFonts w:ascii="Calibri" w:hAnsi="Calibri"/>
        </w:rPr>
        <w:t>, in all circumstances.</w:t>
      </w:r>
      <w:r w:rsidR="00AF5015" w:rsidRPr="0090438F">
        <w:rPr>
          <w:rStyle w:val="FootnoteReference"/>
          <w:rFonts w:ascii="Calibri" w:hAnsi="Calibri"/>
        </w:rPr>
        <w:footnoteReference w:id="238"/>
      </w:r>
      <w:r w:rsidR="00AC649F" w:rsidRPr="0090438F">
        <w:rPr>
          <w:rFonts w:ascii="Calibri" w:hAnsi="Calibri"/>
        </w:rPr>
        <w:t xml:space="preserve"> </w:t>
      </w:r>
      <w:r w:rsidR="00AF5015" w:rsidRPr="0090438F">
        <w:rPr>
          <w:rFonts w:ascii="Calibri" w:hAnsi="Calibri"/>
        </w:rPr>
        <w:t>The Committee was also concerned about reported forced sterilization of women living with HIV/AIDS</w:t>
      </w:r>
      <w:r w:rsidR="00B91027" w:rsidRPr="0090438F">
        <w:rPr>
          <w:rFonts w:ascii="Calibri" w:hAnsi="Calibri"/>
        </w:rPr>
        <w:t xml:space="preserve"> and</w:t>
      </w:r>
      <w:r w:rsidR="00AF5015" w:rsidRPr="0090438F">
        <w:rPr>
          <w:rFonts w:ascii="Calibri" w:hAnsi="Calibri"/>
        </w:rPr>
        <w:t xml:space="preserve"> mandatory HIV/AIDS testing.</w:t>
      </w:r>
      <w:r w:rsidR="00AF5015" w:rsidRPr="0090438F">
        <w:rPr>
          <w:rStyle w:val="FootnoteReference"/>
          <w:rFonts w:ascii="Calibri" w:hAnsi="Calibri"/>
        </w:rPr>
        <w:footnoteReference w:id="239"/>
      </w:r>
      <w:r w:rsidR="00AF5015" w:rsidRPr="0090438F">
        <w:rPr>
          <w:rFonts w:ascii="Calibri" w:hAnsi="Calibri"/>
        </w:rPr>
        <w:t xml:space="preserve"> </w:t>
      </w:r>
      <w:r w:rsidR="00AC649F" w:rsidRPr="0090438F">
        <w:rPr>
          <w:rFonts w:ascii="Calibri" w:hAnsi="Calibri"/>
        </w:rPr>
        <w:t>While these issues are not conflict-specific, they</w:t>
      </w:r>
      <w:r w:rsidR="00B91027" w:rsidRPr="0090438F">
        <w:rPr>
          <w:rFonts w:ascii="Calibri" w:hAnsi="Calibri"/>
        </w:rPr>
        <w:t xml:space="preserve"> require the government’s urgent attention and</w:t>
      </w:r>
      <w:r w:rsidR="00AC649F" w:rsidRPr="0090438F">
        <w:rPr>
          <w:rFonts w:ascii="Calibri" w:hAnsi="Calibri"/>
        </w:rPr>
        <w:t xml:space="preserve"> are obstacles </w:t>
      </w:r>
      <w:r w:rsidR="00AF5015" w:rsidRPr="0090438F">
        <w:rPr>
          <w:rFonts w:ascii="Calibri" w:hAnsi="Calibri"/>
        </w:rPr>
        <w:t xml:space="preserve">to </w:t>
      </w:r>
      <w:r w:rsidR="00B91027" w:rsidRPr="0090438F">
        <w:rPr>
          <w:rFonts w:ascii="Calibri" w:hAnsi="Calibri"/>
        </w:rPr>
        <w:t>fulfilling the obligations in the legal framework.</w:t>
      </w:r>
      <w:r w:rsidR="00AF5015" w:rsidRPr="0090438F">
        <w:rPr>
          <w:rFonts w:ascii="Calibri" w:hAnsi="Calibri"/>
        </w:rPr>
        <w:t xml:space="preserve"> </w:t>
      </w:r>
    </w:p>
    <w:p w14:paraId="5B6C31FA" w14:textId="77777777" w:rsidR="008C15E2" w:rsidRPr="0090438F" w:rsidRDefault="008C15E2" w:rsidP="00874314">
      <w:pPr>
        <w:jc w:val="both"/>
        <w:rPr>
          <w:rFonts w:ascii="Calibri" w:hAnsi="Calibri"/>
        </w:rPr>
      </w:pPr>
    </w:p>
    <w:p w14:paraId="34EDD439" w14:textId="0E8F5184" w:rsidR="00874314" w:rsidRPr="0090438F" w:rsidRDefault="006171DA" w:rsidP="00CD181F">
      <w:pPr>
        <w:spacing w:line="360" w:lineRule="auto"/>
        <w:jc w:val="both"/>
        <w:rPr>
          <w:rFonts w:ascii="Calibri" w:hAnsi="Calibri"/>
        </w:rPr>
      </w:pPr>
      <w:r w:rsidRPr="0090438F">
        <w:rPr>
          <w:rFonts w:ascii="Calibri" w:hAnsi="Calibri"/>
        </w:rPr>
        <w:t>Chile has been more successful in implementing its NAP via</w:t>
      </w:r>
      <w:r w:rsidR="00E3050F" w:rsidRPr="0090438F">
        <w:rPr>
          <w:rFonts w:ascii="Calibri" w:hAnsi="Calibri"/>
        </w:rPr>
        <w:t xml:space="preserve"> </w:t>
      </w:r>
      <w:r w:rsidR="00E3050F" w:rsidRPr="0090438F">
        <w:rPr>
          <w:rFonts w:ascii="Calibri" w:hAnsi="Calibri"/>
          <w:b/>
          <w:color w:val="4F81BD" w:themeColor="accent1"/>
        </w:rPr>
        <w:t xml:space="preserve">international </w:t>
      </w:r>
      <w:r w:rsidR="005857C6" w:rsidRPr="0090438F">
        <w:rPr>
          <w:rFonts w:ascii="Calibri" w:hAnsi="Calibri"/>
          <w:b/>
          <w:color w:val="4F81BD" w:themeColor="accent1"/>
        </w:rPr>
        <w:t>peacekeeping</w:t>
      </w:r>
      <w:r w:rsidR="005857C6" w:rsidRPr="0090438F">
        <w:rPr>
          <w:rFonts w:ascii="Calibri" w:hAnsi="Calibri"/>
        </w:rPr>
        <w:t xml:space="preserve"> </w:t>
      </w:r>
      <w:r w:rsidR="00E3050F" w:rsidRPr="0090438F">
        <w:rPr>
          <w:rFonts w:ascii="Calibri" w:hAnsi="Calibri"/>
        </w:rPr>
        <w:t>effor</w:t>
      </w:r>
      <w:r w:rsidRPr="0090438F">
        <w:rPr>
          <w:rFonts w:ascii="Calibri" w:hAnsi="Calibri"/>
        </w:rPr>
        <w:t>ts</w:t>
      </w:r>
      <w:r w:rsidR="00E3050F" w:rsidRPr="0090438F">
        <w:rPr>
          <w:rFonts w:ascii="Calibri" w:hAnsi="Calibri"/>
        </w:rPr>
        <w:t xml:space="preserve">. </w:t>
      </w:r>
      <w:r w:rsidR="00874314" w:rsidRPr="0090438F">
        <w:rPr>
          <w:rFonts w:ascii="Calibri" w:hAnsi="Calibri"/>
        </w:rPr>
        <w:t xml:space="preserve">Since </w:t>
      </w:r>
      <w:r w:rsidR="00E3050F" w:rsidRPr="0090438F">
        <w:rPr>
          <w:rFonts w:ascii="Calibri" w:hAnsi="Calibri"/>
        </w:rPr>
        <w:t>SCR</w:t>
      </w:r>
      <w:r w:rsidR="001031A6" w:rsidRPr="0090438F">
        <w:rPr>
          <w:rFonts w:ascii="Calibri" w:hAnsi="Calibri"/>
        </w:rPr>
        <w:t xml:space="preserve"> </w:t>
      </w:r>
      <w:r w:rsidR="00874314" w:rsidRPr="0090438F">
        <w:rPr>
          <w:rFonts w:ascii="Calibri" w:hAnsi="Calibri"/>
        </w:rPr>
        <w:t xml:space="preserve">1325 was adopted, 218 Chilean women have joined peacekeeping operations: 214 in Haiti, and 4 in Bosnia; 78 have been officers, 125 permanent staff and 15 civilians. </w:t>
      </w:r>
      <w:r w:rsidR="005857C6" w:rsidRPr="0090438F">
        <w:rPr>
          <w:rFonts w:ascii="Calibri" w:hAnsi="Calibri"/>
        </w:rPr>
        <w:t xml:space="preserve">Women’s participation has increased annually, </w:t>
      </w:r>
      <w:r w:rsidR="005857C6" w:rsidRPr="0090438F">
        <w:rPr>
          <w:rFonts w:ascii="Calibri" w:hAnsi="Calibri"/>
        </w:rPr>
        <w:lastRenderedPageBreak/>
        <w:t>with 38 women deployed in 2014 compared to 13 when the first NAP was launched in 2009. Chilean women in peacekeeping missions</w:t>
      </w:r>
      <w:r w:rsidR="00874314" w:rsidRPr="0090438F">
        <w:rPr>
          <w:rFonts w:ascii="Calibri" w:hAnsi="Calibri"/>
        </w:rPr>
        <w:t xml:space="preserve"> have taken on numerous roles, including serving as pilots, radio operators, mechanics of motor vehicles and helicopters, doctors, nurses, police, legal and communications advisers, staff officers, machinery commanders, quartermasters, surveyors and machinery operators.</w:t>
      </w:r>
      <w:r w:rsidR="005857C6" w:rsidRPr="0090438F">
        <w:rPr>
          <w:rStyle w:val="FootnoteReference"/>
          <w:rFonts w:ascii="Calibri" w:hAnsi="Calibri"/>
        </w:rPr>
        <w:footnoteReference w:id="240"/>
      </w:r>
      <w:r w:rsidR="00874314" w:rsidRPr="0090438F">
        <w:rPr>
          <w:rFonts w:ascii="Calibri" w:hAnsi="Calibri"/>
        </w:rPr>
        <w:t xml:space="preserve"> Chile currently has personnel deployed in the United Nations Stabilisation Mission in Haiti (MINUSTAH), the United Nations Peacekeeping Force in Cyprus (UNFICYP), the Military Observer Group of the United Nations in India and Pakistan (UNMOGIP), the United Nations Truce Supervision Organization (UNTSO), and the Mission of the European Union in Bosnia and Herzegovina (EUFOR-ALTHEA).</w:t>
      </w:r>
    </w:p>
    <w:p w14:paraId="22F370B7" w14:textId="77777777" w:rsidR="00874314" w:rsidRPr="0090438F" w:rsidRDefault="00874314" w:rsidP="00874314">
      <w:pPr>
        <w:jc w:val="both"/>
        <w:rPr>
          <w:rFonts w:ascii="Calibri" w:hAnsi="Calibri"/>
        </w:rPr>
      </w:pPr>
    </w:p>
    <w:p w14:paraId="7037E66F" w14:textId="77777777" w:rsidR="00874314" w:rsidRPr="0090438F" w:rsidRDefault="00874314" w:rsidP="00874314">
      <w:pPr>
        <w:jc w:val="both"/>
        <w:rPr>
          <w:rFonts w:ascii="Calibri" w:hAnsi="Calibri"/>
          <w:b/>
          <w:color w:val="1F497D" w:themeColor="text2"/>
          <w:u w:val="single"/>
        </w:rPr>
      </w:pPr>
      <w:r w:rsidRPr="0090438F">
        <w:rPr>
          <w:rFonts w:ascii="Calibri" w:hAnsi="Calibri"/>
          <w:b/>
          <w:color w:val="1F497D" w:themeColor="text2"/>
          <w:u w:val="single"/>
        </w:rPr>
        <w:t>Civil Society</w:t>
      </w:r>
    </w:p>
    <w:p w14:paraId="2DB713AF" w14:textId="77777777" w:rsidR="008C15E2" w:rsidRPr="0090438F" w:rsidRDefault="008C15E2" w:rsidP="00874314">
      <w:pPr>
        <w:jc w:val="both"/>
        <w:rPr>
          <w:rFonts w:ascii="Calibri" w:hAnsi="Calibri"/>
        </w:rPr>
      </w:pPr>
    </w:p>
    <w:p w14:paraId="30B3A4E5" w14:textId="64599054" w:rsidR="00874314" w:rsidRPr="0090438F" w:rsidRDefault="004633B4" w:rsidP="00CD181F">
      <w:pPr>
        <w:spacing w:line="360" w:lineRule="auto"/>
        <w:jc w:val="both"/>
        <w:rPr>
          <w:rFonts w:ascii="Calibri" w:hAnsi="Calibri"/>
        </w:rPr>
      </w:pPr>
      <w:r w:rsidRPr="0090438F">
        <w:rPr>
          <w:rFonts w:ascii="Calibri" w:hAnsi="Calibri"/>
        </w:rPr>
        <w:t xml:space="preserve">While Chile’s active civil society sector is not engaged on peace and security issues (given the lack of current conflict) there is widespread support for the NAP process, especially in raising women’s profile in peace-building and post-conflict reconstruction. Women’s organizations are working on domestic </w:t>
      </w:r>
      <w:r w:rsidR="007F4F7D" w:rsidRPr="0090438F">
        <w:rPr>
          <w:rFonts w:ascii="Calibri" w:hAnsi="Calibri"/>
        </w:rPr>
        <w:t>violence</w:t>
      </w:r>
      <w:r w:rsidRPr="0090438F">
        <w:rPr>
          <w:rFonts w:ascii="Calibri" w:hAnsi="Calibri"/>
        </w:rPr>
        <w:t xml:space="preserve"> and sexual and reproductive health rights. NGOs also focus on</w:t>
      </w:r>
      <w:r w:rsidR="006171DA" w:rsidRPr="0090438F">
        <w:rPr>
          <w:rFonts w:ascii="Calibri" w:hAnsi="Calibri"/>
        </w:rPr>
        <w:t xml:space="preserve"> </w:t>
      </w:r>
      <w:r w:rsidRPr="0090438F">
        <w:rPr>
          <w:rFonts w:ascii="Calibri" w:hAnsi="Calibri"/>
        </w:rPr>
        <w:t>w</w:t>
      </w:r>
      <w:r w:rsidR="00DF6336" w:rsidRPr="0090438F">
        <w:rPr>
          <w:rFonts w:ascii="Calibri" w:hAnsi="Calibri"/>
        </w:rPr>
        <w:t xml:space="preserve">age </w:t>
      </w:r>
      <w:r w:rsidR="00AF5015" w:rsidRPr="0090438F">
        <w:rPr>
          <w:rFonts w:ascii="Calibri" w:hAnsi="Calibri"/>
        </w:rPr>
        <w:t>parity and women’s economic empowerment is a focus area</w:t>
      </w:r>
      <w:r w:rsidR="00DF6336" w:rsidRPr="0090438F">
        <w:rPr>
          <w:rFonts w:ascii="Calibri" w:hAnsi="Calibri"/>
        </w:rPr>
        <w:t>, given that Chile fell from 46</w:t>
      </w:r>
      <w:r w:rsidR="00DF6336" w:rsidRPr="0090438F">
        <w:rPr>
          <w:rFonts w:ascii="Calibri" w:hAnsi="Calibri"/>
          <w:vertAlign w:val="superscript"/>
        </w:rPr>
        <w:t>th</w:t>
      </w:r>
      <w:r w:rsidR="00DF6336" w:rsidRPr="0090438F">
        <w:rPr>
          <w:rFonts w:ascii="Calibri" w:hAnsi="Calibri"/>
        </w:rPr>
        <w:t xml:space="preserve"> place in 2011, to 91</w:t>
      </w:r>
      <w:r w:rsidR="00DF6336" w:rsidRPr="0090438F">
        <w:rPr>
          <w:rFonts w:ascii="Calibri" w:hAnsi="Calibri"/>
          <w:vertAlign w:val="superscript"/>
        </w:rPr>
        <w:t>st</w:t>
      </w:r>
      <w:r w:rsidR="00DF6336" w:rsidRPr="0090438F">
        <w:rPr>
          <w:rFonts w:ascii="Calibri" w:hAnsi="Calibri"/>
        </w:rPr>
        <w:t xml:space="preserve"> place in 2013 on the World Economic Forum’s Gender Equality Index. Chile </w:t>
      </w:r>
      <w:r w:rsidRPr="0090438F">
        <w:rPr>
          <w:rFonts w:ascii="Calibri" w:hAnsi="Calibri"/>
        </w:rPr>
        <w:t>has since risen</w:t>
      </w:r>
      <w:r w:rsidR="00DF6336" w:rsidRPr="0090438F">
        <w:rPr>
          <w:rFonts w:ascii="Calibri" w:hAnsi="Calibri"/>
        </w:rPr>
        <w:t xml:space="preserve"> to 66</w:t>
      </w:r>
      <w:r w:rsidR="00DF6336" w:rsidRPr="0090438F">
        <w:rPr>
          <w:rFonts w:ascii="Calibri" w:hAnsi="Calibri"/>
          <w:vertAlign w:val="superscript"/>
        </w:rPr>
        <w:t>th</w:t>
      </w:r>
      <w:r w:rsidR="00DF6336" w:rsidRPr="0090438F">
        <w:rPr>
          <w:rFonts w:ascii="Calibri" w:hAnsi="Calibri"/>
        </w:rPr>
        <w:t xml:space="preserve"> place out of 142 countries</w:t>
      </w:r>
      <w:r w:rsidRPr="0090438F">
        <w:rPr>
          <w:rFonts w:ascii="Calibri" w:hAnsi="Calibri"/>
        </w:rPr>
        <w:t xml:space="preserve"> in</w:t>
      </w:r>
      <w:r w:rsidR="0003022A" w:rsidRPr="0090438F">
        <w:rPr>
          <w:rFonts w:ascii="Calibri" w:hAnsi="Calibri"/>
        </w:rPr>
        <w:t xml:space="preserve"> the Index in</w:t>
      </w:r>
      <w:r w:rsidRPr="0090438F">
        <w:rPr>
          <w:rFonts w:ascii="Calibri" w:hAnsi="Calibri"/>
        </w:rPr>
        <w:t xml:space="preserve"> 2014</w:t>
      </w:r>
      <w:r w:rsidR="00DF6336" w:rsidRPr="0090438F">
        <w:rPr>
          <w:rFonts w:ascii="Calibri" w:hAnsi="Calibri"/>
        </w:rPr>
        <w:t>.</w:t>
      </w:r>
      <w:r w:rsidR="00DF6336" w:rsidRPr="0090438F">
        <w:rPr>
          <w:rStyle w:val="FootnoteReference"/>
          <w:rFonts w:ascii="Calibri" w:hAnsi="Calibri"/>
        </w:rPr>
        <w:footnoteReference w:id="241"/>
      </w:r>
      <w:r w:rsidR="001031A6" w:rsidRPr="0090438F">
        <w:rPr>
          <w:rFonts w:ascii="Calibri" w:hAnsi="Calibri"/>
        </w:rPr>
        <w:t xml:space="preserve"> </w:t>
      </w:r>
    </w:p>
    <w:p w14:paraId="6719A4EC" w14:textId="49FEEBDE" w:rsidR="005C68CA" w:rsidRPr="0090438F" w:rsidRDefault="005C68CA" w:rsidP="008C15E2">
      <w:pPr>
        <w:rPr>
          <w:rFonts w:ascii="Calibri" w:hAnsi="Calibri"/>
          <w:b/>
        </w:rPr>
      </w:pPr>
    </w:p>
    <w:p w14:paraId="53AB7A31" w14:textId="2B798E32" w:rsidR="00396B07" w:rsidRPr="0090438F" w:rsidRDefault="00396B07" w:rsidP="007F364C">
      <w:pPr>
        <w:pStyle w:val="ListParagraph"/>
        <w:numPr>
          <w:ilvl w:val="0"/>
          <w:numId w:val="13"/>
        </w:numPr>
        <w:rPr>
          <w:rFonts w:ascii="Calibri" w:hAnsi="Calibri"/>
          <w:b/>
          <w:color w:val="1F497D" w:themeColor="text2"/>
        </w:rPr>
      </w:pPr>
      <w:r w:rsidRPr="0090438F">
        <w:rPr>
          <w:rFonts w:ascii="Calibri" w:hAnsi="Calibri"/>
          <w:b/>
          <w:color w:val="1F497D" w:themeColor="text2"/>
        </w:rPr>
        <w:t>Conclusion</w:t>
      </w:r>
    </w:p>
    <w:p w14:paraId="2A065507" w14:textId="77777777" w:rsidR="00DF6336" w:rsidRPr="0090438F" w:rsidRDefault="00DF6336" w:rsidP="00DF6336">
      <w:pPr>
        <w:jc w:val="both"/>
        <w:rPr>
          <w:rFonts w:ascii="Calibri" w:hAnsi="Calibri"/>
        </w:rPr>
      </w:pPr>
    </w:p>
    <w:p w14:paraId="707D3461" w14:textId="7743F3AC" w:rsidR="00213F5E" w:rsidRPr="0090438F" w:rsidRDefault="00AF5015" w:rsidP="00CD181F">
      <w:pPr>
        <w:spacing w:line="360" w:lineRule="auto"/>
        <w:jc w:val="both"/>
        <w:rPr>
          <w:rFonts w:ascii="Calibri" w:hAnsi="Calibri"/>
        </w:rPr>
      </w:pPr>
      <w:r w:rsidRPr="0090438F">
        <w:rPr>
          <w:rFonts w:ascii="Calibri" w:hAnsi="Calibri"/>
        </w:rPr>
        <w:t xml:space="preserve">Chile’s first NAP </w:t>
      </w:r>
      <w:r w:rsidR="00EB00D4" w:rsidRPr="0090438F">
        <w:rPr>
          <w:rFonts w:ascii="Calibri" w:hAnsi="Calibri"/>
        </w:rPr>
        <w:t>was</w:t>
      </w:r>
      <w:r w:rsidRPr="0090438F">
        <w:rPr>
          <w:rFonts w:ascii="Calibri" w:hAnsi="Calibri"/>
        </w:rPr>
        <w:t xml:space="preserve"> implemented </w:t>
      </w:r>
      <w:r w:rsidR="00EB00D4" w:rsidRPr="0090438F">
        <w:rPr>
          <w:rFonts w:ascii="Calibri" w:hAnsi="Calibri"/>
        </w:rPr>
        <w:t>with mixed</w:t>
      </w:r>
      <w:r w:rsidRPr="0090438F">
        <w:rPr>
          <w:rFonts w:ascii="Calibri" w:hAnsi="Calibri"/>
        </w:rPr>
        <w:t xml:space="preserve"> success, with domestic efforts lagging behind the country’s successful international </w:t>
      </w:r>
      <w:r w:rsidR="005F1E16" w:rsidRPr="0090438F">
        <w:rPr>
          <w:rFonts w:ascii="Calibri" w:hAnsi="Calibri"/>
        </w:rPr>
        <w:t>cooperation</w:t>
      </w:r>
      <w:r w:rsidRPr="0090438F">
        <w:rPr>
          <w:rFonts w:ascii="Calibri" w:hAnsi="Calibri"/>
        </w:rPr>
        <w:t xml:space="preserve">. </w:t>
      </w:r>
      <w:r w:rsidR="00EB00D4" w:rsidRPr="0090438F">
        <w:rPr>
          <w:rFonts w:ascii="Calibri" w:hAnsi="Calibri"/>
        </w:rPr>
        <w:t xml:space="preserve">However, there is a chance for national-level implementation to be strengthened, and for international </w:t>
      </w:r>
      <w:r w:rsidR="00616F81" w:rsidRPr="0090438F">
        <w:rPr>
          <w:rFonts w:ascii="Calibri" w:hAnsi="Calibri"/>
        </w:rPr>
        <w:t>action</w:t>
      </w:r>
      <w:r w:rsidR="00EB00D4" w:rsidRPr="0090438F">
        <w:rPr>
          <w:rFonts w:ascii="Calibri" w:hAnsi="Calibri"/>
        </w:rPr>
        <w:t xml:space="preserve"> to continue to improve (little is known about women’s actual decision-making power in peacekeeping missions, for instance).</w:t>
      </w:r>
      <w:r w:rsidRPr="0090438F">
        <w:rPr>
          <w:rFonts w:ascii="Calibri" w:hAnsi="Calibri"/>
        </w:rPr>
        <w:t xml:space="preserve"> </w:t>
      </w:r>
      <w:r w:rsidR="00EB00D4" w:rsidRPr="0090438F">
        <w:rPr>
          <w:rFonts w:ascii="Calibri" w:hAnsi="Calibri"/>
        </w:rPr>
        <w:t>A</w:t>
      </w:r>
      <w:r w:rsidR="00DF6336" w:rsidRPr="0090438F">
        <w:rPr>
          <w:rFonts w:ascii="Calibri" w:hAnsi="Calibri"/>
        </w:rPr>
        <w:t>n inter-ministerial committee led by representatives of the Ministries of Defence and Foreign Affairs, and the recently created Ministry of Women and Gender Equity</w:t>
      </w:r>
      <w:r w:rsidR="00EB00D4" w:rsidRPr="0090438F">
        <w:rPr>
          <w:rFonts w:ascii="Calibri" w:hAnsi="Calibri"/>
        </w:rPr>
        <w:t xml:space="preserve"> will lead the implementation of the new NAP</w:t>
      </w:r>
      <w:r w:rsidR="00DF6336" w:rsidRPr="0090438F">
        <w:rPr>
          <w:rFonts w:ascii="Calibri" w:hAnsi="Calibri"/>
        </w:rPr>
        <w:t>. The inclusion of the new women’s ministry will hopefully lead</w:t>
      </w:r>
      <w:r w:rsidR="00926AEB" w:rsidRPr="0090438F">
        <w:rPr>
          <w:rFonts w:ascii="Calibri" w:hAnsi="Calibri"/>
        </w:rPr>
        <w:t xml:space="preserve"> to a prioritisation of issues facing Chilean women, especially regarding </w:t>
      </w:r>
      <w:r w:rsidR="005F1E16" w:rsidRPr="0090438F">
        <w:rPr>
          <w:rFonts w:ascii="Calibri" w:hAnsi="Calibri"/>
        </w:rPr>
        <w:t xml:space="preserve">SGBV, </w:t>
      </w:r>
      <w:r w:rsidR="00926AEB" w:rsidRPr="0090438F">
        <w:rPr>
          <w:rFonts w:ascii="Calibri" w:hAnsi="Calibri"/>
        </w:rPr>
        <w:t>sexual and reproductive rights</w:t>
      </w:r>
      <w:r w:rsidRPr="0090438F">
        <w:rPr>
          <w:rFonts w:ascii="Calibri" w:hAnsi="Calibri"/>
        </w:rPr>
        <w:t>,</w:t>
      </w:r>
      <w:r w:rsidR="00926AEB" w:rsidRPr="0090438F">
        <w:rPr>
          <w:rFonts w:ascii="Calibri" w:hAnsi="Calibri"/>
        </w:rPr>
        <w:t xml:space="preserve"> and women’s political participation. This would</w:t>
      </w:r>
      <w:r w:rsidRPr="0090438F">
        <w:rPr>
          <w:rFonts w:ascii="Calibri" w:hAnsi="Calibri"/>
        </w:rPr>
        <w:t xml:space="preserve"> complement the good </w:t>
      </w:r>
      <w:r w:rsidR="00926AEB" w:rsidRPr="0090438F">
        <w:rPr>
          <w:rFonts w:ascii="Calibri" w:hAnsi="Calibri"/>
        </w:rPr>
        <w:t>work being done interna</w:t>
      </w:r>
      <w:r w:rsidR="00A33528" w:rsidRPr="0090438F">
        <w:rPr>
          <w:rFonts w:ascii="Calibri" w:hAnsi="Calibri"/>
        </w:rPr>
        <w:t>tionally by Chile.</w:t>
      </w:r>
      <w:r w:rsidRPr="0090438F">
        <w:rPr>
          <w:rFonts w:ascii="Calibri" w:hAnsi="Calibri"/>
        </w:rPr>
        <w:t xml:space="preserve"> </w:t>
      </w:r>
      <w:r w:rsidR="00DF6336" w:rsidRPr="0090438F">
        <w:rPr>
          <w:rFonts w:ascii="Calibri" w:hAnsi="Calibri"/>
        </w:rPr>
        <w:t xml:space="preserve"> </w:t>
      </w:r>
    </w:p>
    <w:p w14:paraId="10AFD42F" w14:textId="77777777" w:rsidR="005F1E16" w:rsidRPr="00EB00D4" w:rsidRDefault="005F1E16" w:rsidP="00616F81">
      <w:pPr>
        <w:jc w:val="both"/>
        <w:rPr>
          <w:rFonts w:ascii="Calibri" w:hAnsi="Calibri"/>
        </w:rPr>
      </w:pPr>
    </w:p>
    <w:p w14:paraId="09D8EA81" w14:textId="77777777" w:rsidR="00466F23" w:rsidRDefault="00466F23" w:rsidP="00D74DEC">
      <w:pPr>
        <w:pStyle w:val="Title"/>
        <w:rPr>
          <w:sz w:val="32"/>
          <w:szCs w:val="32"/>
          <w:u w:val="single"/>
        </w:rPr>
      </w:pPr>
      <w:r>
        <w:rPr>
          <w:sz w:val="32"/>
          <w:szCs w:val="32"/>
          <w:u w:val="single"/>
        </w:rPr>
        <w:br w:type="page"/>
      </w:r>
    </w:p>
    <w:p w14:paraId="1FA6F56E" w14:textId="6CF6817B" w:rsidR="003330F3" w:rsidRPr="003330F3" w:rsidRDefault="003330F3" w:rsidP="003330F3">
      <w:pPr>
        <w:pStyle w:val="Heading3"/>
        <w:keepLines/>
        <w:spacing w:before="20" w:after="0"/>
        <w:jc w:val="center"/>
        <w:rPr>
          <w:b w:val="0"/>
          <w:color w:val="1F497D" w:themeColor="text2"/>
          <w:spacing w:val="14"/>
          <w:sz w:val="32"/>
          <w:szCs w:val="32"/>
          <w:u w:val="single"/>
          <w:lang w:val="en-GB"/>
        </w:rPr>
      </w:pPr>
      <w:bookmarkStart w:id="19" w:name="_Toc416867097"/>
      <w:r w:rsidRPr="003330F3">
        <w:rPr>
          <w:b w:val="0"/>
          <w:color w:val="1F497D" w:themeColor="text2"/>
          <w:spacing w:val="14"/>
          <w:sz w:val="32"/>
          <w:szCs w:val="32"/>
          <w:u w:val="single"/>
          <w:lang w:val="en-GB"/>
        </w:rPr>
        <w:lastRenderedPageBreak/>
        <w:t>THE MIDDLE EAST</w:t>
      </w:r>
      <w:bookmarkEnd w:id="19"/>
    </w:p>
    <w:p w14:paraId="647BF03D" w14:textId="77777777" w:rsidR="005C68CA" w:rsidRDefault="005C68CA" w:rsidP="005C68CA">
      <w:pPr>
        <w:jc w:val="both"/>
        <w:rPr>
          <w:rFonts w:ascii="Calibri" w:hAnsi="Calibri"/>
          <w:b/>
        </w:rPr>
      </w:pPr>
    </w:p>
    <w:p w14:paraId="0996D331" w14:textId="379C3A83" w:rsidR="003330F3" w:rsidRPr="003330F3" w:rsidRDefault="003330F3" w:rsidP="003330F3">
      <w:pPr>
        <w:pStyle w:val="Heading3"/>
        <w:keepLines/>
        <w:spacing w:before="20" w:after="0"/>
        <w:jc w:val="center"/>
        <w:rPr>
          <w:b w:val="0"/>
          <w:color w:val="1F497D" w:themeColor="text2"/>
          <w:spacing w:val="14"/>
          <w:sz w:val="32"/>
          <w:szCs w:val="32"/>
          <w:lang w:val="en-GB"/>
        </w:rPr>
      </w:pPr>
      <w:bookmarkStart w:id="20" w:name="_Toc416867098"/>
      <w:r>
        <w:rPr>
          <w:b w:val="0"/>
          <w:color w:val="1F497D" w:themeColor="text2"/>
          <w:spacing w:val="14"/>
          <w:sz w:val="32"/>
          <w:szCs w:val="32"/>
          <w:lang w:val="en-GB"/>
        </w:rPr>
        <w:t>IRAQ – A NAP AMIDST CURRENT CONFLICT, FOLLOWING WAR AND OCCUPATION</w:t>
      </w:r>
      <w:bookmarkEnd w:id="20"/>
    </w:p>
    <w:p w14:paraId="68406606" w14:textId="77777777" w:rsidR="003330F3" w:rsidRDefault="003330F3" w:rsidP="005C68CA">
      <w:pPr>
        <w:jc w:val="both"/>
        <w:rPr>
          <w:rFonts w:ascii="Calibri" w:hAnsi="Calibri"/>
          <w:b/>
        </w:rPr>
      </w:pPr>
    </w:p>
    <w:p w14:paraId="01BC509F" w14:textId="24DD93A8" w:rsidR="005C68CA" w:rsidRPr="00471761" w:rsidRDefault="00EB00D4" w:rsidP="007F364C">
      <w:pPr>
        <w:pStyle w:val="ListParagraph"/>
        <w:widowControl w:val="0"/>
        <w:numPr>
          <w:ilvl w:val="0"/>
          <w:numId w:val="14"/>
        </w:numPr>
        <w:autoSpaceDE w:val="0"/>
        <w:autoSpaceDN w:val="0"/>
        <w:adjustRightInd w:val="0"/>
        <w:rPr>
          <w:rFonts w:ascii="Calibri" w:hAnsi="Calibri" w:cs="Arial"/>
          <w:b/>
          <w:color w:val="002060"/>
          <w:lang w:val="en-US"/>
        </w:rPr>
      </w:pPr>
      <w:r w:rsidRPr="00471761">
        <w:rPr>
          <w:rFonts w:ascii="Calibri" w:hAnsi="Calibri" w:cs="Arial"/>
          <w:b/>
          <w:color w:val="002060"/>
          <w:lang w:val="en-US"/>
        </w:rPr>
        <w:t>An</w:t>
      </w:r>
      <w:r w:rsidR="005C68CA" w:rsidRPr="00471761">
        <w:rPr>
          <w:rFonts w:ascii="Calibri" w:hAnsi="Calibri" w:cs="Arial"/>
          <w:b/>
          <w:color w:val="002060"/>
          <w:lang w:val="en-US"/>
        </w:rPr>
        <w:t xml:space="preserve"> Overview of Conflict in Iraq</w:t>
      </w:r>
    </w:p>
    <w:p w14:paraId="306D8BED" w14:textId="77777777" w:rsidR="005C68CA" w:rsidRPr="0090438F" w:rsidRDefault="005C68CA" w:rsidP="005C68CA">
      <w:pPr>
        <w:widowControl w:val="0"/>
        <w:autoSpaceDE w:val="0"/>
        <w:autoSpaceDN w:val="0"/>
        <w:adjustRightInd w:val="0"/>
        <w:rPr>
          <w:rFonts w:ascii="Calibri" w:hAnsi="Calibri" w:cs="Arial"/>
          <w:color w:val="000000" w:themeColor="text1"/>
          <w:lang w:val="en-US"/>
        </w:rPr>
      </w:pPr>
    </w:p>
    <w:p w14:paraId="7B2F018B" w14:textId="1F2E3C78" w:rsidR="005C68CA" w:rsidRPr="0090438F" w:rsidRDefault="005C68CA" w:rsidP="00CD181F">
      <w:pPr>
        <w:widowControl w:val="0"/>
        <w:autoSpaceDE w:val="0"/>
        <w:autoSpaceDN w:val="0"/>
        <w:adjustRightInd w:val="0"/>
        <w:spacing w:line="360" w:lineRule="auto"/>
        <w:jc w:val="both"/>
        <w:rPr>
          <w:rFonts w:ascii="Calibri" w:hAnsi="Calibri" w:cs="Arial"/>
          <w:color w:val="000000" w:themeColor="text1"/>
        </w:rPr>
      </w:pPr>
      <w:r w:rsidRPr="0090438F">
        <w:rPr>
          <w:rFonts w:ascii="Calibri" w:hAnsi="Calibri" w:cs="Arial"/>
          <w:color w:val="000000" w:themeColor="text1"/>
        </w:rPr>
        <w:t xml:space="preserve">For the last four decades, </w:t>
      </w:r>
      <w:r w:rsidR="00EB00D4" w:rsidRPr="0090438F">
        <w:rPr>
          <w:rFonts w:ascii="Calibri" w:hAnsi="Calibri" w:cs="Arial"/>
          <w:color w:val="000000" w:themeColor="text1"/>
        </w:rPr>
        <w:t>Iraqi</w:t>
      </w:r>
      <w:r w:rsidR="005F1E16" w:rsidRPr="0090438F">
        <w:rPr>
          <w:rFonts w:ascii="Calibri" w:hAnsi="Calibri" w:cs="Arial"/>
          <w:color w:val="000000" w:themeColor="text1"/>
        </w:rPr>
        <w:t xml:space="preserve"> women</w:t>
      </w:r>
      <w:r w:rsidR="00EB00D4" w:rsidRPr="0090438F">
        <w:rPr>
          <w:rFonts w:ascii="Calibri" w:hAnsi="Calibri" w:cs="Arial"/>
          <w:color w:val="000000" w:themeColor="text1"/>
        </w:rPr>
        <w:t xml:space="preserve"> have been among the </w:t>
      </w:r>
      <w:r w:rsidRPr="0090438F">
        <w:rPr>
          <w:rFonts w:ascii="Calibri" w:hAnsi="Calibri" w:cs="Arial"/>
          <w:color w:val="000000" w:themeColor="text1"/>
        </w:rPr>
        <w:t>main victims of armed conflict, includ</w:t>
      </w:r>
      <w:r w:rsidR="005F1E16" w:rsidRPr="0090438F">
        <w:rPr>
          <w:rFonts w:ascii="Calibri" w:hAnsi="Calibri" w:cs="Arial"/>
          <w:color w:val="000000" w:themeColor="text1"/>
        </w:rPr>
        <w:t>ing the war with Iran in 1980-1</w:t>
      </w:r>
      <w:r w:rsidRPr="0090438F">
        <w:rPr>
          <w:rFonts w:ascii="Calibri" w:hAnsi="Calibri" w:cs="Arial"/>
          <w:color w:val="000000" w:themeColor="text1"/>
        </w:rPr>
        <w:t>988, the Gulf War in 1991 and the U.S. invasion of Iraq in 2003.</w:t>
      </w:r>
      <w:r w:rsidRPr="0090438F">
        <w:rPr>
          <w:rStyle w:val="FootnoteReference"/>
          <w:rFonts w:ascii="Calibri" w:hAnsi="Calibri" w:cs="Arial"/>
          <w:color w:val="000000" w:themeColor="text1"/>
        </w:rPr>
        <w:footnoteReference w:id="242"/>
      </w:r>
      <w:r w:rsidRPr="0090438F">
        <w:rPr>
          <w:rFonts w:ascii="Calibri" w:hAnsi="Calibri" w:cs="Arial"/>
          <w:color w:val="000000" w:themeColor="text1"/>
        </w:rPr>
        <w:t xml:space="preserve">  The U.S. invasion reinforced sectarian and ethnic divisions and the dominance of Islami</w:t>
      </w:r>
      <w:r w:rsidR="005F1E16" w:rsidRPr="0090438F">
        <w:rPr>
          <w:rFonts w:ascii="Calibri" w:hAnsi="Calibri" w:cs="Arial"/>
          <w:color w:val="000000" w:themeColor="text1"/>
        </w:rPr>
        <w:t>st</w:t>
      </w:r>
      <w:r w:rsidRPr="0090438F">
        <w:rPr>
          <w:rFonts w:ascii="Calibri" w:hAnsi="Calibri" w:cs="Arial"/>
          <w:color w:val="000000" w:themeColor="text1"/>
        </w:rPr>
        <w:t xml:space="preserve"> political parties.</w:t>
      </w:r>
      <w:r w:rsidRPr="0090438F">
        <w:rPr>
          <w:rStyle w:val="FootnoteReference"/>
          <w:rFonts w:ascii="Calibri" w:hAnsi="Calibri" w:cs="Arial"/>
          <w:color w:val="000000" w:themeColor="text1"/>
        </w:rPr>
        <w:footnoteReference w:id="243"/>
      </w:r>
      <w:r w:rsidRPr="0090438F">
        <w:rPr>
          <w:rFonts w:ascii="Calibri" w:hAnsi="Calibri" w:cs="Arial"/>
          <w:color w:val="000000" w:themeColor="text1"/>
        </w:rPr>
        <w:t xml:space="preserve">  Neither the Iraqi nor U.S. leaderships installed the basic principles of equality, which permitted religious conservatives and extremists to exploit the law to strengthen their conservative positions with respect to women's rights.</w:t>
      </w:r>
      <w:r w:rsidRPr="0090438F">
        <w:rPr>
          <w:rStyle w:val="FootnoteReference"/>
          <w:rFonts w:ascii="Calibri" w:hAnsi="Calibri" w:cs="Arial"/>
          <w:color w:val="000000" w:themeColor="text1"/>
        </w:rPr>
        <w:footnoteReference w:id="244"/>
      </w:r>
      <w:r w:rsidR="000F406A" w:rsidRPr="0090438F">
        <w:rPr>
          <w:rFonts w:ascii="Calibri" w:hAnsi="Calibri" w:cs="Arial"/>
          <w:color w:val="000000" w:themeColor="text1"/>
        </w:rPr>
        <w:t xml:space="preserve"> </w:t>
      </w:r>
      <w:r w:rsidR="002C7E3C" w:rsidRPr="0090438F">
        <w:rPr>
          <w:rFonts w:ascii="Calibri" w:hAnsi="Calibri" w:cs="Arial"/>
          <w:color w:val="000000" w:themeColor="text1"/>
        </w:rPr>
        <w:t>C</w:t>
      </w:r>
      <w:r w:rsidRPr="0090438F">
        <w:rPr>
          <w:rFonts w:ascii="Calibri" w:hAnsi="Calibri" w:cs="Arial"/>
          <w:color w:val="000000" w:themeColor="text1"/>
        </w:rPr>
        <w:t xml:space="preserve">onflict and sanctions have resulted in significant deterioration in </w:t>
      </w:r>
      <w:r w:rsidR="005F1E16" w:rsidRPr="0090438F">
        <w:rPr>
          <w:rFonts w:ascii="Calibri" w:hAnsi="Calibri" w:cs="Arial"/>
          <w:color w:val="000000" w:themeColor="text1"/>
        </w:rPr>
        <w:t xml:space="preserve">Iraq’s </w:t>
      </w:r>
      <w:r w:rsidRPr="0090438F">
        <w:rPr>
          <w:rFonts w:ascii="Calibri" w:hAnsi="Calibri" w:cs="Arial"/>
          <w:color w:val="000000" w:themeColor="text1"/>
        </w:rPr>
        <w:t xml:space="preserve">economic and social </w:t>
      </w:r>
      <w:r w:rsidR="005F1E16" w:rsidRPr="0090438F">
        <w:rPr>
          <w:rFonts w:ascii="Calibri" w:hAnsi="Calibri" w:cs="Arial"/>
          <w:color w:val="000000" w:themeColor="text1"/>
        </w:rPr>
        <w:t>conditions</w:t>
      </w:r>
      <w:r w:rsidRPr="0090438F">
        <w:rPr>
          <w:rFonts w:ascii="Calibri" w:hAnsi="Calibri" w:cs="Arial"/>
          <w:color w:val="000000" w:themeColor="text1"/>
        </w:rPr>
        <w:t>, taking a particularly high toll on women.  Effects include</w:t>
      </w:r>
      <w:r w:rsidR="005F1E16" w:rsidRPr="0090438F">
        <w:rPr>
          <w:rFonts w:ascii="Calibri" w:hAnsi="Calibri" w:cs="Arial"/>
          <w:color w:val="000000" w:themeColor="text1"/>
        </w:rPr>
        <w:t>:</w:t>
      </w:r>
      <w:r w:rsidRPr="0090438F">
        <w:rPr>
          <w:rFonts w:ascii="Calibri" w:hAnsi="Calibri" w:cs="Arial"/>
          <w:color w:val="000000" w:themeColor="text1"/>
        </w:rPr>
        <w:t xml:space="preserve"> the exclusion of women f</w:t>
      </w:r>
      <w:r w:rsidR="005F1E16" w:rsidRPr="0090438F">
        <w:rPr>
          <w:rFonts w:ascii="Calibri" w:hAnsi="Calibri" w:cs="Arial"/>
          <w:color w:val="000000" w:themeColor="text1"/>
        </w:rPr>
        <w:t>rom participation in government;</w:t>
      </w:r>
      <w:r w:rsidRPr="0090438F">
        <w:rPr>
          <w:rFonts w:ascii="Calibri" w:hAnsi="Calibri" w:cs="Arial"/>
          <w:color w:val="000000" w:themeColor="text1"/>
        </w:rPr>
        <w:t xml:space="preserve"> restrictions on freed</w:t>
      </w:r>
      <w:r w:rsidR="005F1E16" w:rsidRPr="0090438F">
        <w:rPr>
          <w:rFonts w:ascii="Calibri" w:hAnsi="Calibri" w:cs="Arial"/>
          <w:color w:val="000000" w:themeColor="text1"/>
        </w:rPr>
        <w:t>om of movement in public places;</w:t>
      </w:r>
      <w:r w:rsidRPr="0090438F">
        <w:rPr>
          <w:rFonts w:ascii="Calibri" w:hAnsi="Calibri" w:cs="Arial"/>
          <w:color w:val="000000" w:themeColor="text1"/>
        </w:rPr>
        <w:t xml:space="preserve"> and increased victimization, including murder, kidnappings, and </w:t>
      </w:r>
      <w:r w:rsidR="005F1E16" w:rsidRPr="0090438F">
        <w:rPr>
          <w:rFonts w:ascii="Calibri" w:hAnsi="Calibri" w:cs="Arial"/>
          <w:color w:val="000000" w:themeColor="text1"/>
        </w:rPr>
        <w:t>sexual and gender-based violence (SGBV)</w:t>
      </w:r>
      <w:r w:rsidRPr="0090438F">
        <w:rPr>
          <w:rFonts w:ascii="Calibri" w:hAnsi="Calibri" w:cs="Arial"/>
          <w:color w:val="000000" w:themeColor="text1"/>
        </w:rPr>
        <w:t xml:space="preserve">.  </w:t>
      </w:r>
      <w:r w:rsidR="005F1E16" w:rsidRPr="0090438F">
        <w:rPr>
          <w:rFonts w:ascii="Calibri" w:hAnsi="Calibri" w:cs="Arial"/>
          <w:color w:val="000000" w:themeColor="text1"/>
        </w:rPr>
        <w:t xml:space="preserve">Conflict-related violence </w:t>
      </w:r>
      <w:r w:rsidRPr="0090438F">
        <w:rPr>
          <w:rFonts w:ascii="Calibri" w:hAnsi="Calibri" w:cs="Arial"/>
          <w:color w:val="000000" w:themeColor="text1"/>
        </w:rPr>
        <w:t xml:space="preserve">has led to restrictions on the freedom of women and girls in all provinces, negatively impacting educational opportunities and contributing to the </w:t>
      </w:r>
      <w:r w:rsidR="005F1E16" w:rsidRPr="0090438F">
        <w:rPr>
          <w:rFonts w:ascii="Calibri" w:hAnsi="Calibri" w:cs="Arial"/>
          <w:color w:val="000000" w:themeColor="text1"/>
        </w:rPr>
        <w:t xml:space="preserve">rise </w:t>
      </w:r>
      <w:r w:rsidRPr="0090438F">
        <w:rPr>
          <w:rFonts w:ascii="Calibri" w:hAnsi="Calibri" w:cs="Arial"/>
          <w:color w:val="000000" w:themeColor="text1"/>
        </w:rPr>
        <w:t>in child marriage under the pretext of protection.  Iraqi women have also suffered the neg</w:t>
      </w:r>
      <w:r w:rsidR="005F1E16" w:rsidRPr="0090438F">
        <w:rPr>
          <w:rFonts w:ascii="Calibri" w:hAnsi="Calibri" w:cs="Arial"/>
          <w:color w:val="000000" w:themeColor="text1"/>
        </w:rPr>
        <w:t xml:space="preserve">ative effects of forced </w:t>
      </w:r>
      <w:r w:rsidRPr="0090438F">
        <w:rPr>
          <w:rFonts w:ascii="Calibri" w:hAnsi="Calibri" w:cs="Arial"/>
          <w:color w:val="000000" w:themeColor="text1"/>
        </w:rPr>
        <w:t>migration and displacement.</w:t>
      </w:r>
      <w:r w:rsidRPr="0090438F">
        <w:rPr>
          <w:rStyle w:val="FootnoteReference"/>
          <w:rFonts w:ascii="Calibri" w:hAnsi="Calibri" w:cs="Arial"/>
          <w:color w:val="000000" w:themeColor="text1"/>
        </w:rPr>
        <w:footnoteReference w:id="245"/>
      </w:r>
    </w:p>
    <w:p w14:paraId="555B2615" w14:textId="77777777" w:rsidR="005C68CA" w:rsidRPr="0090438F" w:rsidRDefault="005C68CA" w:rsidP="005C68CA">
      <w:pPr>
        <w:widowControl w:val="0"/>
        <w:autoSpaceDE w:val="0"/>
        <w:autoSpaceDN w:val="0"/>
        <w:adjustRightInd w:val="0"/>
        <w:jc w:val="both"/>
        <w:rPr>
          <w:rFonts w:ascii="Calibri" w:hAnsi="Calibri" w:cs="Arial"/>
          <w:color w:val="000000" w:themeColor="text1"/>
        </w:rPr>
      </w:pPr>
    </w:p>
    <w:p w14:paraId="1B1D7CAC" w14:textId="3A29790E" w:rsidR="005C68CA" w:rsidRPr="0090438F" w:rsidRDefault="005C68CA" w:rsidP="00CD181F">
      <w:pPr>
        <w:widowControl w:val="0"/>
        <w:autoSpaceDE w:val="0"/>
        <w:autoSpaceDN w:val="0"/>
        <w:adjustRightInd w:val="0"/>
        <w:spacing w:line="360" w:lineRule="auto"/>
        <w:jc w:val="both"/>
        <w:rPr>
          <w:rFonts w:ascii="Calibri" w:hAnsi="Calibri" w:cs="Arial"/>
          <w:color w:val="000000" w:themeColor="text1"/>
          <w:lang w:val="en-US"/>
        </w:rPr>
      </w:pPr>
      <w:r w:rsidRPr="0090438F">
        <w:rPr>
          <w:rFonts w:ascii="Calibri" w:hAnsi="Calibri" w:cs="Arial"/>
          <w:color w:val="000000" w:themeColor="text1"/>
        </w:rPr>
        <w:t xml:space="preserve">Increasing violence from extremist groups, including the Islamic State of Iraq and Levant (ISIL) is exacerbating existing social problems.  According to </w:t>
      </w:r>
      <w:r w:rsidR="002C7E3C" w:rsidRPr="0090438F">
        <w:rPr>
          <w:rFonts w:ascii="Calibri" w:hAnsi="Calibri" w:cs="Arial"/>
          <w:color w:val="000000" w:themeColor="text1"/>
        </w:rPr>
        <w:t>a UN report in March 2015</w:t>
      </w:r>
      <w:r w:rsidRPr="0090438F">
        <w:rPr>
          <w:rFonts w:ascii="Calibri" w:hAnsi="Calibri" w:cs="Arial"/>
          <w:color w:val="000000" w:themeColor="text1"/>
        </w:rPr>
        <w:t>, ISIL is responsible for significant atrocities in Iraq, including mass killings and kidnapping of women and girls for use as sex slaves, which may amount to war crimes.</w:t>
      </w:r>
      <w:r w:rsidRPr="0090438F">
        <w:rPr>
          <w:rStyle w:val="FootnoteReference"/>
          <w:rFonts w:ascii="Calibri" w:hAnsi="Calibri" w:cs="Arial"/>
          <w:color w:val="000000" w:themeColor="text1"/>
        </w:rPr>
        <w:footnoteReference w:id="246"/>
      </w:r>
      <w:r w:rsidRPr="0090438F">
        <w:rPr>
          <w:rFonts w:ascii="Calibri" w:hAnsi="Calibri" w:cs="Arial"/>
          <w:color w:val="000000" w:themeColor="text1"/>
        </w:rPr>
        <w:t xml:space="preserve"> </w:t>
      </w:r>
      <w:r w:rsidRPr="0090438F">
        <w:rPr>
          <w:rFonts w:ascii="Calibri" w:hAnsi="Calibri" w:cs="Arial"/>
          <w:color w:val="000000" w:themeColor="text1"/>
          <w:lang w:val="en-US"/>
        </w:rPr>
        <w:t>Human Rights Watch report</w:t>
      </w:r>
      <w:r w:rsidR="002C7E3C" w:rsidRPr="0090438F">
        <w:rPr>
          <w:rFonts w:ascii="Calibri" w:hAnsi="Calibri" w:cs="Arial"/>
          <w:color w:val="000000" w:themeColor="text1"/>
          <w:lang w:val="en-US"/>
        </w:rPr>
        <w:t>s</w:t>
      </w:r>
      <w:r w:rsidRPr="0090438F">
        <w:rPr>
          <w:rFonts w:ascii="Calibri" w:hAnsi="Calibri" w:cs="Arial"/>
          <w:color w:val="000000" w:themeColor="text1"/>
          <w:lang w:val="en-US"/>
        </w:rPr>
        <w:t xml:space="preserve"> </w:t>
      </w:r>
      <w:r w:rsidR="002C7E3C" w:rsidRPr="0090438F">
        <w:rPr>
          <w:rFonts w:ascii="Calibri" w:hAnsi="Calibri" w:cs="Arial"/>
          <w:color w:val="000000" w:themeColor="text1"/>
          <w:lang w:val="en-US"/>
        </w:rPr>
        <w:t>that</w:t>
      </w:r>
      <w:r w:rsidRPr="0090438F">
        <w:rPr>
          <w:rFonts w:ascii="Calibri" w:hAnsi="Calibri" w:cs="Arial"/>
          <w:color w:val="000000" w:themeColor="text1"/>
          <w:lang w:val="en-US"/>
        </w:rPr>
        <w:t xml:space="preserve"> women</w:t>
      </w:r>
      <w:r w:rsidR="002C7E3C" w:rsidRPr="0090438F">
        <w:rPr>
          <w:rFonts w:ascii="Calibri" w:hAnsi="Calibri" w:cs="Arial"/>
          <w:color w:val="000000" w:themeColor="text1"/>
          <w:lang w:val="en-US"/>
        </w:rPr>
        <w:t xml:space="preserve"> in Iraqi detention facilities are </w:t>
      </w:r>
      <w:r w:rsidRPr="0090438F">
        <w:rPr>
          <w:rFonts w:ascii="Calibri" w:hAnsi="Calibri" w:cs="Arial"/>
          <w:color w:val="000000" w:themeColor="text1"/>
          <w:lang w:val="en-US"/>
        </w:rPr>
        <w:t>routinely raped and tortured and are often targeted by Iraqi Security Forces for the purpose of harassing male relatives.</w:t>
      </w:r>
      <w:r w:rsidRPr="0090438F">
        <w:rPr>
          <w:rStyle w:val="FootnoteReference"/>
          <w:rFonts w:ascii="Calibri" w:hAnsi="Calibri" w:cs="Arial"/>
          <w:color w:val="000000" w:themeColor="text1"/>
          <w:lang w:val="en-US"/>
        </w:rPr>
        <w:footnoteReference w:id="247"/>
      </w:r>
      <w:r w:rsidRPr="0090438F">
        <w:rPr>
          <w:rFonts w:ascii="Calibri" w:hAnsi="Calibri" w:cs="Arial"/>
          <w:color w:val="000000" w:themeColor="text1"/>
          <w:lang w:val="en-US"/>
        </w:rPr>
        <w:t xml:space="preserve"> </w:t>
      </w:r>
      <w:r w:rsidRPr="0090438F">
        <w:rPr>
          <w:rFonts w:ascii="Calibri" w:hAnsi="Calibri" w:cs="Arial"/>
          <w:color w:val="000000" w:themeColor="text1"/>
        </w:rPr>
        <w:t>Notwithstanding the billions of dollars allocated for reconstruction, the Iraqi government continues to suffer from poor management and corruption</w:t>
      </w:r>
      <w:r w:rsidRPr="0090438F">
        <w:rPr>
          <w:rFonts w:ascii="Calibri" w:hAnsi="Calibri" w:cs="Arial"/>
          <w:color w:val="000000" w:themeColor="text1"/>
          <w:lang w:val="en-US"/>
        </w:rPr>
        <w:t xml:space="preserve">.  The current security situation, economic marginalization, damage to the education sector and the resulting increase in illiteracy rates, are all major obstacles to advancing women’s </w:t>
      </w:r>
      <w:r w:rsidR="002C7E3C" w:rsidRPr="0090438F">
        <w:rPr>
          <w:rFonts w:ascii="Calibri" w:hAnsi="Calibri" w:cs="Arial"/>
          <w:color w:val="000000" w:themeColor="text1"/>
          <w:lang w:val="en-US"/>
        </w:rPr>
        <w:t>rights in Iraq</w:t>
      </w:r>
      <w:r w:rsidRPr="0090438F">
        <w:rPr>
          <w:rFonts w:ascii="Calibri" w:hAnsi="Calibri" w:cs="Arial"/>
          <w:color w:val="000000" w:themeColor="text1"/>
          <w:lang w:val="en-US"/>
        </w:rPr>
        <w:t>.</w:t>
      </w:r>
      <w:r w:rsidRPr="0090438F">
        <w:rPr>
          <w:rStyle w:val="FootnoteReference"/>
          <w:rFonts w:ascii="Calibri" w:hAnsi="Calibri" w:cs="Arial"/>
          <w:color w:val="000000" w:themeColor="text1"/>
          <w:lang w:val="en-US"/>
        </w:rPr>
        <w:footnoteReference w:id="248"/>
      </w:r>
    </w:p>
    <w:p w14:paraId="554480B7" w14:textId="77777777" w:rsidR="005C68CA" w:rsidRPr="00471761" w:rsidRDefault="005C68CA" w:rsidP="005C68CA">
      <w:pPr>
        <w:widowControl w:val="0"/>
        <w:autoSpaceDE w:val="0"/>
        <w:autoSpaceDN w:val="0"/>
        <w:adjustRightInd w:val="0"/>
        <w:jc w:val="both"/>
        <w:rPr>
          <w:rFonts w:ascii="Calibri" w:hAnsi="Calibri" w:cs="Arial"/>
          <w:color w:val="002060"/>
          <w:lang w:val="en-US"/>
        </w:rPr>
      </w:pPr>
    </w:p>
    <w:p w14:paraId="400AC918" w14:textId="0508F8BB" w:rsidR="005C68CA" w:rsidRPr="00471761" w:rsidRDefault="005C68CA" w:rsidP="007F364C">
      <w:pPr>
        <w:pStyle w:val="ListParagraph"/>
        <w:numPr>
          <w:ilvl w:val="0"/>
          <w:numId w:val="14"/>
        </w:numPr>
        <w:jc w:val="both"/>
        <w:rPr>
          <w:rFonts w:ascii="Calibri" w:hAnsi="Calibri" w:cs="Arial"/>
          <w:b/>
          <w:color w:val="002060"/>
          <w:lang w:val="en-US"/>
        </w:rPr>
      </w:pPr>
      <w:r w:rsidRPr="00471761">
        <w:rPr>
          <w:rFonts w:ascii="Calibri" w:hAnsi="Calibri" w:cs="Arial"/>
          <w:b/>
          <w:color w:val="002060"/>
          <w:lang w:val="en-US"/>
        </w:rPr>
        <w:t xml:space="preserve">Iraq’s National Action Plan </w:t>
      </w:r>
      <w:r w:rsidR="008F4AC7" w:rsidRPr="00471761">
        <w:rPr>
          <w:rFonts w:ascii="Calibri" w:hAnsi="Calibri" w:cs="Arial"/>
          <w:b/>
          <w:color w:val="002060"/>
          <w:lang w:val="en-US"/>
        </w:rPr>
        <w:t>(2014-18)</w:t>
      </w:r>
    </w:p>
    <w:p w14:paraId="78D164AC" w14:textId="77777777" w:rsidR="005C68CA" w:rsidRPr="0090438F" w:rsidRDefault="005C68CA" w:rsidP="005C68CA">
      <w:pPr>
        <w:jc w:val="both"/>
        <w:rPr>
          <w:rFonts w:ascii="Calibri" w:hAnsi="Calibri" w:cs="Arial"/>
          <w:b/>
          <w:color w:val="000000" w:themeColor="text1"/>
          <w:lang w:val="en-US"/>
        </w:rPr>
      </w:pPr>
    </w:p>
    <w:p w14:paraId="14101B37" w14:textId="0AFF8F9D" w:rsidR="005C68CA" w:rsidRPr="0090438F" w:rsidRDefault="005C68CA" w:rsidP="00CD181F">
      <w:pPr>
        <w:spacing w:line="360" w:lineRule="auto"/>
        <w:jc w:val="both"/>
        <w:rPr>
          <w:rFonts w:ascii="Calibri" w:hAnsi="Calibri" w:cs="Arial"/>
          <w:color w:val="000000" w:themeColor="text1"/>
          <w:lang w:val="en-US"/>
        </w:rPr>
      </w:pPr>
      <w:r w:rsidRPr="0090438F">
        <w:rPr>
          <w:rFonts w:ascii="Calibri" w:hAnsi="Calibri" w:cs="Arial"/>
          <w:color w:val="000000" w:themeColor="text1"/>
          <w:lang w:val="en-US"/>
        </w:rPr>
        <w:t>Iraq is the first country in the Middle East and North</w:t>
      </w:r>
      <w:r w:rsidR="00A33528" w:rsidRPr="0090438F">
        <w:rPr>
          <w:rFonts w:ascii="Calibri" w:hAnsi="Calibri" w:cs="Arial"/>
          <w:color w:val="000000" w:themeColor="text1"/>
          <w:lang w:val="en-US"/>
        </w:rPr>
        <w:t xml:space="preserve"> Africa region to develop a NAP, adopted by the</w:t>
      </w:r>
      <w:r w:rsidR="00CA51D0" w:rsidRPr="0090438F">
        <w:rPr>
          <w:rFonts w:ascii="Calibri" w:hAnsi="Calibri" w:cs="Arial"/>
          <w:color w:val="000000" w:themeColor="text1"/>
          <w:lang w:val="en-US"/>
        </w:rPr>
        <w:t xml:space="preserve"> g</w:t>
      </w:r>
      <w:r w:rsidRPr="0090438F">
        <w:rPr>
          <w:rFonts w:ascii="Calibri" w:hAnsi="Calibri" w:cs="Arial"/>
          <w:color w:val="000000" w:themeColor="text1"/>
          <w:lang w:val="en-US"/>
        </w:rPr>
        <w:t xml:space="preserve">overnment </w:t>
      </w:r>
      <w:r w:rsidR="00A33528" w:rsidRPr="0090438F">
        <w:rPr>
          <w:rFonts w:ascii="Calibri" w:hAnsi="Calibri" w:cs="Arial"/>
          <w:color w:val="000000" w:themeColor="text1"/>
          <w:lang w:val="en-US"/>
        </w:rPr>
        <w:t xml:space="preserve">in February 2014, to be implemented until </w:t>
      </w:r>
      <w:r w:rsidRPr="0090438F">
        <w:rPr>
          <w:rFonts w:ascii="Calibri" w:hAnsi="Calibri" w:cs="Arial"/>
          <w:color w:val="000000" w:themeColor="text1"/>
          <w:lang w:val="en-US"/>
        </w:rPr>
        <w:t xml:space="preserve">2018.  A Cross-Sector Task force for development of a NAP was formed by representatives from the executive and legislative authorities of the Federal Government in Baghdad and the Kurdish Regional Government (KRG) and women’s civil society organizations. </w:t>
      </w:r>
      <w:r w:rsidR="00A33528" w:rsidRPr="0090438F">
        <w:rPr>
          <w:rFonts w:ascii="Calibri" w:hAnsi="Calibri" w:cs="Arial"/>
          <w:color w:val="000000" w:themeColor="text1"/>
          <w:lang w:val="en-US"/>
        </w:rPr>
        <w:t>The “Task Force CPA1325” is responsible for implementing the NAP the NAP and using the budget to support implementation.  Relevant tasks include adopting an internal structure with clear responsibilities and duties.  The Task Force CPA1325 is also responsible for the coordination and cross sector cooperation necessary for implementation</w:t>
      </w:r>
    </w:p>
    <w:p w14:paraId="48F0C2DB" w14:textId="77777777" w:rsidR="005C68CA" w:rsidRPr="0090438F" w:rsidRDefault="005C68CA" w:rsidP="005C68CA">
      <w:pPr>
        <w:jc w:val="both"/>
        <w:rPr>
          <w:rFonts w:ascii="Calibri" w:hAnsi="Calibri" w:cs="Arial"/>
          <w:color w:val="000000" w:themeColor="text1"/>
          <w:lang w:val="en-US"/>
        </w:rPr>
      </w:pPr>
    </w:p>
    <w:p w14:paraId="57701609" w14:textId="0569EED1" w:rsidR="005C68CA" w:rsidRPr="0090438F" w:rsidRDefault="00A33528" w:rsidP="00EE3EF9">
      <w:pPr>
        <w:spacing w:line="360" w:lineRule="auto"/>
        <w:jc w:val="both"/>
        <w:rPr>
          <w:rFonts w:ascii="Calibri" w:hAnsi="Calibri" w:cs="Arial"/>
          <w:color w:val="000000" w:themeColor="text1"/>
          <w:lang w:val="en-US"/>
        </w:rPr>
      </w:pPr>
      <w:r w:rsidRPr="0090438F">
        <w:rPr>
          <w:rFonts w:ascii="Calibri" w:hAnsi="Calibri" w:cs="Arial"/>
          <w:color w:val="000000" w:themeColor="text1"/>
          <w:lang w:val="en-US"/>
        </w:rPr>
        <w:t xml:space="preserve">The NAP is structured around six pillars, three of which follow the pillars of SCR 1325. They are: (1) Participation; (2) Protection and Prevention; (3) Promotion; (4) Social and Economic Empowerment; (5) Legislation and Law Enforcement; and (6) Resource Mobilization, Monitoring, and Evaluation.  Each pillar has strategic objectives with corresponding specific actions, expected results and indicators.  The pillars propose activities and programs to addressing women’s concrete needs, which are to be implemented through women’s direct involvement, changes in legislation, and through proactive approaches on behalf of the Iraqi government and the KRG. The NAP includes strategic objectives to address women’s needs. These are: </w:t>
      </w:r>
      <w:r w:rsidR="005C68CA" w:rsidRPr="0090438F">
        <w:rPr>
          <w:rFonts w:ascii="Calibri" w:hAnsi="Calibri" w:cs="Arial"/>
          <w:color w:val="000000" w:themeColor="text1"/>
          <w:lang w:val="en-US"/>
        </w:rPr>
        <w:t xml:space="preserve">increasing </w:t>
      </w:r>
      <w:r w:rsidRPr="0090438F">
        <w:rPr>
          <w:rFonts w:ascii="Calibri" w:hAnsi="Calibri" w:cs="Arial"/>
          <w:color w:val="000000" w:themeColor="text1"/>
          <w:lang w:val="en-US"/>
        </w:rPr>
        <w:t>women’s</w:t>
      </w:r>
      <w:r w:rsidR="005C68CA" w:rsidRPr="0090438F">
        <w:rPr>
          <w:rFonts w:ascii="Calibri" w:hAnsi="Calibri" w:cs="Arial"/>
          <w:color w:val="000000" w:themeColor="text1"/>
          <w:lang w:val="en-US"/>
        </w:rPr>
        <w:t xml:space="preserve"> participation </w:t>
      </w:r>
      <w:r w:rsidRPr="0090438F">
        <w:rPr>
          <w:rFonts w:ascii="Calibri" w:hAnsi="Calibri" w:cs="Arial"/>
          <w:color w:val="000000" w:themeColor="text1"/>
          <w:lang w:val="en-US"/>
        </w:rPr>
        <w:t>in all areas of government;</w:t>
      </w:r>
      <w:r w:rsidR="005C68CA" w:rsidRPr="0090438F">
        <w:rPr>
          <w:rFonts w:ascii="Calibri" w:hAnsi="Calibri" w:cs="Arial"/>
          <w:color w:val="000000" w:themeColor="text1"/>
          <w:lang w:val="en-US"/>
        </w:rPr>
        <w:t xml:space="preserve"> harmonizing national legislation with international standards and mechani</w:t>
      </w:r>
      <w:r w:rsidRPr="0090438F">
        <w:rPr>
          <w:rFonts w:ascii="Calibri" w:hAnsi="Calibri" w:cs="Arial"/>
          <w:color w:val="000000" w:themeColor="text1"/>
          <w:lang w:val="en-US"/>
        </w:rPr>
        <w:t>sms for women’s human rights;</w:t>
      </w:r>
      <w:r w:rsidR="005C68CA" w:rsidRPr="0090438F">
        <w:rPr>
          <w:rFonts w:ascii="Calibri" w:hAnsi="Calibri" w:cs="Arial"/>
          <w:color w:val="000000" w:themeColor="text1"/>
          <w:lang w:val="en-US"/>
        </w:rPr>
        <w:t xml:space="preserve"> integrating and mainstreaming gender in all policies and processes</w:t>
      </w:r>
      <w:r w:rsidRPr="0090438F">
        <w:rPr>
          <w:rFonts w:ascii="Calibri" w:hAnsi="Calibri" w:cs="Arial"/>
          <w:color w:val="000000" w:themeColor="text1"/>
          <w:lang w:val="en-US"/>
        </w:rPr>
        <w:t xml:space="preserve"> concerning conflict prevention;</w:t>
      </w:r>
      <w:r w:rsidR="005C68CA" w:rsidRPr="0090438F">
        <w:rPr>
          <w:rFonts w:ascii="Calibri" w:hAnsi="Calibri" w:cs="Arial"/>
          <w:color w:val="000000" w:themeColor="text1"/>
          <w:lang w:val="en-US"/>
        </w:rPr>
        <w:t xml:space="preserve"> conflict</w:t>
      </w:r>
      <w:r w:rsidRPr="0090438F">
        <w:rPr>
          <w:rFonts w:ascii="Calibri" w:hAnsi="Calibri" w:cs="Arial"/>
          <w:color w:val="000000" w:themeColor="text1"/>
          <w:lang w:val="en-US"/>
        </w:rPr>
        <w:t xml:space="preserve"> resolution and peace building; </w:t>
      </w:r>
      <w:r w:rsidR="005C68CA" w:rsidRPr="0090438F">
        <w:rPr>
          <w:rFonts w:ascii="Calibri" w:hAnsi="Calibri" w:cs="Arial"/>
          <w:color w:val="000000" w:themeColor="text1"/>
          <w:lang w:val="en-US"/>
        </w:rPr>
        <w:t xml:space="preserve">and contributing to the elimination of violence against women.  </w:t>
      </w:r>
    </w:p>
    <w:p w14:paraId="3AF9403F" w14:textId="77777777" w:rsidR="00A13544" w:rsidRPr="0090438F" w:rsidRDefault="00A13544" w:rsidP="005C68CA">
      <w:pPr>
        <w:jc w:val="both"/>
        <w:rPr>
          <w:rFonts w:ascii="Calibri" w:hAnsi="Calibri" w:cs="Arial"/>
          <w:color w:val="000000" w:themeColor="text1"/>
          <w:lang w:val="en-US"/>
        </w:rPr>
      </w:pPr>
    </w:p>
    <w:p w14:paraId="46DD5331" w14:textId="069C167E" w:rsidR="00067A86" w:rsidRPr="0090438F" w:rsidRDefault="00D768DD" w:rsidP="00EE3EF9">
      <w:pPr>
        <w:spacing w:line="360" w:lineRule="auto"/>
        <w:jc w:val="both"/>
        <w:rPr>
          <w:rFonts w:ascii="Calibri" w:hAnsi="Calibri" w:cs="Arial"/>
          <w:color w:val="000000" w:themeColor="text1"/>
          <w:lang w:val="en-US"/>
        </w:rPr>
      </w:pPr>
      <w:r w:rsidRPr="0090438F">
        <w:rPr>
          <w:rFonts w:ascii="Calibri" w:hAnsi="Calibri" w:cs="Arial"/>
          <w:color w:val="000000" w:themeColor="text1"/>
          <w:lang w:val="en-US"/>
        </w:rPr>
        <w:t>In addition to recognizing Iraq’s commitments under</w:t>
      </w:r>
      <w:r w:rsidR="00A13544" w:rsidRPr="0090438F">
        <w:rPr>
          <w:rFonts w:ascii="Calibri" w:hAnsi="Calibri" w:cs="Arial"/>
          <w:color w:val="000000" w:themeColor="text1"/>
          <w:lang w:val="en-US"/>
        </w:rPr>
        <w:t xml:space="preserve"> SCR 1325, the NAP</w:t>
      </w:r>
      <w:r w:rsidR="00067A86" w:rsidRPr="0090438F">
        <w:rPr>
          <w:rFonts w:ascii="Calibri" w:hAnsi="Calibri" w:cs="Arial"/>
          <w:color w:val="000000" w:themeColor="text1"/>
          <w:lang w:val="en-US"/>
        </w:rPr>
        <w:t xml:space="preserve"> reflects Iraq’s obligations under the legal framework on women, peace and security. While the NAP is situated as complementary to Iraq’s existing international and domestic commitments on gender equality, the </w:t>
      </w:r>
      <w:r w:rsidR="00C67173" w:rsidRPr="00471761">
        <w:rPr>
          <w:rFonts w:ascii="Calibri" w:hAnsi="Calibri" w:cs="Arial"/>
          <w:b/>
          <w:color w:val="4F81BD" w:themeColor="accent1"/>
          <w:lang w:val="en-US"/>
        </w:rPr>
        <w:t>government</w:t>
      </w:r>
      <w:r w:rsidR="00A13544" w:rsidRPr="00471761">
        <w:rPr>
          <w:rFonts w:ascii="Calibri" w:hAnsi="Calibri" w:cs="Arial"/>
          <w:b/>
          <w:color w:val="4F81BD" w:themeColor="accent1"/>
          <w:lang w:val="en-US"/>
        </w:rPr>
        <w:t xml:space="preserve"> is frank in admitting that while Iraq has ratified CEDAW and the Convention on the Rights of the Child </w:t>
      </w:r>
      <w:r w:rsidR="00067A86" w:rsidRPr="00471761">
        <w:rPr>
          <w:rFonts w:ascii="Calibri" w:hAnsi="Calibri" w:cs="Arial"/>
          <w:b/>
          <w:color w:val="4F81BD" w:themeColor="accent1"/>
          <w:lang w:val="en-US"/>
        </w:rPr>
        <w:t>1989 (CRC) it has not yet met its obligations</w:t>
      </w:r>
      <w:r w:rsidR="00067A86" w:rsidRPr="0090438F">
        <w:rPr>
          <w:rFonts w:ascii="Calibri" w:hAnsi="Calibri" w:cs="Arial"/>
          <w:color w:val="000000" w:themeColor="text1"/>
          <w:lang w:val="en-US"/>
        </w:rPr>
        <w:t xml:space="preserve"> under these treaties. Like Nepal, the NAP is </w:t>
      </w:r>
      <w:r w:rsidR="00067A86" w:rsidRPr="00471761">
        <w:rPr>
          <w:rFonts w:ascii="Calibri" w:hAnsi="Calibri" w:cs="Arial"/>
          <w:b/>
          <w:color w:val="4F81BD" w:themeColor="accent1"/>
          <w:lang w:val="en-US"/>
        </w:rPr>
        <w:t xml:space="preserve">notable for </w:t>
      </w:r>
      <w:r w:rsidR="005A5F20" w:rsidRPr="00471761">
        <w:rPr>
          <w:rFonts w:ascii="Calibri" w:hAnsi="Calibri" w:cs="Arial"/>
          <w:b/>
          <w:color w:val="4F81BD" w:themeColor="accent1"/>
          <w:lang w:val="en-US"/>
        </w:rPr>
        <w:t>its honesty and openness</w:t>
      </w:r>
      <w:r w:rsidR="005A5F20" w:rsidRPr="00471761">
        <w:rPr>
          <w:rFonts w:ascii="Calibri" w:hAnsi="Calibri" w:cs="Arial"/>
          <w:color w:val="4F81BD" w:themeColor="accent1"/>
          <w:lang w:val="en-US"/>
        </w:rPr>
        <w:t xml:space="preserve"> </w:t>
      </w:r>
      <w:r w:rsidR="00C67173" w:rsidRPr="0090438F">
        <w:rPr>
          <w:rFonts w:ascii="Calibri" w:hAnsi="Calibri" w:cs="Arial"/>
          <w:color w:val="000000" w:themeColor="text1"/>
          <w:lang w:val="en-US"/>
        </w:rPr>
        <w:t xml:space="preserve">regarding Iraq’s </w:t>
      </w:r>
      <w:r w:rsidR="00067A86" w:rsidRPr="0090438F">
        <w:rPr>
          <w:rFonts w:ascii="Calibri" w:hAnsi="Calibri" w:cs="Arial"/>
          <w:color w:val="000000" w:themeColor="text1"/>
          <w:lang w:val="en-US"/>
        </w:rPr>
        <w:t xml:space="preserve">conflict-related issues, as well as </w:t>
      </w:r>
      <w:r w:rsidR="00C67173" w:rsidRPr="0090438F">
        <w:rPr>
          <w:rFonts w:ascii="Calibri" w:hAnsi="Calibri" w:cs="Arial"/>
          <w:color w:val="000000" w:themeColor="text1"/>
          <w:lang w:val="en-US"/>
        </w:rPr>
        <w:t>financial</w:t>
      </w:r>
      <w:r w:rsidRPr="0090438F">
        <w:rPr>
          <w:rFonts w:ascii="Calibri" w:hAnsi="Calibri" w:cs="Arial"/>
          <w:color w:val="000000" w:themeColor="text1"/>
          <w:lang w:val="en-US"/>
        </w:rPr>
        <w:t xml:space="preserve"> obstacles to implementing its obligations</w:t>
      </w:r>
      <w:r w:rsidR="00067A86" w:rsidRPr="0090438F">
        <w:rPr>
          <w:rFonts w:ascii="Calibri" w:hAnsi="Calibri" w:cs="Arial"/>
          <w:color w:val="000000" w:themeColor="text1"/>
          <w:lang w:val="en-US"/>
        </w:rPr>
        <w:t>. For instance,</w:t>
      </w:r>
      <w:r w:rsidR="00CA51D0" w:rsidRPr="0090438F">
        <w:rPr>
          <w:rFonts w:ascii="Calibri" w:hAnsi="Calibri" w:cs="Arial"/>
          <w:color w:val="000000" w:themeColor="text1"/>
          <w:lang w:val="en-US"/>
        </w:rPr>
        <w:t xml:space="preserve"> while</w:t>
      </w:r>
      <w:r w:rsidR="00067A86" w:rsidRPr="0090438F">
        <w:rPr>
          <w:rFonts w:ascii="Calibri" w:hAnsi="Calibri" w:cs="Arial"/>
          <w:color w:val="000000" w:themeColor="text1"/>
          <w:lang w:val="en-US"/>
        </w:rPr>
        <w:t xml:space="preserve"> the NAP notes the importance of the </w:t>
      </w:r>
      <w:r w:rsidR="00067A86" w:rsidRPr="0090438F">
        <w:rPr>
          <w:rFonts w:ascii="Calibri" w:hAnsi="Calibri" w:cs="Arial"/>
          <w:color w:val="000000" w:themeColor="text1"/>
        </w:rPr>
        <w:t xml:space="preserve">National Strategies </w:t>
      </w:r>
      <w:r w:rsidR="0090438F">
        <w:rPr>
          <w:rFonts w:ascii="Calibri" w:hAnsi="Calibri" w:cs="Arial"/>
          <w:color w:val="000000" w:themeColor="text1"/>
        </w:rPr>
        <w:t>to Combat Violence a</w:t>
      </w:r>
      <w:r w:rsidR="00067A86" w:rsidRPr="0090438F">
        <w:rPr>
          <w:rFonts w:ascii="Calibri" w:hAnsi="Calibri" w:cs="Arial"/>
          <w:color w:val="000000" w:themeColor="text1"/>
        </w:rPr>
        <w:t>gainst Women, a</w:t>
      </w:r>
      <w:r w:rsidRPr="0090438F">
        <w:rPr>
          <w:rFonts w:ascii="Calibri" w:hAnsi="Calibri" w:cs="Arial"/>
          <w:color w:val="000000" w:themeColor="text1"/>
        </w:rPr>
        <w:t xml:space="preserve">nd on the Advancement of Women, </w:t>
      </w:r>
      <w:r w:rsidR="00CA51D0" w:rsidRPr="0090438F">
        <w:rPr>
          <w:rFonts w:ascii="Calibri" w:hAnsi="Calibri" w:cs="Arial"/>
          <w:color w:val="000000" w:themeColor="text1"/>
        </w:rPr>
        <w:t>it</w:t>
      </w:r>
      <w:r w:rsidRPr="0090438F">
        <w:rPr>
          <w:rFonts w:ascii="Calibri" w:hAnsi="Calibri" w:cs="Arial"/>
          <w:color w:val="000000" w:themeColor="text1"/>
        </w:rPr>
        <w:t xml:space="preserve"> also notes that both strategies lack budgets for implementation.</w:t>
      </w:r>
      <w:r w:rsidRPr="0090438F">
        <w:rPr>
          <w:rStyle w:val="FootnoteReference"/>
          <w:rFonts w:ascii="Calibri" w:hAnsi="Calibri" w:cs="Arial"/>
          <w:color w:val="000000" w:themeColor="text1"/>
        </w:rPr>
        <w:footnoteReference w:id="249"/>
      </w:r>
      <w:r w:rsidRPr="0090438F">
        <w:rPr>
          <w:rFonts w:ascii="Calibri" w:hAnsi="Calibri" w:cs="Arial"/>
          <w:color w:val="000000" w:themeColor="text1"/>
        </w:rPr>
        <w:t xml:space="preserve"> </w:t>
      </w:r>
    </w:p>
    <w:p w14:paraId="6E4C985A" w14:textId="77777777" w:rsidR="00067A86" w:rsidRPr="0090438F" w:rsidRDefault="00067A86" w:rsidP="005C68CA">
      <w:pPr>
        <w:jc w:val="both"/>
        <w:rPr>
          <w:rFonts w:ascii="Calibri" w:hAnsi="Calibri" w:cs="Arial"/>
          <w:color w:val="000000" w:themeColor="text1"/>
          <w:lang w:val="en-US"/>
        </w:rPr>
      </w:pPr>
    </w:p>
    <w:p w14:paraId="38FAABFA" w14:textId="77777777" w:rsidR="005C68CA" w:rsidRPr="003742A9" w:rsidRDefault="005C68CA" w:rsidP="007F364C">
      <w:pPr>
        <w:pStyle w:val="ListParagraph"/>
        <w:numPr>
          <w:ilvl w:val="0"/>
          <w:numId w:val="14"/>
        </w:numPr>
        <w:jc w:val="both"/>
        <w:rPr>
          <w:rFonts w:ascii="Calibri" w:hAnsi="Calibri" w:cs="Arial"/>
          <w:b/>
          <w:color w:val="002060"/>
          <w:lang w:val="en-US"/>
        </w:rPr>
      </w:pPr>
      <w:r w:rsidRPr="003742A9">
        <w:rPr>
          <w:rFonts w:ascii="Calibri" w:hAnsi="Calibri" w:cs="Arial"/>
          <w:b/>
          <w:color w:val="002060"/>
          <w:lang w:val="en-US"/>
        </w:rPr>
        <w:t>Implementation of the NAP by the Government, Development Agencies and Civil Society</w:t>
      </w:r>
    </w:p>
    <w:p w14:paraId="03A46DCA" w14:textId="77777777" w:rsidR="005C68CA" w:rsidRPr="00471761" w:rsidRDefault="005C68CA" w:rsidP="005C68CA">
      <w:pPr>
        <w:jc w:val="both"/>
        <w:rPr>
          <w:rFonts w:ascii="Calibri" w:hAnsi="Calibri" w:cs="Arial"/>
          <w:b/>
          <w:color w:val="4F81BD" w:themeColor="accent1"/>
          <w:lang w:val="en-US"/>
        </w:rPr>
      </w:pPr>
    </w:p>
    <w:p w14:paraId="56149B4C" w14:textId="4A03E61D" w:rsidR="005C68CA" w:rsidRPr="003742A9" w:rsidRDefault="005C68CA" w:rsidP="005C68CA">
      <w:pPr>
        <w:jc w:val="both"/>
        <w:rPr>
          <w:rFonts w:ascii="Calibri" w:hAnsi="Calibri" w:cs="Arial"/>
          <w:b/>
          <w:color w:val="002060"/>
          <w:u w:val="single"/>
          <w:lang w:val="en-US"/>
        </w:rPr>
      </w:pPr>
      <w:r w:rsidRPr="003742A9">
        <w:rPr>
          <w:rFonts w:ascii="Calibri" w:hAnsi="Calibri" w:cs="Arial"/>
          <w:b/>
          <w:color w:val="002060"/>
          <w:u w:val="single"/>
          <w:lang w:val="en-US"/>
        </w:rPr>
        <w:t xml:space="preserve">Government </w:t>
      </w:r>
    </w:p>
    <w:p w14:paraId="6F96A64C" w14:textId="77777777" w:rsidR="005C68CA" w:rsidRPr="0090438F" w:rsidRDefault="005C68CA" w:rsidP="005C68CA">
      <w:pPr>
        <w:jc w:val="both"/>
        <w:rPr>
          <w:rFonts w:ascii="Calibri" w:hAnsi="Calibri" w:cs="Arial"/>
          <w:b/>
          <w:color w:val="000000" w:themeColor="text1"/>
          <w:lang w:val="en-US"/>
        </w:rPr>
      </w:pPr>
    </w:p>
    <w:p w14:paraId="3A7BC7AC" w14:textId="44AE51A5" w:rsidR="005C68CA" w:rsidRPr="0090438F" w:rsidRDefault="005C68CA" w:rsidP="00EE3EF9">
      <w:pPr>
        <w:widowControl w:val="0"/>
        <w:autoSpaceDE w:val="0"/>
        <w:autoSpaceDN w:val="0"/>
        <w:adjustRightInd w:val="0"/>
        <w:spacing w:line="360" w:lineRule="auto"/>
        <w:jc w:val="both"/>
        <w:rPr>
          <w:rFonts w:ascii="Calibri" w:hAnsi="Calibri" w:cs="Arial"/>
          <w:color w:val="000000" w:themeColor="text1"/>
          <w:lang w:val="en-US"/>
        </w:rPr>
      </w:pPr>
      <w:r w:rsidRPr="0090438F">
        <w:rPr>
          <w:rFonts w:ascii="Calibri" w:hAnsi="Calibri" w:cs="Arial"/>
          <w:color w:val="000000" w:themeColor="text1"/>
          <w:lang w:val="en-US"/>
        </w:rPr>
        <w:t xml:space="preserve">To date, a little more than a year after </w:t>
      </w:r>
      <w:r w:rsidR="00213F5E" w:rsidRPr="0090438F">
        <w:rPr>
          <w:rFonts w:ascii="Calibri" w:hAnsi="Calibri" w:cs="Arial"/>
          <w:color w:val="000000" w:themeColor="text1"/>
          <w:lang w:val="en-US"/>
        </w:rPr>
        <w:t>the NAP was adopted</w:t>
      </w:r>
      <w:r w:rsidRPr="0090438F">
        <w:rPr>
          <w:rFonts w:ascii="Calibri" w:hAnsi="Calibri" w:cs="Arial"/>
          <w:color w:val="000000" w:themeColor="text1"/>
          <w:lang w:val="en-US"/>
        </w:rPr>
        <w:t>, obstacles stall implementation efforts.  On</w:t>
      </w:r>
      <w:r w:rsidR="00A33528" w:rsidRPr="0090438F">
        <w:rPr>
          <w:rFonts w:ascii="Calibri" w:hAnsi="Calibri" w:cs="Arial"/>
          <w:color w:val="000000" w:themeColor="text1"/>
          <w:lang w:val="en-US"/>
        </w:rPr>
        <w:t xml:space="preserve"> an</w:t>
      </w:r>
      <w:r w:rsidR="00213F5E" w:rsidRPr="0090438F">
        <w:rPr>
          <w:rFonts w:ascii="Calibri" w:hAnsi="Calibri" w:cs="Arial"/>
          <w:color w:val="000000" w:themeColor="text1"/>
          <w:lang w:val="en-US"/>
        </w:rPr>
        <w:t xml:space="preserve"> SCR 1325 “Open Day</w:t>
      </w:r>
      <w:r w:rsidRPr="0090438F">
        <w:rPr>
          <w:rFonts w:ascii="Calibri" w:hAnsi="Calibri" w:cs="Arial"/>
          <w:color w:val="000000" w:themeColor="text1"/>
          <w:lang w:val="en-US"/>
        </w:rPr>
        <w:t xml:space="preserve">” on October 15, 2014 in Baghdad, the </w:t>
      </w:r>
      <w:r w:rsidRPr="00471761">
        <w:rPr>
          <w:rFonts w:ascii="Calibri" w:hAnsi="Calibri" w:cs="Arial"/>
          <w:b/>
          <w:color w:val="4F81BD" w:themeColor="accent1"/>
          <w:lang w:val="en-US"/>
        </w:rPr>
        <w:t xml:space="preserve">Special Representative of the United Nations Secretary-General for Iraq, Mr. </w:t>
      </w:r>
      <w:r w:rsidRPr="00471761">
        <w:rPr>
          <w:rFonts w:ascii="Calibri" w:hAnsi="Calibri" w:cs="Arial"/>
          <w:b/>
          <w:bCs/>
          <w:color w:val="4F81BD" w:themeColor="accent1"/>
          <w:lang w:val="en-US"/>
        </w:rPr>
        <w:t>Nickolay Mladenov</w:t>
      </w:r>
      <w:r w:rsidRPr="0090438F">
        <w:rPr>
          <w:rFonts w:ascii="Calibri" w:hAnsi="Calibri" w:cs="Arial"/>
          <w:color w:val="000000" w:themeColor="text1"/>
          <w:lang w:val="en-US"/>
        </w:rPr>
        <w:t xml:space="preserve">, participated in a forum at the headquarters of the United Nations Assistance Mission for Iraq.  Civil </w:t>
      </w:r>
      <w:r w:rsidR="00213F5E" w:rsidRPr="0090438F">
        <w:rPr>
          <w:rFonts w:ascii="Calibri" w:hAnsi="Calibri" w:cs="Arial"/>
          <w:color w:val="000000" w:themeColor="text1"/>
          <w:lang w:val="en-US"/>
        </w:rPr>
        <w:t>s</w:t>
      </w:r>
      <w:r w:rsidRPr="0090438F">
        <w:rPr>
          <w:rFonts w:ascii="Calibri" w:hAnsi="Calibri" w:cs="Arial"/>
          <w:color w:val="000000" w:themeColor="text1"/>
          <w:lang w:val="en-US"/>
        </w:rPr>
        <w:t xml:space="preserve">ociety representatives and women leaders were also present to debate a broad range of issues concerning women’s rights and gender equality.  Mr. </w:t>
      </w:r>
      <w:r w:rsidRPr="0090438F">
        <w:rPr>
          <w:rFonts w:ascii="Calibri" w:hAnsi="Calibri" w:cs="Arial"/>
          <w:bCs/>
          <w:color w:val="000000" w:themeColor="text1"/>
          <w:lang w:val="en-US"/>
        </w:rPr>
        <w:t>Mladenov</w:t>
      </w:r>
      <w:r w:rsidRPr="0090438F">
        <w:rPr>
          <w:rFonts w:ascii="Calibri" w:hAnsi="Calibri" w:cs="Arial"/>
          <w:color w:val="000000" w:themeColor="text1"/>
          <w:lang w:val="en-US"/>
        </w:rPr>
        <w:t xml:space="preserve"> told the participants that </w:t>
      </w:r>
      <w:r w:rsidRPr="00471761">
        <w:rPr>
          <w:rFonts w:ascii="Calibri" w:hAnsi="Calibri" w:cs="Arial"/>
          <w:b/>
          <w:color w:val="4F81BD" w:themeColor="accent1"/>
          <w:lang w:val="en-US"/>
        </w:rPr>
        <w:t>more cooperation and collaboration was needed between the civil society and the government</w:t>
      </w:r>
      <w:r w:rsidRPr="0090438F">
        <w:rPr>
          <w:rFonts w:ascii="Calibri" w:hAnsi="Calibri" w:cs="Arial"/>
          <w:color w:val="000000" w:themeColor="text1"/>
          <w:lang w:val="en-US"/>
        </w:rPr>
        <w:t xml:space="preserve"> </w:t>
      </w:r>
      <w:r w:rsidR="00213F5E" w:rsidRPr="0090438F">
        <w:rPr>
          <w:rFonts w:ascii="Calibri" w:hAnsi="Calibri" w:cs="Arial"/>
          <w:color w:val="000000" w:themeColor="text1"/>
          <w:lang w:val="en-US"/>
        </w:rPr>
        <w:t>to implement</w:t>
      </w:r>
      <w:r w:rsidRPr="0090438F">
        <w:rPr>
          <w:rFonts w:ascii="Calibri" w:hAnsi="Calibri" w:cs="Arial"/>
          <w:color w:val="000000" w:themeColor="text1"/>
          <w:lang w:val="en-US"/>
        </w:rPr>
        <w:t xml:space="preserve"> the NAP</w:t>
      </w:r>
      <w:r w:rsidR="00213F5E" w:rsidRPr="0090438F">
        <w:rPr>
          <w:rFonts w:ascii="Calibri" w:hAnsi="Calibri" w:cs="Arial"/>
          <w:color w:val="000000" w:themeColor="text1"/>
          <w:lang w:val="en-US"/>
        </w:rPr>
        <w:t xml:space="preserve">. He also stressed the </w:t>
      </w:r>
      <w:r w:rsidR="00213F5E" w:rsidRPr="00471761">
        <w:rPr>
          <w:rFonts w:ascii="Calibri" w:hAnsi="Calibri" w:cs="Arial"/>
          <w:b/>
          <w:color w:val="4F81BD" w:themeColor="accent1"/>
          <w:lang w:val="en-US"/>
        </w:rPr>
        <w:t>importance of</w:t>
      </w:r>
      <w:r w:rsidRPr="00471761">
        <w:rPr>
          <w:rFonts w:ascii="Calibri" w:hAnsi="Calibri" w:cs="Arial"/>
          <w:b/>
          <w:color w:val="4F81BD" w:themeColor="accent1"/>
          <w:lang w:val="en-US"/>
        </w:rPr>
        <w:t xml:space="preserve"> additional commitments including CEDAW and the National Strategy for the Advancement of Women</w:t>
      </w:r>
      <w:r w:rsidRPr="0090438F">
        <w:rPr>
          <w:rFonts w:ascii="Calibri" w:hAnsi="Calibri" w:cs="Arial"/>
          <w:color w:val="000000" w:themeColor="text1"/>
          <w:lang w:val="en-US"/>
        </w:rPr>
        <w:t xml:space="preserve">.  Mr. Mladenov also encouraged civil society and women organizations to better coordinate with UN </w:t>
      </w:r>
      <w:r w:rsidR="00213F5E" w:rsidRPr="0090438F">
        <w:rPr>
          <w:rFonts w:ascii="Calibri" w:hAnsi="Calibri" w:cs="Arial"/>
          <w:color w:val="000000" w:themeColor="text1"/>
          <w:lang w:val="en-US"/>
        </w:rPr>
        <w:t>a</w:t>
      </w:r>
      <w:r w:rsidRPr="0090438F">
        <w:rPr>
          <w:rFonts w:ascii="Calibri" w:hAnsi="Calibri" w:cs="Arial"/>
          <w:color w:val="000000" w:themeColor="text1"/>
          <w:lang w:val="en-US"/>
        </w:rPr>
        <w:t xml:space="preserve">gencies to fulfill the urgent humanitarian needs of displaced persons, and urged them to share their findings on the human rights abuses, including </w:t>
      </w:r>
      <w:r w:rsidR="00C67173" w:rsidRPr="0090438F">
        <w:rPr>
          <w:rFonts w:ascii="Calibri" w:hAnsi="Calibri" w:cs="Arial"/>
          <w:color w:val="000000" w:themeColor="text1"/>
          <w:lang w:val="en-US"/>
        </w:rPr>
        <w:t>SGBV</w:t>
      </w:r>
      <w:r w:rsidRPr="0090438F">
        <w:rPr>
          <w:rFonts w:ascii="Calibri" w:hAnsi="Calibri" w:cs="Arial"/>
          <w:color w:val="000000" w:themeColor="text1"/>
          <w:lang w:val="en-US"/>
        </w:rPr>
        <w:t xml:space="preserve"> committed by </w:t>
      </w:r>
      <w:r w:rsidR="00213F5E" w:rsidRPr="0090438F">
        <w:rPr>
          <w:rFonts w:ascii="Calibri" w:hAnsi="Calibri" w:cs="Arial"/>
          <w:color w:val="000000" w:themeColor="text1"/>
          <w:lang w:val="en-US"/>
        </w:rPr>
        <w:t>ISIL</w:t>
      </w:r>
      <w:r w:rsidRPr="0090438F">
        <w:rPr>
          <w:rFonts w:ascii="Calibri" w:hAnsi="Calibri" w:cs="Arial"/>
          <w:color w:val="000000" w:themeColor="text1"/>
          <w:lang w:val="en-US"/>
        </w:rPr>
        <w:t xml:space="preserve"> and other armed groups, with the </w:t>
      </w:r>
      <w:r w:rsidR="00C67173" w:rsidRPr="0090438F">
        <w:rPr>
          <w:rFonts w:ascii="Calibri" w:hAnsi="Calibri" w:cs="Arial"/>
          <w:color w:val="000000" w:themeColor="text1"/>
          <w:lang w:val="en-US"/>
        </w:rPr>
        <w:t xml:space="preserve">Office of the High Commissioner for </w:t>
      </w:r>
      <w:r w:rsidRPr="0090438F">
        <w:rPr>
          <w:rFonts w:ascii="Calibri" w:hAnsi="Calibri" w:cs="Arial"/>
          <w:color w:val="000000" w:themeColor="text1"/>
          <w:lang w:val="en-US"/>
        </w:rPr>
        <w:t>Human Rights.</w:t>
      </w:r>
      <w:r w:rsidR="002C24D1" w:rsidRPr="0090438F">
        <w:rPr>
          <w:rStyle w:val="FootnoteReference"/>
          <w:rFonts w:ascii="Calibri" w:hAnsi="Calibri" w:cs="Arial"/>
          <w:color w:val="000000" w:themeColor="text1"/>
          <w:lang w:val="en-US"/>
        </w:rPr>
        <w:footnoteReference w:id="250"/>
      </w:r>
    </w:p>
    <w:p w14:paraId="39A7F13E" w14:textId="43C30035" w:rsidR="005C68CA" w:rsidRPr="0090438F" w:rsidRDefault="005C68CA" w:rsidP="00EE3EF9">
      <w:pPr>
        <w:spacing w:before="100" w:beforeAutospacing="1" w:after="100" w:afterAutospacing="1" w:line="360" w:lineRule="auto"/>
        <w:jc w:val="both"/>
        <w:rPr>
          <w:rFonts w:ascii="Calibri" w:hAnsi="Calibri" w:cs="Arial"/>
          <w:color w:val="000000" w:themeColor="text1"/>
          <w:lang w:val="en-US"/>
        </w:rPr>
      </w:pPr>
      <w:r w:rsidRPr="0090438F">
        <w:rPr>
          <w:rFonts w:ascii="Calibri" w:hAnsi="Calibri" w:cs="Arial"/>
          <w:color w:val="000000" w:themeColor="text1"/>
          <w:lang w:val="en-US"/>
        </w:rPr>
        <w:t>On February 4-5, 2015, representatives from the Task Force CPA1325 and the Executive Director of Euromed Feminist Initiat</w:t>
      </w:r>
      <w:r w:rsidR="002C24D1" w:rsidRPr="0090438F">
        <w:rPr>
          <w:rFonts w:ascii="Calibri" w:hAnsi="Calibri" w:cs="Arial"/>
          <w:color w:val="000000" w:themeColor="text1"/>
          <w:lang w:val="en-US"/>
        </w:rPr>
        <w:t>ive IFE-EFI (the Delegation</w:t>
      </w:r>
      <w:r w:rsidRPr="0090438F">
        <w:rPr>
          <w:rFonts w:ascii="Calibri" w:hAnsi="Calibri" w:cs="Arial"/>
          <w:color w:val="000000" w:themeColor="text1"/>
          <w:lang w:val="en-US"/>
        </w:rPr>
        <w:t>) met with Iraq’s President, Deputy Prime Minister, and the Minister of Women Affairs.  Over the course of two days the group discussed the obstacles to implementation as well as the political commitment of the government relating thereto.</w:t>
      </w:r>
      <w:r w:rsidRPr="0090438F">
        <w:rPr>
          <w:rStyle w:val="FootnoteReference"/>
          <w:rFonts w:ascii="Calibri" w:hAnsi="Calibri" w:cs="Arial"/>
          <w:color w:val="000000" w:themeColor="text1"/>
          <w:lang w:val="en-US"/>
        </w:rPr>
        <w:footnoteReference w:id="251"/>
      </w:r>
      <w:r w:rsidRPr="0090438F">
        <w:rPr>
          <w:rFonts w:ascii="Calibri" w:hAnsi="Calibri" w:cs="Arial"/>
          <w:color w:val="000000" w:themeColor="text1"/>
          <w:lang w:val="en-US"/>
        </w:rPr>
        <w:t xml:space="preserve">  The Delegation requested the government’s commitment to implementing the NAP and stressed the necessity of government commitment to implementation.  The Deputy Prime Minister expressed his support and intention to discuss the NAP with Iraqi government officials.</w:t>
      </w:r>
      <w:r w:rsidRPr="0090438F">
        <w:rPr>
          <w:rStyle w:val="FootnoteReference"/>
          <w:rFonts w:ascii="Calibri" w:hAnsi="Calibri" w:cs="Arial"/>
          <w:color w:val="000000" w:themeColor="text1"/>
          <w:lang w:val="en-US"/>
        </w:rPr>
        <w:footnoteReference w:id="252"/>
      </w:r>
    </w:p>
    <w:p w14:paraId="38EAABC6" w14:textId="38FC0A4B" w:rsidR="00A33528" w:rsidRPr="0090438F" w:rsidRDefault="00A33528" w:rsidP="00EE3EF9">
      <w:pPr>
        <w:widowControl w:val="0"/>
        <w:autoSpaceDE w:val="0"/>
        <w:autoSpaceDN w:val="0"/>
        <w:adjustRightInd w:val="0"/>
        <w:spacing w:line="360" w:lineRule="auto"/>
        <w:jc w:val="both"/>
        <w:rPr>
          <w:rFonts w:ascii="Calibri" w:hAnsi="Calibri" w:cs="Arial"/>
          <w:color w:val="000000" w:themeColor="text1"/>
          <w:lang w:val="en-US"/>
        </w:rPr>
      </w:pPr>
      <w:r w:rsidRPr="0090438F">
        <w:rPr>
          <w:rFonts w:ascii="Calibri" w:hAnsi="Calibri" w:cs="Arial"/>
          <w:color w:val="000000" w:themeColor="text1"/>
          <w:lang w:val="en-US"/>
        </w:rPr>
        <w:t>In February 2014, the CEDAW Committee</w:t>
      </w:r>
      <w:r w:rsidR="00213F5E" w:rsidRPr="0090438F">
        <w:rPr>
          <w:rFonts w:ascii="Calibri" w:hAnsi="Calibri" w:cs="Arial"/>
          <w:color w:val="000000" w:themeColor="text1"/>
          <w:lang w:val="en-US"/>
        </w:rPr>
        <w:t xml:space="preserve"> issued its Concluding O</w:t>
      </w:r>
      <w:r w:rsidRPr="0090438F">
        <w:rPr>
          <w:rFonts w:ascii="Calibri" w:hAnsi="Calibri" w:cs="Arial"/>
          <w:color w:val="000000" w:themeColor="text1"/>
          <w:lang w:val="en-US"/>
        </w:rPr>
        <w:t xml:space="preserve">bservations on the combined fourth to sixth periodic reports of Iraq. While noting the efforts and commitments of Iraq in the face of challenges of political instability, insecurity and violence, the Committee expressed serious concerns with respect to the persistence of discriminatory laws, the increase of violence against women by state and non-state actors, and government reinforcement of deep-rooted patriarchal attitudes and stereotypes that perpetuate the </w:t>
      </w:r>
      <w:r w:rsidRPr="0090438F">
        <w:rPr>
          <w:rFonts w:ascii="Calibri" w:hAnsi="Calibri" w:cs="Arial"/>
          <w:color w:val="000000" w:themeColor="text1"/>
          <w:lang w:val="en-US"/>
        </w:rPr>
        <w:lastRenderedPageBreak/>
        <w:t xml:space="preserve">subordination of women within the family and society and limit </w:t>
      </w:r>
      <w:r w:rsidR="005A5F20" w:rsidRPr="0090438F">
        <w:rPr>
          <w:rFonts w:ascii="Calibri" w:hAnsi="Calibri" w:cs="Arial"/>
          <w:color w:val="000000" w:themeColor="text1"/>
          <w:lang w:val="en-US"/>
        </w:rPr>
        <w:t>the rights of women and girls</w:t>
      </w:r>
      <w:r w:rsidRPr="0090438F">
        <w:rPr>
          <w:rFonts w:ascii="Calibri" w:hAnsi="Calibri" w:cs="Arial"/>
          <w:color w:val="000000" w:themeColor="text1"/>
          <w:lang w:val="en-US"/>
        </w:rPr>
        <w:t>.</w:t>
      </w:r>
      <w:r w:rsidRPr="0090438F">
        <w:rPr>
          <w:rStyle w:val="FootnoteReference"/>
          <w:rFonts w:ascii="Calibri" w:hAnsi="Calibri" w:cs="Arial"/>
          <w:color w:val="000000" w:themeColor="text1"/>
          <w:lang w:val="en-US"/>
        </w:rPr>
        <w:footnoteReference w:id="253"/>
      </w:r>
    </w:p>
    <w:p w14:paraId="7FD3375C" w14:textId="77777777" w:rsidR="00213F5E" w:rsidRPr="0090438F" w:rsidRDefault="00213F5E" w:rsidP="005C68CA">
      <w:pPr>
        <w:jc w:val="both"/>
        <w:rPr>
          <w:rFonts w:ascii="Calibri" w:hAnsi="Calibri" w:cs="Arial"/>
          <w:color w:val="000000" w:themeColor="text1"/>
          <w:lang w:val="en-US"/>
        </w:rPr>
      </w:pPr>
    </w:p>
    <w:p w14:paraId="7ADEB69B" w14:textId="79DF1FC8" w:rsidR="005C68CA" w:rsidRPr="003742A9" w:rsidRDefault="005C68CA" w:rsidP="005C68CA">
      <w:pPr>
        <w:jc w:val="both"/>
        <w:rPr>
          <w:rFonts w:ascii="Calibri" w:hAnsi="Calibri" w:cs="Arial"/>
          <w:b/>
          <w:color w:val="002060"/>
          <w:u w:val="single"/>
          <w:lang w:val="en-US"/>
        </w:rPr>
      </w:pPr>
      <w:r w:rsidRPr="003742A9">
        <w:rPr>
          <w:rFonts w:ascii="Calibri" w:hAnsi="Calibri" w:cs="Arial"/>
          <w:b/>
          <w:color w:val="002060"/>
          <w:u w:val="single"/>
          <w:lang w:val="en-US"/>
        </w:rPr>
        <w:t>Civil Society</w:t>
      </w:r>
    </w:p>
    <w:p w14:paraId="4D104567" w14:textId="77777777" w:rsidR="005C68CA" w:rsidRPr="0090438F" w:rsidRDefault="005C68CA" w:rsidP="005C68CA">
      <w:pPr>
        <w:jc w:val="both"/>
        <w:rPr>
          <w:rFonts w:ascii="Calibri" w:hAnsi="Calibri" w:cs="Arial"/>
          <w:color w:val="000000" w:themeColor="text1"/>
        </w:rPr>
      </w:pPr>
    </w:p>
    <w:p w14:paraId="04436C3E" w14:textId="4ADCD10E" w:rsidR="005C68CA" w:rsidRPr="0090438F" w:rsidRDefault="005C68CA" w:rsidP="00EE3EF9">
      <w:pPr>
        <w:spacing w:line="360" w:lineRule="auto"/>
        <w:jc w:val="both"/>
        <w:rPr>
          <w:rFonts w:ascii="Calibri" w:hAnsi="Calibri" w:cs="Arial"/>
          <w:color w:val="000000" w:themeColor="text1"/>
        </w:rPr>
      </w:pPr>
      <w:r w:rsidRPr="0090438F">
        <w:rPr>
          <w:rFonts w:ascii="Calibri" w:hAnsi="Calibri" w:cs="Arial"/>
          <w:color w:val="000000" w:themeColor="text1"/>
        </w:rPr>
        <w:t xml:space="preserve">Based on SCR 1325, local NGOs have led successful campaigns to prevent violence against women in Kirkuk and to empower illiterate women.  Additionally, they have organized non- violent campaigns by collecting signatures and organizing sit-ins.  These activities illustrate the ability of the civil society to build bridges of trust between citizens to reduce sectarian divisions fostered by politicians.  </w:t>
      </w:r>
      <w:r w:rsidR="005A5F20" w:rsidRPr="0090438F">
        <w:rPr>
          <w:rFonts w:ascii="Calibri" w:hAnsi="Calibri" w:cs="Arial"/>
          <w:color w:val="000000" w:themeColor="text1"/>
        </w:rPr>
        <w:t>The work of NGOs has also</w:t>
      </w:r>
      <w:r w:rsidRPr="0090438F">
        <w:rPr>
          <w:rFonts w:ascii="Calibri" w:hAnsi="Calibri" w:cs="Arial"/>
          <w:color w:val="000000" w:themeColor="text1"/>
        </w:rPr>
        <w:t xml:space="preserve"> impacted the government with respect to its adoption of the concepts of gender and gender based violence.</w:t>
      </w:r>
      <w:r w:rsidRPr="0090438F">
        <w:rPr>
          <w:rStyle w:val="FootnoteReference"/>
          <w:rFonts w:ascii="Calibri" w:hAnsi="Calibri" w:cs="Arial"/>
          <w:color w:val="000000" w:themeColor="text1"/>
        </w:rPr>
        <w:footnoteReference w:id="254"/>
      </w:r>
    </w:p>
    <w:p w14:paraId="299C489D" w14:textId="77777777" w:rsidR="005C68CA" w:rsidRPr="00471761" w:rsidRDefault="005C68CA" w:rsidP="005C68CA">
      <w:pPr>
        <w:ind w:left="720" w:hanging="720"/>
        <w:jc w:val="both"/>
        <w:rPr>
          <w:rFonts w:ascii="Calibri" w:hAnsi="Calibri" w:cs="Arial"/>
          <w:b/>
          <w:color w:val="4F81BD" w:themeColor="accent1"/>
        </w:rPr>
      </w:pPr>
    </w:p>
    <w:p w14:paraId="6B9A6A73" w14:textId="77777777" w:rsidR="005C68CA" w:rsidRPr="003742A9" w:rsidRDefault="005C68CA" w:rsidP="007F364C">
      <w:pPr>
        <w:pStyle w:val="ListParagraph"/>
        <w:numPr>
          <w:ilvl w:val="0"/>
          <w:numId w:val="14"/>
        </w:numPr>
        <w:jc w:val="both"/>
        <w:rPr>
          <w:rFonts w:ascii="Calibri" w:hAnsi="Calibri" w:cs="Arial"/>
          <w:b/>
          <w:color w:val="002060"/>
          <w:lang w:val="en-US"/>
        </w:rPr>
      </w:pPr>
      <w:r w:rsidRPr="003742A9">
        <w:rPr>
          <w:rFonts w:ascii="Calibri" w:hAnsi="Calibri" w:cs="Arial"/>
          <w:b/>
          <w:color w:val="002060"/>
          <w:lang w:val="en-US"/>
        </w:rPr>
        <w:t xml:space="preserve">Other Actions by Government, Development Agencies, and Civil Society Concerning Women, Peace, and Security </w:t>
      </w:r>
    </w:p>
    <w:p w14:paraId="1DF2BF8E" w14:textId="77777777" w:rsidR="005C68CA" w:rsidRPr="003742A9" w:rsidRDefault="005C68CA" w:rsidP="005C68CA">
      <w:pPr>
        <w:widowControl w:val="0"/>
        <w:autoSpaceDE w:val="0"/>
        <w:autoSpaceDN w:val="0"/>
        <w:adjustRightInd w:val="0"/>
        <w:ind w:left="360" w:hanging="360"/>
        <w:jc w:val="both"/>
        <w:rPr>
          <w:rFonts w:ascii="Calibri" w:hAnsi="Calibri" w:cs="Arial"/>
          <w:b/>
          <w:color w:val="002060"/>
          <w:lang w:val="en-US"/>
        </w:rPr>
      </w:pPr>
      <w:r w:rsidRPr="003742A9">
        <w:rPr>
          <w:rFonts w:ascii="Calibri" w:hAnsi="Calibri" w:cs="Arial"/>
          <w:b/>
          <w:color w:val="002060"/>
          <w:lang w:val="en-US"/>
        </w:rPr>
        <w:t xml:space="preserve"> </w:t>
      </w:r>
    </w:p>
    <w:p w14:paraId="00C6C4EB" w14:textId="512C353B" w:rsidR="005C68CA" w:rsidRPr="003742A9" w:rsidRDefault="00213F5E" w:rsidP="005C68CA">
      <w:pPr>
        <w:widowControl w:val="0"/>
        <w:autoSpaceDE w:val="0"/>
        <w:autoSpaceDN w:val="0"/>
        <w:adjustRightInd w:val="0"/>
        <w:jc w:val="both"/>
        <w:rPr>
          <w:rFonts w:ascii="Calibri" w:hAnsi="Calibri" w:cs="Arial"/>
          <w:b/>
          <w:color w:val="002060"/>
          <w:u w:val="single"/>
          <w:lang w:val="en-US"/>
        </w:rPr>
      </w:pPr>
      <w:r w:rsidRPr="003742A9">
        <w:rPr>
          <w:rFonts w:ascii="Calibri" w:hAnsi="Calibri" w:cs="Arial"/>
          <w:b/>
          <w:color w:val="002060"/>
          <w:u w:val="single"/>
          <w:lang w:val="en-US"/>
        </w:rPr>
        <w:t xml:space="preserve">Government </w:t>
      </w:r>
      <w:r w:rsidR="005C68CA" w:rsidRPr="003742A9">
        <w:rPr>
          <w:rFonts w:ascii="Calibri" w:hAnsi="Calibri" w:cs="Arial"/>
          <w:b/>
          <w:color w:val="002060"/>
          <w:u w:val="single"/>
          <w:lang w:val="en-US"/>
        </w:rPr>
        <w:t xml:space="preserve"> </w:t>
      </w:r>
    </w:p>
    <w:p w14:paraId="300C7162" w14:textId="57CF27DC" w:rsidR="005C68CA" w:rsidRPr="0090438F" w:rsidRDefault="00213F5E" w:rsidP="00EE3EF9">
      <w:pPr>
        <w:spacing w:before="100" w:beforeAutospacing="1" w:after="100" w:afterAutospacing="1" w:line="360" w:lineRule="auto"/>
        <w:jc w:val="both"/>
        <w:rPr>
          <w:rFonts w:ascii="Calibri" w:hAnsi="Calibri" w:cs="Arial"/>
          <w:color w:val="000000" w:themeColor="text1"/>
        </w:rPr>
      </w:pPr>
      <w:r w:rsidRPr="0090438F">
        <w:rPr>
          <w:rFonts w:ascii="Calibri" w:hAnsi="Calibri" w:cs="Arial"/>
          <w:color w:val="000000" w:themeColor="text1"/>
          <w:lang w:val="en-US"/>
        </w:rPr>
        <w:t xml:space="preserve">In March </w:t>
      </w:r>
      <w:r w:rsidR="005C68CA" w:rsidRPr="0090438F">
        <w:rPr>
          <w:rFonts w:ascii="Calibri" w:hAnsi="Calibri" w:cs="Arial"/>
          <w:color w:val="000000" w:themeColor="text1"/>
          <w:lang w:val="en-US"/>
        </w:rPr>
        <w:t xml:space="preserve">2013, the Iraqi government </w:t>
      </w:r>
      <w:r w:rsidR="005C68CA" w:rsidRPr="0090438F">
        <w:rPr>
          <w:rFonts w:ascii="Calibri" w:hAnsi="Calibri" w:cs="Arial"/>
          <w:color w:val="000000" w:themeColor="text1"/>
        </w:rPr>
        <w:t xml:space="preserve">ratified the National Strategy to Combat Violence </w:t>
      </w:r>
      <w:r w:rsidR="0090438F">
        <w:rPr>
          <w:rFonts w:ascii="Calibri" w:hAnsi="Calibri" w:cs="Arial"/>
          <w:color w:val="000000" w:themeColor="text1"/>
        </w:rPr>
        <w:t>a</w:t>
      </w:r>
      <w:r w:rsidR="005C68CA" w:rsidRPr="0090438F">
        <w:rPr>
          <w:rFonts w:ascii="Calibri" w:hAnsi="Calibri" w:cs="Arial"/>
          <w:color w:val="000000" w:themeColor="text1"/>
        </w:rPr>
        <w:t>gai</w:t>
      </w:r>
      <w:r w:rsidR="005A5F20" w:rsidRPr="0090438F">
        <w:rPr>
          <w:rFonts w:ascii="Calibri" w:hAnsi="Calibri" w:cs="Arial"/>
          <w:color w:val="000000" w:themeColor="text1"/>
        </w:rPr>
        <w:t>nst Women (</w:t>
      </w:r>
      <w:r w:rsidR="0090438F">
        <w:rPr>
          <w:rFonts w:ascii="Calibri" w:hAnsi="Calibri" w:cs="Arial"/>
          <w:color w:val="000000" w:themeColor="text1"/>
        </w:rPr>
        <w:t xml:space="preserve">the </w:t>
      </w:r>
      <w:r w:rsidR="005A5F20" w:rsidRPr="0090438F">
        <w:rPr>
          <w:rFonts w:ascii="Calibri" w:hAnsi="Calibri" w:cs="Arial"/>
          <w:color w:val="000000" w:themeColor="text1"/>
        </w:rPr>
        <w:t>Strategy</w:t>
      </w:r>
      <w:r w:rsidRPr="0090438F">
        <w:rPr>
          <w:rFonts w:ascii="Calibri" w:hAnsi="Calibri" w:cs="Arial"/>
          <w:color w:val="000000" w:themeColor="text1"/>
        </w:rPr>
        <w:t>).  Civil s</w:t>
      </w:r>
      <w:r w:rsidR="005C68CA" w:rsidRPr="0090438F">
        <w:rPr>
          <w:rFonts w:ascii="Calibri" w:hAnsi="Calibri" w:cs="Arial"/>
          <w:color w:val="000000" w:themeColor="text1"/>
        </w:rPr>
        <w:t xml:space="preserve">ociety </w:t>
      </w:r>
      <w:r w:rsidRPr="0090438F">
        <w:rPr>
          <w:rFonts w:ascii="Calibri" w:hAnsi="Calibri" w:cs="Arial"/>
          <w:color w:val="000000" w:themeColor="text1"/>
        </w:rPr>
        <w:t>o</w:t>
      </w:r>
      <w:r w:rsidR="005C68CA" w:rsidRPr="0090438F">
        <w:rPr>
          <w:rFonts w:ascii="Calibri" w:hAnsi="Calibri" w:cs="Arial"/>
          <w:color w:val="000000" w:themeColor="text1"/>
        </w:rPr>
        <w:t>rganizations participated in dev</w:t>
      </w:r>
      <w:r w:rsidRPr="0090438F">
        <w:rPr>
          <w:rFonts w:ascii="Calibri" w:hAnsi="Calibri" w:cs="Arial"/>
          <w:color w:val="000000" w:themeColor="text1"/>
        </w:rPr>
        <w:t>eloping the Strategy.  For the p</w:t>
      </w:r>
      <w:r w:rsidR="005C68CA" w:rsidRPr="0090438F">
        <w:rPr>
          <w:rFonts w:ascii="Calibri" w:hAnsi="Calibri" w:cs="Arial"/>
          <w:color w:val="000000" w:themeColor="text1"/>
        </w:rPr>
        <w:t xml:space="preserve">ast several years, the State Ministry of Women’s Affairs, with international support, has been working to develop a National Strategy for the Advancement of Women, which the Government of Iraq has yet to approve. </w:t>
      </w:r>
      <w:r w:rsidR="000F406A" w:rsidRPr="0090438F">
        <w:rPr>
          <w:rFonts w:ascii="Calibri" w:hAnsi="Calibri" w:cs="Arial"/>
          <w:color w:val="000000" w:themeColor="text1"/>
        </w:rPr>
        <w:t xml:space="preserve"> </w:t>
      </w:r>
      <w:r w:rsidR="005C68CA" w:rsidRPr="0090438F">
        <w:rPr>
          <w:rFonts w:ascii="Calibri" w:hAnsi="Calibri" w:cs="Arial"/>
          <w:color w:val="000000" w:themeColor="text1"/>
        </w:rPr>
        <w:t>In 2011, the KRG approved a law against domestic violence.  Its application is still facing obstructions.  Moreover, it did not achieve its intended purpose in creating legal protection for women due to the absence of guidelines concerning implementation and the failure to form the reconciliation committee stipulated therein.</w:t>
      </w:r>
    </w:p>
    <w:p w14:paraId="68669850" w14:textId="4CEFF63B" w:rsidR="005C68CA" w:rsidRPr="003742A9" w:rsidRDefault="005C68CA" w:rsidP="005C68CA">
      <w:pPr>
        <w:widowControl w:val="0"/>
        <w:autoSpaceDE w:val="0"/>
        <w:autoSpaceDN w:val="0"/>
        <w:adjustRightInd w:val="0"/>
        <w:jc w:val="both"/>
        <w:rPr>
          <w:rFonts w:ascii="Calibri" w:hAnsi="Calibri" w:cs="Arial"/>
          <w:b/>
          <w:color w:val="002060"/>
          <w:u w:val="single"/>
          <w:lang w:val="en-US"/>
        </w:rPr>
      </w:pPr>
      <w:r w:rsidRPr="003742A9">
        <w:rPr>
          <w:rFonts w:ascii="Calibri" w:hAnsi="Calibri" w:cs="Arial"/>
          <w:b/>
          <w:color w:val="002060"/>
          <w:u w:val="single"/>
          <w:lang w:val="en-US"/>
        </w:rPr>
        <w:t xml:space="preserve">Civil Society </w:t>
      </w:r>
    </w:p>
    <w:p w14:paraId="42EE1B7D" w14:textId="77777777" w:rsidR="005C68CA" w:rsidRPr="0090438F" w:rsidRDefault="005C68CA" w:rsidP="005C68CA">
      <w:pPr>
        <w:widowControl w:val="0"/>
        <w:autoSpaceDE w:val="0"/>
        <w:autoSpaceDN w:val="0"/>
        <w:adjustRightInd w:val="0"/>
        <w:jc w:val="both"/>
        <w:rPr>
          <w:rFonts w:ascii="Calibri" w:hAnsi="Calibri" w:cs="Arial"/>
          <w:color w:val="000000" w:themeColor="text1"/>
          <w:lang w:val="en-US"/>
        </w:rPr>
      </w:pPr>
    </w:p>
    <w:p w14:paraId="43A16FDD" w14:textId="2CC61066" w:rsidR="005C68CA" w:rsidRPr="0090438F" w:rsidRDefault="005C68CA" w:rsidP="0090438F">
      <w:pPr>
        <w:widowControl w:val="0"/>
        <w:autoSpaceDE w:val="0"/>
        <w:autoSpaceDN w:val="0"/>
        <w:adjustRightInd w:val="0"/>
        <w:spacing w:line="360" w:lineRule="auto"/>
        <w:jc w:val="both"/>
        <w:rPr>
          <w:rFonts w:ascii="Calibri" w:hAnsi="Calibri" w:cs="Arial"/>
          <w:color w:val="000000" w:themeColor="text1"/>
          <w:lang w:val="en-US"/>
        </w:rPr>
      </w:pPr>
      <w:r w:rsidRPr="0090438F">
        <w:rPr>
          <w:rFonts w:ascii="Calibri" w:hAnsi="Calibri" w:cs="Arial"/>
          <w:color w:val="000000" w:themeColor="text1"/>
        </w:rPr>
        <w:t>While significant obstacles stand in the way of progress for women in Iraq, effective and sustainable local organizations are making a difference.</w:t>
      </w:r>
      <w:r w:rsidRPr="0090438F">
        <w:rPr>
          <w:rFonts w:ascii="Calibri" w:hAnsi="Calibri" w:cs="Arial"/>
          <w:color w:val="000000" w:themeColor="text1"/>
          <w:lang w:val="en-US"/>
        </w:rPr>
        <w:t xml:space="preserve">  </w:t>
      </w:r>
      <w:r w:rsidRPr="0090438F">
        <w:rPr>
          <w:rFonts w:ascii="Calibri" w:hAnsi="Calibri" w:cs="Arial"/>
          <w:color w:val="000000" w:themeColor="text1"/>
        </w:rPr>
        <w:t>For example, the Iraqi Women Network, founded in 2003, is a collection of more than eighty organizations from different parts of Iraq.  The network works to coordinate the efforts of women’s NGOs and gatherings with the aim of fostering democracy, the rule of law and human rights, and achieving the elimination of violence and all forms of discrimination against women in Iraq.</w:t>
      </w:r>
    </w:p>
    <w:p w14:paraId="234D48E1" w14:textId="77777777" w:rsidR="005C68CA" w:rsidRPr="0090438F" w:rsidRDefault="005C68CA" w:rsidP="0090438F">
      <w:pPr>
        <w:widowControl w:val="0"/>
        <w:autoSpaceDE w:val="0"/>
        <w:autoSpaceDN w:val="0"/>
        <w:adjustRightInd w:val="0"/>
        <w:spacing w:line="360" w:lineRule="auto"/>
        <w:jc w:val="both"/>
        <w:rPr>
          <w:rFonts w:ascii="Calibri" w:hAnsi="Calibri" w:cs="Arial"/>
          <w:color w:val="000000" w:themeColor="text1"/>
        </w:rPr>
      </w:pPr>
    </w:p>
    <w:p w14:paraId="66F1A02D" w14:textId="72A8B3A5" w:rsidR="005C68CA" w:rsidRPr="0090438F" w:rsidRDefault="000F406A" w:rsidP="0090438F">
      <w:pPr>
        <w:widowControl w:val="0"/>
        <w:autoSpaceDE w:val="0"/>
        <w:autoSpaceDN w:val="0"/>
        <w:adjustRightInd w:val="0"/>
        <w:spacing w:line="360" w:lineRule="auto"/>
        <w:jc w:val="both"/>
        <w:rPr>
          <w:rFonts w:ascii="Calibri" w:hAnsi="Calibri" w:cs="Arial"/>
          <w:color w:val="000000" w:themeColor="text1"/>
          <w:lang w:val="en-US"/>
        </w:rPr>
      </w:pPr>
      <w:r w:rsidRPr="0090438F">
        <w:rPr>
          <w:rFonts w:ascii="Calibri" w:hAnsi="Calibri" w:cs="Arial"/>
          <w:color w:val="000000" w:themeColor="text1"/>
          <w:lang w:val="en-US"/>
        </w:rPr>
        <w:t>In February</w:t>
      </w:r>
      <w:r w:rsidR="005C68CA" w:rsidRPr="0090438F">
        <w:rPr>
          <w:rFonts w:ascii="Calibri" w:hAnsi="Calibri" w:cs="Arial"/>
          <w:color w:val="000000" w:themeColor="text1"/>
          <w:lang w:val="en-US"/>
        </w:rPr>
        <w:t xml:space="preserve"> 2014, an NGO commission submitted a Shadow Report concerning women in armed conflict </w:t>
      </w:r>
      <w:r w:rsidR="005C68CA" w:rsidRPr="0090438F">
        <w:rPr>
          <w:rFonts w:ascii="Calibri" w:hAnsi="Calibri" w:cs="Arial"/>
          <w:color w:val="000000" w:themeColor="text1"/>
          <w:lang w:val="en-US"/>
        </w:rPr>
        <w:lastRenderedPageBreak/>
        <w:t>and post conflict in Iraq to CEDAW.  The commission consisted of several Iraqi women’s organizations, including the Iraqi Women Network (comprised of more than 80 organizations) and the Coalition of Al Rafidain Women (5 organizations), among others.  In the summer of 2014, when ISIS led extremists seized control of several cities, the Organization of Women’s Freedom in Iraq (OWFI) worked with an American NGO to relocate residents in of women’s shelters to safer areas and to provide emergency food and shelter.</w:t>
      </w:r>
      <w:r w:rsidR="005C68CA" w:rsidRPr="0090438F">
        <w:rPr>
          <w:rStyle w:val="FootnoteReference"/>
          <w:rFonts w:ascii="Calibri" w:hAnsi="Calibri" w:cs="Arial"/>
          <w:color w:val="000000" w:themeColor="text1"/>
          <w:lang w:val="en-US"/>
        </w:rPr>
        <w:footnoteReference w:id="255"/>
      </w:r>
    </w:p>
    <w:p w14:paraId="5E9AC047" w14:textId="77777777" w:rsidR="005C68CA" w:rsidRPr="0090438F" w:rsidRDefault="005C68CA" w:rsidP="005C68CA">
      <w:pPr>
        <w:widowControl w:val="0"/>
        <w:autoSpaceDE w:val="0"/>
        <w:autoSpaceDN w:val="0"/>
        <w:adjustRightInd w:val="0"/>
        <w:jc w:val="both"/>
        <w:rPr>
          <w:rFonts w:ascii="Calibri" w:hAnsi="Calibri" w:cs="Arial"/>
          <w:color w:val="000000" w:themeColor="text1"/>
          <w:lang w:val="en-US"/>
        </w:rPr>
      </w:pPr>
    </w:p>
    <w:p w14:paraId="71CF4D24" w14:textId="1A8AB6F1" w:rsidR="003B6A14" w:rsidRPr="0090438F" w:rsidRDefault="005C68CA" w:rsidP="00EE3EF9">
      <w:pPr>
        <w:widowControl w:val="0"/>
        <w:autoSpaceDE w:val="0"/>
        <w:autoSpaceDN w:val="0"/>
        <w:adjustRightInd w:val="0"/>
        <w:spacing w:line="360" w:lineRule="auto"/>
        <w:jc w:val="both"/>
        <w:rPr>
          <w:rFonts w:ascii="Calibri" w:hAnsi="Calibri" w:cs="Arial"/>
          <w:color w:val="000000" w:themeColor="text1"/>
        </w:rPr>
      </w:pPr>
      <w:r w:rsidRPr="0090438F">
        <w:rPr>
          <w:rFonts w:ascii="Calibri" w:hAnsi="Calibri" w:cs="Arial"/>
          <w:color w:val="000000" w:themeColor="text1"/>
        </w:rPr>
        <w:t xml:space="preserve">Additionally, in the majority of Iraqi provinces, </w:t>
      </w:r>
      <w:r w:rsidR="00213F5E" w:rsidRPr="0090438F">
        <w:rPr>
          <w:rFonts w:ascii="Calibri" w:hAnsi="Calibri" w:cs="Arial"/>
          <w:color w:val="000000" w:themeColor="text1"/>
        </w:rPr>
        <w:t>NGOs</w:t>
      </w:r>
      <w:r w:rsidRPr="0090438F">
        <w:rPr>
          <w:rFonts w:ascii="Calibri" w:hAnsi="Calibri" w:cs="Arial"/>
          <w:color w:val="000000" w:themeColor="text1"/>
        </w:rPr>
        <w:t xml:space="preserve"> a</w:t>
      </w:r>
      <w:r w:rsidR="00213F5E" w:rsidRPr="0090438F">
        <w:rPr>
          <w:rFonts w:ascii="Calibri" w:hAnsi="Calibri" w:cs="Arial"/>
          <w:color w:val="000000" w:themeColor="text1"/>
        </w:rPr>
        <w:t>re in charge of family counselling c</w:t>
      </w:r>
      <w:r w:rsidRPr="0090438F">
        <w:rPr>
          <w:rFonts w:ascii="Calibri" w:hAnsi="Calibri" w:cs="Arial"/>
          <w:color w:val="000000" w:themeColor="text1"/>
        </w:rPr>
        <w:t xml:space="preserve">entres, which offer social, psychological and legal consulting.  These services are free for victims of domestic and community violence. These centres have played a significant role in breaking the silence </w:t>
      </w:r>
      <w:r w:rsidR="00213F5E" w:rsidRPr="0090438F">
        <w:rPr>
          <w:rFonts w:ascii="Calibri" w:hAnsi="Calibri" w:cs="Arial"/>
          <w:color w:val="000000" w:themeColor="text1"/>
        </w:rPr>
        <w:t>on</w:t>
      </w:r>
      <w:r w:rsidRPr="0090438F">
        <w:rPr>
          <w:rFonts w:ascii="Calibri" w:hAnsi="Calibri" w:cs="Arial"/>
          <w:color w:val="000000" w:themeColor="text1"/>
        </w:rPr>
        <w:t xml:space="preserve"> to violence against women and in monitoring and documenting the violations </w:t>
      </w:r>
      <w:r w:rsidR="00213F5E" w:rsidRPr="0090438F">
        <w:rPr>
          <w:rFonts w:ascii="Calibri" w:hAnsi="Calibri" w:cs="Arial"/>
          <w:color w:val="000000" w:themeColor="text1"/>
        </w:rPr>
        <w:t>women</w:t>
      </w:r>
      <w:r w:rsidRPr="0090438F">
        <w:rPr>
          <w:rFonts w:ascii="Calibri" w:hAnsi="Calibri" w:cs="Arial"/>
          <w:color w:val="000000" w:themeColor="text1"/>
        </w:rPr>
        <w:t xml:space="preserve"> experience. These </w:t>
      </w:r>
      <w:r w:rsidR="00213F5E" w:rsidRPr="0090438F">
        <w:rPr>
          <w:rFonts w:ascii="Calibri" w:hAnsi="Calibri" w:cs="Arial"/>
          <w:color w:val="000000" w:themeColor="text1"/>
        </w:rPr>
        <w:t>c</w:t>
      </w:r>
      <w:r w:rsidRPr="0090438F">
        <w:rPr>
          <w:rFonts w:ascii="Calibri" w:hAnsi="Calibri" w:cs="Arial"/>
          <w:color w:val="000000" w:themeColor="text1"/>
        </w:rPr>
        <w:t>entres also raise awareness and education among women in communities as well as official institutions about violence and discrimination against wome</w:t>
      </w:r>
      <w:r w:rsidR="000F406A" w:rsidRPr="0090438F">
        <w:rPr>
          <w:rFonts w:ascii="Calibri" w:hAnsi="Calibri" w:cs="Arial"/>
          <w:color w:val="000000" w:themeColor="text1"/>
        </w:rPr>
        <w:t>n in the context of CEDAW and</w:t>
      </w:r>
      <w:r w:rsidR="00213F5E" w:rsidRPr="0090438F">
        <w:rPr>
          <w:rFonts w:ascii="Calibri" w:hAnsi="Calibri" w:cs="Arial"/>
          <w:color w:val="000000" w:themeColor="text1"/>
        </w:rPr>
        <w:t xml:space="preserve"> the</w:t>
      </w:r>
      <w:r w:rsidR="000F406A" w:rsidRPr="0090438F">
        <w:rPr>
          <w:rFonts w:ascii="Calibri" w:hAnsi="Calibri" w:cs="Arial"/>
          <w:color w:val="000000" w:themeColor="text1"/>
        </w:rPr>
        <w:t xml:space="preserve"> </w:t>
      </w:r>
      <w:r w:rsidRPr="0090438F">
        <w:rPr>
          <w:rFonts w:ascii="Calibri" w:hAnsi="Calibri" w:cs="Arial"/>
          <w:color w:val="000000" w:themeColor="text1"/>
        </w:rPr>
        <w:t xml:space="preserve">SCR 1325. </w:t>
      </w:r>
    </w:p>
    <w:p w14:paraId="0D66579B" w14:textId="77777777" w:rsidR="00265C8E" w:rsidRPr="00471761" w:rsidRDefault="00265C8E" w:rsidP="005C68CA">
      <w:pPr>
        <w:widowControl w:val="0"/>
        <w:autoSpaceDE w:val="0"/>
        <w:autoSpaceDN w:val="0"/>
        <w:adjustRightInd w:val="0"/>
        <w:jc w:val="both"/>
        <w:rPr>
          <w:rFonts w:ascii="Calibri" w:hAnsi="Calibri" w:cs="Arial"/>
          <w:color w:val="4F81BD" w:themeColor="accent1"/>
        </w:rPr>
      </w:pPr>
    </w:p>
    <w:p w14:paraId="2A3B7F0C" w14:textId="6E4A2B40" w:rsidR="00265C8E" w:rsidRPr="003742A9" w:rsidRDefault="00265C8E" w:rsidP="007F364C">
      <w:pPr>
        <w:pStyle w:val="ListParagraph"/>
        <w:widowControl w:val="0"/>
        <w:numPr>
          <w:ilvl w:val="0"/>
          <w:numId w:val="13"/>
        </w:numPr>
        <w:autoSpaceDE w:val="0"/>
        <w:autoSpaceDN w:val="0"/>
        <w:adjustRightInd w:val="0"/>
        <w:jc w:val="both"/>
        <w:rPr>
          <w:rFonts w:ascii="Calibri" w:hAnsi="Calibri" w:cs="Arial"/>
          <w:b/>
          <w:color w:val="002060"/>
        </w:rPr>
      </w:pPr>
      <w:r w:rsidRPr="003742A9">
        <w:rPr>
          <w:rFonts w:ascii="Calibri" w:hAnsi="Calibri" w:cs="Arial"/>
          <w:b/>
          <w:color w:val="002060"/>
        </w:rPr>
        <w:t>Conclusion</w:t>
      </w:r>
    </w:p>
    <w:p w14:paraId="05216C73" w14:textId="77777777" w:rsidR="00265C8E" w:rsidRPr="00471761" w:rsidRDefault="00265C8E" w:rsidP="00265C8E">
      <w:pPr>
        <w:widowControl w:val="0"/>
        <w:autoSpaceDE w:val="0"/>
        <w:autoSpaceDN w:val="0"/>
        <w:adjustRightInd w:val="0"/>
        <w:jc w:val="both"/>
        <w:rPr>
          <w:rFonts w:ascii="Calibri" w:hAnsi="Calibri" w:cs="Arial"/>
          <w:b/>
          <w:color w:val="4F81BD" w:themeColor="accent1"/>
        </w:rPr>
      </w:pPr>
    </w:p>
    <w:p w14:paraId="063CC056" w14:textId="5202B117" w:rsidR="00265C8E" w:rsidRPr="0090438F" w:rsidRDefault="00265C8E" w:rsidP="00EE3EF9">
      <w:pPr>
        <w:widowControl w:val="0"/>
        <w:autoSpaceDE w:val="0"/>
        <w:autoSpaceDN w:val="0"/>
        <w:adjustRightInd w:val="0"/>
        <w:spacing w:line="360" w:lineRule="auto"/>
        <w:jc w:val="both"/>
        <w:rPr>
          <w:rFonts w:ascii="Calibri" w:hAnsi="Calibri" w:cs="Arial"/>
          <w:color w:val="000000" w:themeColor="text1"/>
        </w:rPr>
      </w:pPr>
      <w:r w:rsidRPr="0090438F">
        <w:rPr>
          <w:rFonts w:ascii="Calibri" w:hAnsi="Calibri" w:cs="Arial"/>
          <w:color w:val="000000" w:themeColor="text1"/>
        </w:rPr>
        <w:t xml:space="preserve">Iraq is a country deeply affected by its </w:t>
      </w:r>
      <w:r w:rsidRPr="00471761">
        <w:rPr>
          <w:rFonts w:ascii="Calibri" w:hAnsi="Calibri" w:cs="Arial"/>
          <w:b/>
          <w:color w:val="4F81BD" w:themeColor="accent1"/>
        </w:rPr>
        <w:t>current conflict, an</w:t>
      </w:r>
      <w:r w:rsidR="00C67173" w:rsidRPr="00471761">
        <w:rPr>
          <w:rFonts w:ascii="Calibri" w:hAnsi="Calibri" w:cs="Arial"/>
          <w:b/>
          <w:color w:val="4F81BD" w:themeColor="accent1"/>
        </w:rPr>
        <w:t>d the long-lasting effects of</w:t>
      </w:r>
      <w:r w:rsidRPr="00471761">
        <w:rPr>
          <w:rFonts w:ascii="Calibri" w:hAnsi="Calibri" w:cs="Arial"/>
          <w:b/>
          <w:color w:val="4F81BD" w:themeColor="accent1"/>
        </w:rPr>
        <w:t xml:space="preserve"> political, economic and social instability </w:t>
      </w:r>
      <w:r w:rsidR="00C67173" w:rsidRPr="00471761">
        <w:rPr>
          <w:rFonts w:ascii="Calibri" w:hAnsi="Calibri" w:cs="Arial"/>
          <w:b/>
          <w:color w:val="4F81BD" w:themeColor="accent1"/>
        </w:rPr>
        <w:t>as a result of</w:t>
      </w:r>
      <w:r w:rsidRPr="00471761">
        <w:rPr>
          <w:rFonts w:ascii="Calibri" w:hAnsi="Calibri" w:cs="Arial"/>
          <w:b/>
          <w:color w:val="4F81BD" w:themeColor="accent1"/>
        </w:rPr>
        <w:t xml:space="preserve"> war and occupation</w:t>
      </w:r>
      <w:r w:rsidRPr="00471761">
        <w:rPr>
          <w:rFonts w:ascii="Calibri" w:hAnsi="Calibri" w:cs="Arial"/>
          <w:color w:val="000000" w:themeColor="text1"/>
        </w:rPr>
        <w:t>.</w:t>
      </w:r>
      <w:r w:rsidRPr="0090438F">
        <w:rPr>
          <w:rFonts w:ascii="Calibri" w:hAnsi="Calibri" w:cs="Arial"/>
          <w:color w:val="000000" w:themeColor="text1"/>
        </w:rPr>
        <w:t xml:space="preserve"> Crucial to the implementation of the NAP will be the </w:t>
      </w:r>
      <w:r w:rsidR="004A47CB" w:rsidRPr="0090438F">
        <w:rPr>
          <w:rFonts w:ascii="Calibri" w:hAnsi="Calibri" w:cs="Arial"/>
          <w:color w:val="000000" w:themeColor="text1"/>
        </w:rPr>
        <w:t xml:space="preserve">sustained </w:t>
      </w:r>
      <w:r w:rsidRPr="0090438F">
        <w:rPr>
          <w:rFonts w:ascii="Calibri" w:hAnsi="Calibri" w:cs="Arial"/>
          <w:color w:val="000000" w:themeColor="text1"/>
        </w:rPr>
        <w:t xml:space="preserve">involvement of Iraq’s active civil society sector, especially women’s organizations. However, as in the DRC, the actions of civil society </w:t>
      </w:r>
      <w:r w:rsidR="00C67173" w:rsidRPr="0090438F">
        <w:rPr>
          <w:rFonts w:ascii="Calibri" w:hAnsi="Calibri" w:cs="Arial"/>
          <w:color w:val="000000" w:themeColor="text1"/>
        </w:rPr>
        <w:t xml:space="preserve">and the UN </w:t>
      </w:r>
      <w:r w:rsidRPr="0090438F">
        <w:rPr>
          <w:rFonts w:ascii="Calibri" w:hAnsi="Calibri" w:cs="Arial"/>
          <w:color w:val="000000" w:themeColor="text1"/>
        </w:rPr>
        <w:t>should supplement, and not replace</w:t>
      </w:r>
      <w:r w:rsidR="004A47CB" w:rsidRPr="0090438F">
        <w:rPr>
          <w:rFonts w:ascii="Calibri" w:hAnsi="Calibri" w:cs="Arial"/>
          <w:color w:val="000000" w:themeColor="text1"/>
        </w:rPr>
        <w:t>,</w:t>
      </w:r>
      <w:r w:rsidRPr="0090438F">
        <w:rPr>
          <w:rFonts w:ascii="Calibri" w:hAnsi="Calibri" w:cs="Arial"/>
          <w:color w:val="000000" w:themeColor="text1"/>
        </w:rPr>
        <w:t xml:space="preserve"> the work of the Iraqi</w:t>
      </w:r>
      <w:r w:rsidR="004A47CB" w:rsidRPr="0090438F">
        <w:rPr>
          <w:rFonts w:ascii="Calibri" w:hAnsi="Calibri" w:cs="Arial"/>
          <w:color w:val="000000" w:themeColor="text1"/>
        </w:rPr>
        <w:t xml:space="preserve"> Government. The </w:t>
      </w:r>
      <w:r w:rsidR="00C67173" w:rsidRPr="0090438F">
        <w:rPr>
          <w:rFonts w:ascii="Calibri" w:hAnsi="Calibri" w:cs="Arial"/>
          <w:color w:val="000000" w:themeColor="text1"/>
        </w:rPr>
        <w:t xml:space="preserve">state </w:t>
      </w:r>
      <w:r w:rsidRPr="0090438F">
        <w:rPr>
          <w:rFonts w:ascii="Calibri" w:hAnsi="Calibri" w:cs="Arial"/>
          <w:color w:val="000000" w:themeColor="text1"/>
        </w:rPr>
        <w:t>retains primary responsibility for implementing the NAP and upholding Iraq’s obligations under the wider legal framework</w:t>
      </w:r>
      <w:r w:rsidR="004A47CB" w:rsidRPr="0090438F">
        <w:rPr>
          <w:rFonts w:ascii="Calibri" w:hAnsi="Calibri" w:cs="Arial"/>
          <w:color w:val="000000" w:themeColor="text1"/>
        </w:rPr>
        <w:t xml:space="preserve"> on women, peace and security. It remains to be seen whether the Taskforce CPA1325 will be able to effectively implement the provisions of the NAP amidst the military campaign presently being waged by ISIL, and the </w:t>
      </w:r>
      <w:r w:rsidR="00C67173" w:rsidRPr="0090438F">
        <w:rPr>
          <w:rFonts w:ascii="Calibri" w:hAnsi="Calibri" w:cs="Arial"/>
          <w:color w:val="000000" w:themeColor="text1"/>
        </w:rPr>
        <w:t>prevailing</w:t>
      </w:r>
      <w:r w:rsidR="004A47CB" w:rsidRPr="0090438F">
        <w:rPr>
          <w:rFonts w:ascii="Calibri" w:hAnsi="Calibri" w:cs="Arial"/>
          <w:color w:val="000000" w:themeColor="text1"/>
        </w:rPr>
        <w:t xml:space="preserve"> insecurity in a country that remains a live conflict zone. </w:t>
      </w:r>
    </w:p>
    <w:p w14:paraId="7D67AF8C" w14:textId="77777777" w:rsidR="003B6A14" w:rsidRPr="0090438F" w:rsidRDefault="003B6A14">
      <w:pPr>
        <w:rPr>
          <w:rFonts w:ascii="Calibri" w:hAnsi="Calibri" w:cs="Arial"/>
          <w:color w:val="000000" w:themeColor="text1"/>
        </w:rPr>
      </w:pPr>
      <w:r w:rsidRPr="0090438F">
        <w:rPr>
          <w:rFonts w:ascii="Calibri" w:hAnsi="Calibri" w:cs="Arial"/>
          <w:color w:val="000000" w:themeColor="text1"/>
        </w:rPr>
        <w:br w:type="page"/>
      </w:r>
    </w:p>
    <w:p w14:paraId="70C68115" w14:textId="4B4237BE" w:rsidR="003330F3" w:rsidRPr="00471761" w:rsidRDefault="003330F3" w:rsidP="003330F3">
      <w:pPr>
        <w:pStyle w:val="Heading3"/>
        <w:keepLines/>
        <w:spacing w:before="20" w:after="0"/>
        <w:jc w:val="center"/>
        <w:rPr>
          <w:b w:val="0"/>
          <w:color w:val="1F497D" w:themeColor="text2"/>
          <w:spacing w:val="14"/>
          <w:sz w:val="32"/>
          <w:szCs w:val="32"/>
          <w:lang w:val="en-GB"/>
        </w:rPr>
      </w:pPr>
      <w:bookmarkStart w:id="21" w:name="_Toc416867099"/>
      <w:r>
        <w:rPr>
          <w:b w:val="0"/>
          <w:color w:val="1F497D" w:themeColor="text2"/>
          <w:spacing w:val="14"/>
          <w:sz w:val="32"/>
          <w:szCs w:val="32"/>
          <w:lang w:val="en-GB"/>
        </w:rPr>
        <w:lastRenderedPageBreak/>
        <w:t>SECTION 2 CONCLUSIONS AND RECOMMENDATIONS</w:t>
      </w:r>
      <w:bookmarkEnd w:id="21"/>
    </w:p>
    <w:p w14:paraId="1639227F" w14:textId="77777777" w:rsidR="003B6A14" w:rsidRDefault="003B6A14" w:rsidP="003B6A14"/>
    <w:p w14:paraId="28ED1025" w14:textId="5638EE47" w:rsidR="003B6A14" w:rsidRPr="0090438F" w:rsidRDefault="00793F4F" w:rsidP="00EE3EF9">
      <w:pPr>
        <w:spacing w:line="360" w:lineRule="auto"/>
        <w:jc w:val="both"/>
        <w:rPr>
          <w:rFonts w:ascii="Calibri" w:hAnsi="Calibri"/>
        </w:rPr>
      </w:pPr>
      <w:r w:rsidRPr="0090438F">
        <w:rPr>
          <w:rFonts w:ascii="Calibri" w:hAnsi="Calibri"/>
        </w:rPr>
        <w:t xml:space="preserve">Section 2 </w:t>
      </w:r>
      <w:r w:rsidR="003B6A14" w:rsidRPr="0090438F">
        <w:rPr>
          <w:rFonts w:ascii="Calibri" w:hAnsi="Calibri"/>
        </w:rPr>
        <w:t xml:space="preserve">of this submission </w:t>
      </w:r>
      <w:r w:rsidR="003742A9">
        <w:rPr>
          <w:rFonts w:ascii="Calibri" w:hAnsi="Calibri"/>
        </w:rPr>
        <w:t xml:space="preserve">makes the following conclusions and recommendations. </w:t>
      </w:r>
    </w:p>
    <w:p w14:paraId="4E3218F9" w14:textId="77777777" w:rsidR="00265C8E" w:rsidRPr="0090438F" w:rsidRDefault="00265C8E" w:rsidP="003B6A14">
      <w:pPr>
        <w:rPr>
          <w:rFonts w:ascii="Calibri" w:hAnsi="Calibri"/>
        </w:rPr>
      </w:pPr>
    </w:p>
    <w:p w14:paraId="7B88A8A4" w14:textId="79467461" w:rsidR="00E03D99" w:rsidRPr="0090438F" w:rsidRDefault="00C152BC" w:rsidP="00EE3EF9">
      <w:pPr>
        <w:spacing w:line="360" w:lineRule="auto"/>
        <w:jc w:val="both"/>
        <w:rPr>
          <w:rFonts w:ascii="Calibri" w:hAnsi="Calibri"/>
        </w:rPr>
      </w:pPr>
      <w:r w:rsidRPr="0090438F">
        <w:rPr>
          <w:rFonts w:ascii="Calibri" w:hAnsi="Calibri"/>
        </w:rPr>
        <w:t>The diverse country case studies showcase the NAP process, from design to implementation an</w:t>
      </w:r>
      <w:r w:rsidR="00690142" w:rsidRPr="0090438F">
        <w:rPr>
          <w:rFonts w:ascii="Calibri" w:hAnsi="Calibri"/>
        </w:rPr>
        <w:t>d monitoring and evaluation (and</w:t>
      </w:r>
      <w:r w:rsidR="003C10BB" w:rsidRPr="0090438F">
        <w:rPr>
          <w:rFonts w:ascii="Calibri" w:hAnsi="Calibri"/>
        </w:rPr>
        <w:t>, for BiH and Chile,</w:t>
      </w:r>
      <w:r w:rsidRPr="0090438F">
        <w:rPr>
          <w:rFonts w:ascii="Calibri" w:hAnsi="Calibri"/>
        </w:rPr>
        <w:t xml:space="preserve"> creating new NAPs from lesson</w:t>
      </w:r>
      <w:r w:rsidR="003C10BB" w:rsidRPr="0090438F">
        <w:rPr>
          <w:rFonts w:ascii="Calibri" w:hAnsi="Calibri"/>
        </w:rPr>
        <w:t>s learned</w:t>
      </w:r>
      <w:r w:rsidR="00690142" w:rsidRPr="0090438F">
        <w:rPr>
          <w:rFonts w:ascii="Calibri" w:hAnsi="Calibri"/>
        </w:rPr>
        <w:t>)</w:t>
      </w:r>
      <w:r w:rsidRPr="0090438F">
        <w:rPr>
          <w:rFonts w:ascii="Calibri" w:hAnsi="Calibri"/>
        </w:rPr>
        <w:t xml:space="preserve">. The case studies also consider the success factors that make for an effective NAP process, </w:t>
      </w:r>
      <w:r w:rsidR="00E03D99" w:rsidRPr="0090438F">
        <w:rPr>
          <w:rFonts w:ascii="Calibri" w:hAnsi="Calibri"/>
        </w:rPr>
        <w:t xml:space="preserve">such as </w:t>
      </w:r>
      <w:r w:rsidR="00E03D99" w:rsidRPr="0090438F">
        <w:rPr>
          <w:rFonts w:ascii="Calibri" w:hAnsi="Calibri"/>
          <w:b/>
          <w:color w:val="4F81BD" w:themeColor="accent1"/>
        </w:rPr>
        <w:t>capacity-building for women’s political participation</w:t>
      </w:r>
      <w:r w:rsidR="00E03D99" w:rsidRPr="0090438F">
        <w:rPr>
          <w:rFonts w:ascii="Calibri" w:hAnsi="Calibri"/>
          <w:color w:val="4F81BD" w:themeColor="accent1"/>
        </w:rPr>
        <w:t xml:space="preserve"> </w:t>
      </w:r>
      <w:r w:rsidR="00E03D99" w:rsidRPr="0090438F">
        <w:rPr>
          <w:rFonts w:ascii="Calibri" w:hAnsi="Calibri"/>
        </w:rPr>
        <w:t xml:space="preserve">in </w:t>
      </w:r>
      <w:r w:rsidR="00690142" w:rsidRPr="0090438F">
        <w:rPr>
          <w:rFonts w:ascii="Calibri" w:hAnsi="Calibri"/>
        </w:rPr>
        <w:t xml:space="preserve">creating and enforcing </w:t>
      </w:r>
      <w:r w:rsidR="00E03D99" w:rsidRPr="0090438F">
        <w:rPr>
          <w:rFonts w:ascii="Calibri" w:hAnsi="Calibri"/>
        </w:rPr>
        <w:t xml:space="preserve">a NAP, as in Nepal. In Myanmar, the journey towards a NAP has been strengthened by the adoption of a </w:t>
      </w:r>
      <w:r w:rsidR="00E03D99" w:rsidRPr="0090438F">
        <w:rPr>
          <w:rFonts w:ascii="Calibri" w:hAnsi="Calibri"/>
          <w:b/>
          <w:color w:val="4F81BD" w:themeColor="accent1"/>
        </w:rPr>
        <w:t>comprehensive strategy to advance women’s rights</w:t>
      </w:r>
      <w:r w:rsidR="00E03D99" w:rsidRPr="0090438F">
        <w:rPr>
          <w:rFonts w:ascii="Calibri" w:hAnsi="Calibri"/>
        </w:rPr>
        <w:t xml:space="preserve">, as well as innovative work by a </w:t>
      </w:r>
      <w:r w:rsidR="00E03D99" w:rsidRPr="0090438F">
        <w:rPr>
          <w:rFonts w:ascii="Calibri" w:hAnsi="Calibri"/>
          <w:b/>
          <w:color w:val="4F81BD" w:themeColor="accent1"/>
        </w:rPr>
        <w:t>dynamic civil society sector</w:t>
      </w:r>
      <w:r w:rsidR="00E03D99" w:rsidRPr="0090438F">
        <w:rPr>
          <w:rFonts w:ascii="Calibri" w:hAnsi="Calibri"/>
        </w:rPr>
        <w:t xml:space="preserve">. All countries in the case studies face </w:t>
      </w:r>
      <w:r w:rsidRPr="0090438F">
        <w:rPr>
          <w:rFonts w:ascii="Calibri" w:hAnsi="Calibri"/>
        </w:rPr>
        <w:t>obstacles to fully implementing not only SCR 1325, but also the broader legal framework on women, peace and security.</w:t>
      </w:r>
      <w:r w:rsidR="00E03D99" w:rsidRPr="0090438F">
        <w:rPr>
          <w:rFonts w:ascii="Calibri" w:hAnsi="Calibri"/>
        </w:rPr>
        <w:t xml:space="preserve"> Most notably, </w:t>
      </w:r>
      <w:r w:rsidR="00690142" w:rsidRPr="0090438F">
        <w:rPr>
          <w:rFonts w:ascii="Calibri" w:hAnsi="Calibri"/>
        </w:rPr>
        <w:t xml:space="preserve">BiH, </w:t>
      </w:r>
      <w:r w:rsidR="00E03D99" w:rsidRPr="0090438F">
        <w:rPr>
          <w:rFonts w:ascii="Calibri" w:hAnsi="Calibri"/>
        </w:rPr>
        <w:t>the DRC and Iraq must address the ongoing effects of conflict and instability to make meaningful gains on gender equality.</w:t>
      </w:r>
    </w:p>
    <w:p w14:paraId="103F75CC" w14:textId="77777777" w:rsidR="00E03D99" w:rsidRPr="0090438F" w:rsidRDefault="00E03D99" w:rsidP="00C152BC">
      <w:pPr>
        <w:jc w:val="both"/>
        <w:rPr>
          <w:rFonts w:ascii="Calibri" w:hAnsi="Calibri"/>
        </w:rPr>
      </w:pPr>
    </w:p>
    <w:p w14:paraId="72F4EE5B" w14:textId="593D0D6E" w:rsidR="00265C8E" w:rsidRPr="0090438F" w:rsidRDefault="00C152BC" w:rsidP="00A7184C">
      <w:pPr>
        <w:spacing w:line="360" w:lineRule="auto"/>
        <w:jc w:val="both"/>
        <w:rPr>
          <w:rFonts w:ascii="Calibri" w:hAnsi="Calibri"/>
        </w:rPr>
      </w:pPr>
      <w:r w:rsidRPr="0090438F">
        <w:rPr>
          <w:rFonts w:ascii="Calibri" w:hAnsi="Calibri"/>
        </w:rPr>
        <w:t xml:space="preserve">A useful starting point is the </w:t>
      </w:r>
      <w:r w:rsidR="0028281F" w:rsidRPr="0090438F">
        <w:rPr>
          <w:rFonts w:ascii="Calibri" w:hAnsi="Calibri"/>
        </w:rPr>
        <w:t xml:space="preserve">support for </w:t>
      </w:r>
      <w:r w:rsidR="00C36CB6" w:rsidRPr="0090438F">
        <w:rPr>
          <w:rFonts w:ascii="Calibri" w:hAnsi="Calibri"/>
          <w:b/>
          <w:color w:val="4F81BD" w:themeColor="accent1"/>
        </w:rPr>
        <w:t>women and girls’ meaningful participation</w:t>
      </w:r>
      <w:r w:rsidR="00F01CF0" w:rsidRPr="0090438F">
        <w:rPr>
          <w:rFonts w:ascii="Calibri" w:hAnsi="Calibri"/>
          <w:b/>
          <w:color w:val="4F81BD" w:themeColor="accent1"/>
        </w:rPr>
        <w:t xml:space="preserve"> and inclusion</w:t>
      </w:r>
      <w:r w:rsidR="00C36CB6" w:rsidRPr="0090438F">
        <w:rPr>
          <w:rFonts w:ascii="Calibri" w:hAnsi="Calibri"/>
        </w:rPr>
        <w:t xml:space="preserve"> in designing and implementing NAPs, together with a whole-of-government approach that involves political leaders, legislators, policy-makers and officials at all levels of government, and across ministries and agencies.</w:t>
      </w:r>
      <w:r w:rsidR="00E03D99" w:rsidRPr="0090438F">
        <w:rPr>
          <w:rFonts w:ascii="Calibri" w:hAnsi="Calibri"/>
        </w:rPr>
        <w:t xml:space="preserve"> Governments retain primary respo</w:t>
      </w:r>
      <w:r w:rsidR="005E4AD1" w:rsidRPr="0090438F">
        <w:rPr>
          <w:rFonts w:ascii="Calibri" w:hAnsi="Calibri"/>
        </w:rPr>
        <w:t xml:space="preserve">nsibility for implementing NAPs. Women’s ministries, </w:t>
      </w:r>
      <w:r w:rsidR="00E03D99" w:rsidRPr="0090438F">
        <w:rPr>
          <w:rFonts w:ascii="Calibri" w:hAnsi="Calibri"/>
        </w:rPr>
        <w:t xml:space="preserve">national women’s </w:t>
      </w:r>
      <w:r w:rsidR="005E4AD1" w:rsidRPr="0090438F">
        <w:rPr>
          <w:rFonts w:ascii="Calibri" w:hAnsi="Calibri"/>
        </w:rPr>
        <w:t>machineries, and women leaders must lead implementation, supported by the highest levels of government.</w:t>
      </w:r>
      <w:r w:rsidR="00E03D99" w:rsidRPr="0090438F">
        <w:rPr>
          <w:rFonts w:ascii="Calibri" w:hAnsi="Calibri"/>
        </w:rPr>
        <w:t xml:space="preserve"> </w:t>
      </w:r>
      <w:r w:rsidR="005E4AD1" w:rsidRPr="0090438F">
        <w:rPr>
          <w:rFonts w:ascii="Calibri" w:hAnsi="Calibri"/>
        </w:rPr>
        <w:t>The NAP process must take</w:t>
      </w:r>
      <w:r w:rsidR="00E03D99" w:rsidRPr="0090438F">
        <w:rPr>
          <w:rFonts w:ascii="Calibri" w:hAnsi="Calibri"/>
        </w:rPr>
        <w:t xml:space="preserve"> a </w:t>
      </w:r>
      <w:r w:rsidR="00E03D99" w:rsidRPr="0090438F">
        <w:rPr>
          <w:rFonts w:ascii="Calibri" w:hAnsi="Calibri"/>
          <w:b/>
          <w:color w:val="4F81BD" w:themeColor="accent1"/>
        </w:rPr>
        <w:t>holistic, multi-stakeholder and multi-sectoral approach</w:t>
      </w:r>
      <w:r w:rsidR="00E03D99" w:rsidRPr="0090438F">
        <w:rPr>
          <w:rFonts w:ascii="Calibri" w:hAnsi="Calibri"/>
        </w:rPr>
        <w:t xml:space="preserve">. However, governments are not working alone, and the </w:t>
      </w:r>
      <w:r w:rsidR="00E03D99" w:rsidRPr="0090438F">
        <w:rPr>
          <w:rFonts w:ascii="Calibri" w:hAnsi="Calibri"/>
          <w:b/>
          <w:color w:val="4F81BD" w:themeColor="accent1"/>
        </w:rPr>
        <w:t>contributions of civil society must be both recognised and supported</w:t>
      </w:r>
      <w:r w:rsidR="00E03D99" w:rsidRPr="0090438F">
        <w:rPr>
          <w:rFonts w:ascii="Calibri" w:hAnsi="Calibri"/>
        </w:rPr>
        <w:t xml:space="preserve">, via adequate financial and human resources to facilitate their </w:t>
      </w:r>
      <w:r w:rsidR="005E4AD1" w:rsidRPr="0090438F">
        <w:rPr>
          <w:rFonts w:ascii="Calibri" w:hAnsi="Calibri"/>
        </w:rPr>
        <w:t>role i</w:t>
      </w:r>
      <w:r w:rsidR="00E03D99" w:rsidRPr="0090438F">
        <w:rPr>
          <w:rFonts w:ascii="Calibri" w:hAnsi="Calibri"/>
        </w:rPr>
        <w:t xml:space="preserve">n decision-making processes at all levels. </w:t>
      </w:r>
      <w:r w:rsidR="00C36CB6" w:rsidRPr="0090438F">
        <w:rPr>
          <w:rFonts w:ascii="Calibri" w:hAnsi="Calibri"/>
        </w:rPr>
        <w:t xml:space="preserve"> </w:t>
      </w:r>
      <w:r w:rsidRPr="0090438F">
        <w:rPr>
          <w:rFonts w:ascii="Calibri" w:hAnsi="Calibri"/>
        </w:rPr>
        <w:t xml:space="preserve">  </w:t>
      </w:r>
    </w:p>
    <w:p w14:paraId="77752AA3" w14:textId="77777777" w:rsidR="00793F4F" w:rsidRPr="0090438F" w:rsidRDefault="00793F4F" w:rsidP="003B6A14">
      <w:pPr>
        <w:rPr>
          <w:rFonts w:ascii="Calibri" w:hAnsi="Calibri"/>
        </w:rPr>
      </w:pPr>
    </w:p>
    <w:p w14:paraId="4487E81B" w14:textId="77777777" w:rsidR="005E4AD1" w:rsidRPr="0090438F" w:rsidRDefault="005E4AD1" w:rsidP="00B00BCE">
      <w:pPr>
        <w:pStyle w:val="ListParagraph"/>
        <w:spacing w:after="180"/>
        <w:ind w:left="0"/>
        <w:jc w:val="both"/>
        <w:rPr>
          <w:rFonts w:ascii="Calibri" w:eastAsiaTheme="minorHAnsi" w:hAnsi="Calibri" w:cs="Times New Roman"/>
          <w:b/>
          <w:color w:val="1F497D" w:themeColor="text2"/>
          <w:u w:val="single"/>
        </w:rPr>
      </w:pPr>
      <w:r w:rsidRPr="0090438F">
        <w:rPr>
          <w:rFonts w:ascii="Calibri" w:eastAsiaTheme="minorHAnsi" w:hAnsi="Calibri" w:cs="Times New Roman"/>
          <w:b/>
          <w:color w:val="1F497D" w:themeColor="text2"/>
          <w:u w:val="single"/>
        </w:rPr>
        <w:t xml:space="preserve">Recommendation 2: Implement SCR 1325 and the legal framework by increasing women and girls’ meaningful participation and inclusion in the National Action Plan (NAP) process (design, implementation, monitoring and evaluation) </w:t>
      </w:r>
    </w:p>
    <w:p w14:paraId="2CE02E19" w14:textId="77777777" w:rsidR="005E4AD1" w:rsidRPr="0090438F" w:rsidRDefault="005E4AD1" w:rsidP="005E4AD1">
      <w:pPr>
        <w:jc w:val="both"/>
        <w:rPr>
          <w:rFonts w:ascii="Calibri" w:hAnsi="Calibri" w:cs="Times New Roman"/>
        </w:rPr>
      </w:pPr>
    </w:p>
    <w:p w14:paraId="2F554A34" w14:textId="77777777" w:rsidR="005E4AD1" w:rsidRPr="0090438F" w:rsidRDefault="005E4AD1" w:rsidP="00A7184C">
      <w:pPr>
        <w:pStyle w:val="ListParagraph"/>
        <w:numPr>
          <w:ilvl w:val="0"/>
          <w:numId w:val="9"/>
        </w:numPr>
        <w:spacing w:line="360" w:lineRule="auto"/>
        <w:jc w:val="both"/>
        <w:rPr>
          <w:rFonts w:ascii="Calibri" w:hAnsi="Calibri" w:cs="Times New Roman"/>
        </w:rPr>
      </w:pPr>
      <w:r w:rsidRPr="0090438F">
        <w:rPr>
          <w:rFonts w:ascii="Calibri" w:hAnsi="Calibri" w:cs="Times New Roman"/>
        </w:rPr>
        <w:t xml:space="preserve">SCR 1325 National Action Plans (NAPs) must be created with the meaningful participation and inclusion of women and girls and their non-governmental organizations (NGOs) and allies. Women and girls, and their civil society organizations, should be empowered to jointly design, implement, monitor and evaluate NAPs together with governments, development partners, and other stakeholders, including private actors (especially non-state actors involved in post-conflict reconstruction and transitional justice situations). </w:t>
      </w:r>
    </w:p>
    <w:p w14:paraId="760C6D8D" w14:textId="77777777" w:rsidR="005E4AD1" w:rsidRPr="0090438F" w:rsidRDefault="005E4AD1" w:rsidP="005E4AD1">
      <w:pPr>
        <w:pStyle w:val="ListParagraph"/>
        <w:jc w:val="both"/>
        <w:rPr>
          <w:rFonts w:ascii="Calibri" w:hAnsi="Calibri" w:cs="Times New Roman"/>
        </w:rPr>
      </w:pPr>
    </w:p>
    <w:p w14:paraId="55D3B10F" w14:textId="77777777" w:rsidR="005E4AD1" w:rsidRPr="0090438F" w:rsidRDefault="005E4AD1" w:rsidP="00A7184C">
      <w:pPr>
        <w:pStyle w:val="ListParagraph"/>
        <w:spacing w:line="360" w:lineRule="auto"/>
        <w:jc w:val="both"/>
        <w:rPr>
          <w:rFonts w:ascii="Calibri" w:hAnsi="Calibri" w:cs="Times New Roman"/>
        </w:rPr>
      </w:pPr>
      <w:r w:rsidRPr="0090438F">
        <w:rPr>
          <w:rFonts w:ascii="Calibri" w:hAnsi="Calibri" w:cs="Times New Roman"/>
        </w:rPr>
        <w:lastRenderedPageBreak/>
        <w:t xml:space="preserve">An active and engaged civil society plays a key role in ensuring that NAPs are substantively implemented. States must budget for adequate financial and human resources so that the following groups can shape, enforce and continually improve the NAP process: female political leaders, women’s and girls’ organizations, victims and survivors of conflict-related violence, and women, girls, men and boys affected by conflict. </w:t>
      </w:r>
    </w:p>
    <w:p w14:paraId="353C6996" w14:textId="77777777" w:rsidR="005E4AD1" w:rsidRPr="0090438F" w:rsidRDefault="005E4AD1" w:rsidP="005E4AD1">
      <w:pPr>
        <w:jc w:val="both"/>
        <w:rPr>
          <w:rFonts w:ascii="Calibri" w:hAnsi="Calibri" w:cs="Times New Roman"/>
        </w:rPr>
      </w:pPr>
    </w:p>
    <w:p w14:paraId="69AB70DD" w14:textId="77777777" w:rsidR="005E4AD1" w:rsidRPr="0090438F" w:rsidRDefault="005E4AD1" w:rsidP="00B00BCE">
      <w:pPr>
        <w:pStyle w:val="ListParagraph"/>
        <w:spacing w:after="180"/>
        <w:ind w:left="0"/>
        <w:jc w:val="both"/>
        <w:rPr>
          <w:rFonts w:ascii="Calibri" w:eastAsiaTheme="minorHAnsi" w:hAnsi="Calibri" w:cs="Times New Roman"/>
          <w:b/>
          <w:color w:val="1F497D" w:themeColor="text2"/>
          <w:u w:val="single"/>
        </w:rPr>
      </w:pPr>
      <w:r w:rsidRPr="0090438F">
        <w:rPr>
          <w:rFonts w:ascii="Calibri" w:eastAsiaTheme="minorHAnsi" w:hAnsi="Calibri" w:cs="Times New Roman"/>
          <w:b/>
          <w:color w:val="1F497D" w:themeColor="text2"/>
          <w:u w:val="single"/>
        </w:rPr>
        <w:t xml:space="preserve">Recommendation 3: Implement SCR 1325 and the legal framework by ensuring government buy-in at all levels (national, regional, provincial/district and local) and across all of government </w:t>
      </w:r>
    </w:p>
    <w:p w14:paraId="7115B229" w14:textId="77777777" w:rsidR="005E4AD1" w:rsidRPr="0090438F" w:rsidRDefault="005E4AD1" w:rsidP="005E4AD1">
      <w:pPr>
        <w:jc w:val="both"/>
        <w:rPr>
          <w:rFonts w:ascii="Calibri" w:hAnsi="Calibri" w:cs="Times New Roman"/>
          <w:b/>
          <w:i/>
        </w:rPr>
      </w:pPr>
    </w:p>
    <w:p w14:paraId="6860D3F7" w14:textId="77777777" w:rsidR="005E4AD1" w:rsidRPr="0090438F" w:rsidRDefault="005E4AD1" w:rsidP="00A7184C">
      <w:pPr>
        <w:pStyle w:val="ListParagraph"/>
        <w:numPr>
          <w:ilvl w:val="0"/>
          <w:numId w:val="9"/>
        </w:numPr>
        <w:spacing w:line="360" w:lineRule="auto"/>
        <w:jc w:val="both"/>
        <w:rPr>
          <w:rFonts w:ascii="Calibri" w:hAnsi="Calibri" w:cs="Times New Roman"/>
          <w:b/>
          <w:i/>
        </w:rPr>
      </w:pPr>
      <w:r w:rsidRPr="0090438F">
        <w:rPr>
          <w:rFonts w:ascii="Calibri" w:hAnsi="Calibri" w:cs="Times New Roman"/>
        </w:rPr>
        <w:t xml:space="preserve">Government buy-in is essential to creating NAPs via a robust process, and to holding states accountable to their obligations under SCR 1325, the other resolutions on WPS, and the entire legal framework. Key decision-makers should lead the NAP process including legislators, policy-makers and political leaders, especially women, supported by the highest levels of government. The NAP process should involve all levels of government (national, regional, provincial/district and local government, including urban and rural authorities). </w:t>
      </w:r>
    </w:p>
    <w:p w14:paraId="65B09B59" w14:textId="77777777" w:rsidR="005E4AD1" w:rsidRPr="0090438F" w:rsidRDefault="005E4AD1" w:rsidP="005E4AD1">
      <w:pPr>
        <w:pStyle w:val="ListParagraph"/>
        <w:jc w:val="both"/>
        <w:rPr>
          <w:rFonts w:ascii="Calibri" w:hAnsi="Calibri" w:cs="Times New Roman"/>
          <w:b/>
          <w:i/>
        </w:rPr>
      </w:pPr>
    </w:p>
    <w:p w14:paraId="43447F65" w14:textId="77777777" w:rsidR="005E4AD1" w:rsidRPr="0090438F" w:rsidRDefault="005E4AD1" w:rsidP="00A7184C">
      <w:pPr>
        <w:pStyle w:val="ListParagraph"/>
        <w:numPr>
          <w:ilvl w:val="0"/>
          <w:numId w:val="9"/>
        </w:numPr>
        <w:spacing w:line="360" w:lineRule="auto"/>
        <w:jc w:val="both"/>
        <w:rPr>
          <w:rFonts w:ascii="Calibri" w:hAnsi="Calibri" w:cs="Times New Roman"/>
          <w:b/>
          <w:i/>
        </w:rPr>
      </w:pPr>
      <w:r w:rsidRPr="0090438F">
        <w:rPr>
          <w:rFonts w:ascii="Calibri" w:hAnsi="Calibri" w:cs="Times New Roman"/>
        </w:rPr>
        <w:t xml:space="preserve">The NAP process should take a multi-stakeholder, multi-sectoral cross-government approach, and provide adequate financial and human resources to involve the following government bodies: women’s and children’s ministries; national women’s machineries and government bodies dealing with children’s rights e.g. children’s commissions; national human rights institutions; truth and reconciliation commissions and other transitional justice bodies; and ministries and agencies responsible for: justice, security, peace and reconstruction, migration, economic and social development, labour and employment, education, foreign affairs, and all issues relevant to the legal framework.  It should budget for adequate financial and human resources build political will across of all relevant levels of government, especially women leaders. </w:t>
      </w:r>
    </w:p>
    <w:p w14:paraId="35D82C45" w14:textId="77777777" w:rsidR="005E4AD1" w:rsidRDefault="005E4AD1" w:rsidP="005E4AD1">
      <w:pPr>
        <w:jc w:val="both"/>
        <w:rPr>
          <w:rFonts w:ascii="Calibri" w:hAnsi="Calibri" w:cs="Times New Roman"/>
        </w:rPr>
      </w:pPr>
    </w:p>
    <w:p w14:paraId="36697E9E" w14:textId="77777777" w:rsidR="005C68CA" w:rsidRDefault="005C68CA" w:rsidP="005C68CA">
      <w:pPr>
        <w:widowControl w:val="0"/>
        <w:autoSpaceDE w:val="0"/>
        <w:autoSpaceDN w:val="0"/>
        <w:adjustRightInd w:val="0"/>
        <w:jc w:val="both"/>
        <w:rPr>
          <w:rFonts w:ascii="Calibri" w:hAnsi="Calibri" w:cs="Arial"/>
        </w:rPr>
      </w:pPr>
    </w:p>
    <w:p w14:paraId="69353650" w14:textId="77777777" w:rsidR="004E5EBC" w:rsidRDefault="004E5EBC" w:rsidP="004E5EBC">
      <w:pPr>
        <w:widowControl w:val="0"/>
        <w:autoSpaceDE w:val="0"/>
        <w:autoSpaceDN w:val="0"/>
        <w:adjustRightInd w:val="0"/>
        <w:jc w:val="both"/>
        <w:rPr>
          <w:rFonts w:ascii="Calibri" w:hAnsi="Calibri" w:cs="Arial"/>
        </w:rPr>
      </w:pPr>
    </w:p>
    <w:p w14:paraId="397192A6" w14:textId="77777777" w:rsidR="004E5EBC" w:rsidRDefault="004E5EBC" w:rsidP="004E5EBC">
      <w:pPr>
        <w:rPr>
          <w:rFonts w:ascii="Calibri" w:hAnsi="Calibri" w:cs="Arial"/>
        </w:rPr>
      </w:pPr>
      <w:r>
        <w:rPr>
          <w:rFonts w:ascii="Calibri" w:hAnsi="Calibri" w:cs="Arial"/>
        </w:rPr>
        <w:br w:type="page"/>
      </w:r>
    </w:p>
    <w:p w14:paraId="5513C03F" w14:textId="2415CCDC" w:rsidR="004E5EBC" w:rsidRPr="003742A9" w:rsidRDefault="004E5EBC" w:rsidP="0090438F">
      <w:pPr>
        <w:pStyle w:val="Heading1"/>
        <w:keepLines/>
        <w:spacing w:before="360" w:after="0"/>
        <w:jc w:val="center"/>
        <w:rPr>
          <w:color w:val="4F81BD" w:themeColor="accent1"/>
          <w:spacing w:val="20"/>
          <w:kern w:val="0"/>
          <w:szCs w:val="28"/>
          <w:lang w:val="en-GB"/>
        </w:rPr>
      </w:pPr>
      <w:bookmarkStart w:id="22" w:name="_Toc416867100"/>
      <w:r w:rsidRPr="003742A9">
        <w:rPr>
          <w:color w:val="4F81BD" w:themeColor="accent1"/>
          <w:spacing w:val="20"/>
          <w:kern w:val="0"/>
          <w:szCs w:val="28"/>
          <w:lang w:val="en-GB"/>
        </w:rPr>
        <w:lastRenderedPageBreak/>
        <w:t xml:space="preserve">SECTION 3: </w:t>
      </w:r>
      <w:r w:rsidR="00B66B32" w:rsidRPr="003742A9">
        <w:rPr>
          <w:color w:val="4F81BD" w:themeColor="accent1"/>
          <w:spacing w:val="20"/>
          <w:kern w:val="0"/>
          <w:szCs w:val="28"/>
          <w:lang w:val="en-GB"/>
        </w:rPr>
        <w:t xml:space="preserve">RE-ENVISIONING </w:t>
      </w:r>
      <w:r w:rsidRPr="003742A9">
        <w:rPr>
          <w:color w:val="4F81BD" w:themeColor="accent1"/>
          <w:spacing w:val="20"/>
          <w:kern w:val="0"/>
          <w:szCs w:val="28"/>
          <w:lang w:val="en-GB"/>
        </w:rPr>
        <w:t xml:space="preserve">REMEDIES – </w:t>
      </w:r>
      <w:r w:rsidR="00EF479B" w:rsidRPr="003742A9">
        <w:rPr>
          <w:color w:val="4F81BD" w:themeColor="accent1"/>
          <w:spacing w:val="20"/>
          <w:kern w:val="0"/>
          <w:szCs w:val="28"/>
          <w:lang w:val="en-GB"/>
        </w:rPr>
        <w:t xml:space="preserve">IMPROVING </w:t>
      </w:r>
      <w:r w:rsidR="00B66B32" w:rsidRPr="003742A9">
        <w:rPr>
          <w:color w:val="4F81BD" w:themeColor="accent1"/>
          <w:spacing w:val="20"/>
          <w:kern w:val="0"/>
          <w:szCs w:val="28"/>
          <w:lang w:val="en-GB"/>
        </w:rPr>
        <w:t xml:space="preserve">EXISTING UN </w:t>
      </w:r>
      <w:r w:rsidR="00616F81" w:rsidRPr="003742A9">
        <w:rPr>
          <w:color w:val="4F81BD" w:themeColor="accent1"/>
          <w:spacing w:val="20"/>
          <w:kern w:val="0"/>
          <w:szCs w:val="28"/>
          <w:lang w:val="en-GB"/>
        </w:rPr>
        <w:t xml:space="preserve">MONITORING AND ACCOUNTABILITY </w:t>
      </w:r>
      <w:r w:rsidR="00194BCA" w:rsidRPr="003742A9">
        <w:rPr>
          <w:color w:val="4F81BD" w:themeColor="accent1"/>
          <w:spacing w:val="20"/>
          <w:kern w:val="0"/>
          <w:szCs w:val="28"/>
          <w:lang w:val="en-GB"/>
        </w:rPr>
        <w:t>PROCESSES</w:t>
      </w:r>
      <w:r w:rsidR="00765944" w:rsidRPr="003742A9">
        <w:rPr>
          <w:color w:val="4F81BD" w:themeColor="accent1"/>
          <w:spacing w:val="20"/>
          <w:kern w:val="0"/>
          <w:szCs w:val="28"/>
          <w:lang w:val="en-GB"/>
        </w:rPr>
        <w:t xml:space="preserve"> </w:t>
      </w:r>
      <w:r w:rsidRPr="003742A9">
        <w:rPr>
          <w:color w:val="4F81BD" w:themeColor="accent1"/>
          <w:spacing w:val="20"/>
          <w:kern w:val="0"/>
          <w:szCs w:val="28"/>
          <w:lang w:val="en-GB"/>
        </w:rPr>
        <w:t xml:space="preserve">AND </w:t>
      </w:r>
      <w:r w:rsidR="00616F81" w:rsidRPr="003742A9">
        <w:rPr>
          <w:color w:val="4F81BD" w:themeColor="accent1"/>
          <w:spacing w:val="20"/>
          <w:kern w:val="0"/>
          <w:szCs w:val="28"/>
          <w:lang w:val="en-GB"/>
        </w:rPr>
        <w:t xml:space="preserve">PROVIDING </w:t>
      </w:r>
      <w:r w:rsidR="00B66B32" w:rsidRPr="003742A9">
        <w:rPr>
          <w:color w:val="4F81BD" w:themeColor="accent1"/>
          <w:spacing w:val="20"/>
          <w:kern w:val="0"/>
          <w:szCs w:val="28"/>
          <w:lang w:val="en-GB"/>
        </w:rPr>
        <w:t>TRANSFORMATIVE REMEDIES</w:t>
      </w:r>
      <w:bookmarkEnd w:id="22"/>
    </w:p>
    <w:p w14:paraId="7A8189AD" w14:textId="5DF4C1A1" w:rsidR="001F7E33" w:rsidRPr="0090438F" w:rsidRDefault="00ED0533" w:rsidP="00A7184C">
      <w:pPr>
        <w:spacing w:before="100" w:beforeAutospacing="1" w:after="100" w:afterAutospacing="1" w:line="360" w:lineRule="auto"/>
        <w:jc w:val="both"/>
        <w:rPr>
          <w:rFonts w:ascii="Calibri" w:hAnsi="Calibri"/>
        </w:rPr>
      </w:pPr>
      <w:r w:rsidRPr="0090438F">
        <w:rPr>
          <w:rFonts w:ascii="Calibri" w:hAnsi="Calibri"/>
        </w:rPr>
        <w:t xml:space="preserve">Section 3 </w:t>
      </w:r>
      <w:r w:rsidR="00DB6A68" w:rsidRPr="0090438F">
        <w:rPr>
          <w:rFonts w:ascii="Calibri" w:hAnsi="Calibri"/>
        </w:rPr>
        <w:t xml:space="preserve">of this submission considers the </w:t>
      </w:r>
      <w:r w:rsidR="00DB6A68" w:rsidRPr="0090438F">
        <w:rPr>
          <w:rFonts w:ascii="Calibri" w:hAnsi="Calibri"/>
          <w:b/>
          <w:color w:val="4F81BD" w:themeColor="accent1"/>
        </w:rPr>
        <w:t>monitoring and accountability processes</w:t>
      </w:r>
      <w:r w:rsidR="00CA5BBE" w:rsidRPr="0090438F">
        <w:rPr>
          <w:rFonts w:ascii="Calibri" w:hAnsi="Calibri"/>
        </w:rPr>
        <w:t xml:space="preserve">, and </w:t>
      </w:r>
      <w:r w:rsidR="00CA5BBE" w:rsidRPr="0090438F">
        <w:rPr>
          <w:rFonts w:ascii="Calibri" w:hAnsi="Calibri"/>
          <w:b/>
          <w:color w:val="4F81BD" w:themeColor="accent1"/>
        </w:rPr>
        <w:t>avenues for remedies</w:t>
      </w:r>
      <w:r w:rsidR="00CA5BBE" w:rsidRPr="0090438F">
        <w:rPr>
          <w:rFonts w:ascii="Calibri" w:hAnsi="Calibri"/>
        </w:rPr>
        <w:t xml:space="preserve">, </w:t>
      </w:r>
      <w:r w:rsidR="00DF056B" w:rsidRPr="0090438F">
        <w:rPr>
          <w:rFonts w:ascii="Calibri" w:hAnsi="Calibri"/>
        </w:rPr>
        <w:t xml:space="preserve">relevant to </w:t>
      </w:r>
      <w:r w:rsidR="008D2530" w:rsidRPr="0090438F">
        <w:rPr>
          <w:rFonts w:ascii="Calibri" w:hAnsi="Calibri"/>
        </w:rPr>
        <w:t>Security Council Resolution 1325 (SCR 1325)</w:t>
      </w:r>
      <w:r w:rsidR="008D2530" w:rsidRPr="0090438F">
        <w:rPr>
          <w:rStyle w:val="FootnoteReference"/>
          <w:rFonts w:ascii="Calibri" w:hAnsi="Calibri"/>
        </w:rPr>
        <w:footnoteReference w:id="256"/>
      </w:r>
      <w:r w:rsidR="008D2530" w:rsidRPr="0090438F">
        <w:rPr>
          <w:rFonts w:ascii="Calibri" w:hAnsi="Calibri"/>
        </w:rPr>
        <w:t xml:space="preserve"> and </w:t>
      </w:r>
      <w:r w:rsidR="00DF056B" w:rsidRPr="0090438F">
        <w:rPr>
          <w:rFonts w:ascii="Calibri" w:hAnsi="Calibri"/>
        </w:rPr>
        <w:t>t</w:t>
      </w:r>
      <w:r w:rsidR="00DB6A68" w:rsidRPr="0090438F">
        <w:rPr>
          <w:rFonts w:ascii="Calibri" w:hAnsi="Calibri"/>
        </w:rPr>
        <w:t xml:space="preserve">he legal framework on women, peace and security (WPS) </w:t>
      </w:r>
      <w:r w:rsidR="00CA5BBE" w:rsidRPr="0090438F">
        <w:rPr>
          <w:rFonts w:ascii="Calibri" w:hAnsi="Calibri"/>
        </w:rPr>
        <w:t>outlined</w:t>
      </w:r>
      <w:r w:rsidR="00DB6A68" w:rsidRPr="0090438F">
        <w:rPr>
          <w:rFonts w:ascii="Calibri" w:hAnsi="Calibri"/>
        </w:rPr>
        <w:t xml:space="preserve"> in Section 1. </w:t>
      </w:r>
      <w:r w:rsidR="00DF056B" w:rsidRPr="0090438F">
        <w:rPr>
          <w:rFonts w:ascii="Calibri" w:hAnsi="Calibri"/>
        </w:rPr>
        <w:t xml:space="preserve">The current patchwork of </w:t>
      </w:r>
      <w:r w:rsidR="007D3ED3" w:rsidRPr="0090438F">
        <w:rPr>
          <w:rFonts w:ascii="Calibri" w:hAnsi="Calibri"/>
        </w:rPr>
        <w:t>processes</w:t>
      </w:r>
      <w:r w:rsidR="00DF056B" w:rsidRPr="0090438F">
        <w:rPr>
          <w:rFonts w:ascii="Calibri" w:hAnsi="Calibri"/>
        </w:rPr>
        <w:t xml:space="preserve"> at the United Nations (UN) to monitor states’ progress on achieving their obligations under the legal framework is fragmented</w:t>
      </w:r>
      <w:r w:rsidR="00175F42" w:rsidRPr="0090438F">
        <w:rPr>
          <w:rFonts w:ascii="Calibri" w:hAnsi="Calibri"/>
        </w:rPr>
        <w:t xml:space="preserve">, </w:t>
      </w:r>
      <w:r w:rsidR="00A072CA" w:rsidRPr="0090438F">
        <w:rPr>
          <w:rFonts w:ascii="Calibri" w:hAnsi="Calibri"/>
        </w:rPr>
        <w:t>with inadequate f</w:t>
      </w:r>
      <w:r w:rsidR="00DF056B" w:rsidRPr="0090438F">
        <w:rPr>
          <w:rFonts w:ascii="Calibri" w:hAnsi="Calibri"/>
        </w:rPr>
        <w:t xml:space="preserve">inancial and human resources. </w:t>
      </w:r>
      <w:r w:rsidR="001F7E33" w:rsidRPr="0090438F">
        <w:rPr>
          <w:rFonts w:ascii="Calibri" w:hAnsi="Calibri"/>
        </w:rPr>
        <w:t xml:space="preserve">The fragmentation and lack of resourcing for these processes must be addressed, to </w:t>
      </w:r>
      <w:r w:rsidR="00616F81" w:rsidRPr="0090438F">
        <w:rPr>
          <w:rFonts w:ascii="Calibri" w:hAnsi="Calibri"/>
        </w:rPr>
        <w:t>enable access for</w:t>
      </w:r>
      <w:r w:rsidR="001F7E33" w:rsidRPr="0090438F">
        <w:rPr>
          <w:rFonts w:ascii="Calibri" w:hAnsi="Calibri"/>
        </w:rPr>
        <w:t xml:space="preserve"> women and girls’ to </w:t>
      </w:r>
      <w:r w:rsidR="007D3ED3" w:rsidRPr="0090438F">
        <w:rPr>
          <w:rFonts w:ascii="Calibri" w:hAnsi="Calibri"/>
        </w:rPr>
        <w:t xml:space="preserve">hold states accountable to </w:t>
      </w:r>
      <w:r w:rsidR="00370DC0" w:rsidRPr="0090438F">
        <w:rPr>
          <w:rFonts w:ascii="Calibri" w:hAnsi="Calibri"/>
        </w:rPr>
        <w:t xml:space="preserve">their commitments under the legal framework, and </w:t>
      </w:r>
      <w:r w:rsidR="007D3ED3" w:rsidRPr="0090438F">
        <w:rPr>
          <w:rFonts w:ascii="Calibri" w:hAnsi="Calibri"/>
        </w:rPr>
        <w:t>to end impunity for all</w:t>
      </w:r>
      <w:r w:rsidR="00370DC0" w:rsidRPr="0090438F">
        <w:rPr>
          <w:rFonts w:ascii="Calibri" w:hAnsi="Calibri"/>
        </w:rPr>
        <w:t xml:space="preserve"> </w:t>
      </w:r>
      <w:r w:rsidR="003741BB" w:rsidRPr="0090438F">
        <w:rPr>
          <w:rFonts w:ascii="Calibri" w:hAnsi="Calibri"/>
        </w:rPr>
        <w:t>those</w:t>
      </w:r>
      <w:r w:rsidR="00370DC0" w:rsidRPr="0090438F">
        <w:rPr>
          <w:rFonts w:ascii="Calibri" w:hAnsi="Calibri"/>
        </w:rPr>
        <w:t xml:space="preserve"> </w:t>
      </w:r>
      <w:r w:rsidR="007D3ED3" w:rsidRPr="0090438F">
        <w:rPr>
          <w:rFonts w:ascii="Calibri" w:hAnsi="Calibri"/>
        </w:rPr>
        <w:t>responsible for rights violations</w:t>
      </w:r>
      <w:r w:rsidR="001F7E33" w:rsidRPr="0090438F">
        <w:rPr>
          <w:rFonts w:ascii="Calibri" w:hAnsi="Calibri"/>
        </w:rPr>
        <w:t xml:space="preserve">. </w:t>
      </w:r>
      <w:r w:rsidR="003829A3" w:rsidRPr="0090438F">
        <w:rPr>
          <w:rFonts w:ascii="Calibri" w:hAnsi="Calibri"/>
        </w:rPr>
        <w:t>R</w:t>
      </w:r>
      <w:r w:rsidR="00175F42" w:rsidRPr="0090438F">
        <w:rPr>
          <w:rFonts w:ascii="Calibri" w:hAnsi="Calibri"/>
        </w:rPr>
        <w:t xml:space="preserve">emedies at the UN and elsewhere are also considered, </w:t>
      </w:r>
      <w:r w:rsidR="00370DC0" w:rsidRPr="0090438F">
        <w:rPr>
          <w:rFonts w:ascii="Calibri" w:hAnsi="Calibri"/>
        </w:rPr>
        <w:t xml:space="preserve">in light of the legal framework’s </w:t>
      </w:r>
      <w:r w:rsidR="00616F81" w:rsidRPr="0090438F">
        <w:rPr>
          <w:rFonts w:ascii="Calibri" w:hAnsi="Calibri"/>
        </w:rPr>
        <w:t>guarantee</w:t>
      </w:r>
      <w:r w:rsidR="003741BB" w:rsidRPr="0090438F">
        <w:rPr>
          <w:rFonts w:ascii="Calibri" w:hAnsi="Calibri"/>
        </w:rPr>
        <w:t xml:space="preserve"> of substantive and</w:t>
      </w:r>
      <w:r w:rsidR="005E76A5" w:rsidRPr="0090438F">
        <w:rPr>
          <w:rFonts w:ascii="Calibri" w:hAnsi="Calibri"/>
        </w:rPr>
        <w:t xml:space="preserve"> transformative equality, especially under the Convention on the Elimination of All Forms of Discrimination Against Women 1979 (CEDAW)</w:t>
      </w:r>
      <w:r w:rsidR="008D2530" w:rsidRPr="0090438F">
        <w:rPr>
          <w:rStyle w:val="FootnoteReference"/>
          <w:rFonts w:ascii="Calibri" w:hAnsi="Calibri"/>
        </w:rPr>
        <w:footnoteReference w:id="257"/>
      </w:r>
      <w:r w:rsidR="005E76A5" w:rsidRPr="0090438F">
        <w:rPr>
          <w:rFonts w:ascii="Calibri" w:hAnsi="Calibri"/>
        </w:rPr>
        <w:t xml:space="preserve"> </w:t>
      </w:r>
      <w:r w:rsidR="00BD3456" w:rsidRPr="0090438F">
        <w:rPr>
          <w:rFonts w:ascii="Calibri" w:hAnsi="Calibri"/>
        </w:rPr>
        <w:t xml:space="preserve">and its General Recommendation No. 30 on women in conflict prevention, conflict and post-conflict situations (CEDAW GR No. 30) </w:t>
      </w:r>
      <w:r w:rsidR="00175F42" w:rsidRPr="0090438F">
        <w:rPr>
          <w:rFonts w:ascii="Calibri" w:hAnsi="Calibri"/>
        </w:rPr>
        <w:t>(</w:t>
      </w:r>
      <w:r w:rsidR="00616F81" w:rsidRPr="0090438F">
        <w:rPr>
          <w:rFonts w:ascii="Calibri" w:hAnsi="Calibri"/>
        </w:rPr>
        <w:t xml:space="preserve">see </w:t>
      </w:r>
      <w:r w:rsidR="00A072CA" w:rsidRPr="0090438F">
        <w:rPr>
          <w:rFonts w:ascii="Calibri" w:hAnsi="Calibri"/>
        </w:rPr>
        <w:t>Section 1</w:t>
      </w:r>
      <w:r w:rsidR="00175F42" w:rsidRPr="0090438F">
        <w:rPr>
          <w:rFonts w:ascii="Calibri" w:hAnsi="Calibri"/>
        </w:rPr>
        <w:t xml:space="preserve">). </w:t>
      </w:r>
      <w:r w:rsidR="00616F81" w:rsidRPr="0090438F">
        <w:rPr>
          <w:rFonts w:ascii="Calibri" w:hAnsi="Calibri"/>
        </w:rPr>
        <w:t>The UN’s existing processes may need to be supplemented by transformative remedies for women and girl v</w:t>
      </w:r>
      <w:r w:rsidR="003741BB" w:rsidRPr="0090438F">
        <w:rPr>
          <w:rFonts w:ascii="Calibri" w:hAnsi="Calibri"/>
        </w:rPr>
        <w:t>ictims of rights violations.</w:t>
      </w:r>
    </w:p>
    <w:p w14:paraId="2ADE4943" w14:textId="696C30EF" w:rsidR="005E76A5" w:rsidRPr="0090438F" w:rsidRDefault="001F7E33" w:rsidP="00A7184C">
      <w:pPr>
        <w:spacing w:before="100" w:beforeAutospacing="1" w:after="100" w:afterAutospacing="1" w:line="360" w:lineRule="auto"/>
        <w:jc w:val="both"/>
        <w:rPr>
          <w:rFonts w:ascii="Calibri" w:hAnsi="Calibri"/>
        </w:rPr>
      </w:pPr>
      <w:r w:rsidRPr="0090438F">
        <w:rPr>
          <w:rFonts w:ascii="Calibri" w:hAnsi="Calibri"/>
        </w:rPr>
        <w:t>T</w:t>
      </w:r>
      <w:r w:rsidR="00DF056B" w:rsidRPr="0090438F">
        <w:rPr>
          <w:rFonts w:ascii="Calibri" w:hAnsi="Calibri"/>
        </w:rPr>
        <w:t>h</w:t>
      </w:r>
      <w:r w:rsidR="004849D9" w:rsidRPr="0090438F">
        <w:rPr>
          <w:rFonts w:ascii="Calibri" w:hAnsi="Calibri"/>
        </w:rPr>
        <w:t xml:space="preserve">ree </w:t>
      </w:r>
      <w:r w:rsidR="004849D9" w:rsidRPr="0090438F">
        <w:rPr>
          <w:rFonts w:ascii="Calibri" w:hAnsi="Calibri"/>
          <w:b/>
          <w:color w:val="4F81BD" w:themeColor="accent1"/>
        </w:rPr>
        <w:t>UN</w:t>
      </w:r>
      <w:r w:rsidR="00120146" w:rsidRPr="0090438F">
        <w:rPr>
          <w:rFonts w:ascii="Calibri" w:hAnsi="Calibri"/>
          <w:b/>
          <w:color w:val="4F81BD" w:themeColor="accent1"/>
        </w:rPr>
        <w:t xml:space="preserve"> monitoring and accountability</w:t>
      </w:r>
      <w:r w:rsidRPr="0090438F">
        <w:rPr>
          <w:rFonts w:ascii="Calibri" w:hAnsi="Calibri"/>
          <w:b/>
          <w:color w:val="4F81BD" w:themeColor="accent1"/>
        </w:rPr>
        <w:t xml:space="preserve"> </w:t>
      </w:r>
      <w:r w:rsidR="00DF056B" w:rsidRPr="0090438F">
        <w:rPr>
          <w:rFonts w:ascii="Calibri" w:hAnsi="Calibri"/>
          <w:b/>
          <w:color w:val="4F81BD" w:themeColor="accent1"/>
        </w:rPr>
        <w:t>proce</w:t>
      </w:r>
      <w:r w:rsidRPr="0090438F">
        <w:rPr>
          <w:rFonts w:ascii="Calibri" w:hAnsi="Calibri"/>
          <w:b/>
          <w:color w:val="4F81BD" w:themeColor="accent1"/>
        </w:rPr>
        <w:t>sses</w:t>
      </w:r>
      <w:r w:rsidRPr="0090438F">
        <w:rPr>
          <w:rFonts w:ascii="Calibri" w:hAnsi="Calibri"/>
        </w:rPr>
        <w:t xml:space="preserve"> are considered in </w:t>
      </w:r>
      <w:r w:rsidR="001B4D62" w:rsidRPr="0090438F">
        <w:rPr>
          <w:rFonts w:ascii="Calibri" w:hAnsi="Calibri"/>
        </w:rPr>
        <w:t>terms</w:t>
      </w:r>
      <w:r w:rsidRPr="0090438F">
        <w:rPr>
          <w:rFonts w:ascii="Calibri" w:hAnsi="Calibri"/>
        </w:rPr>
        <w:t xml:space="preserve"> of their relevance to</w:t>
      </w:r>
      <w:r w:rsidR="008D2530" w:rsidRPr="0090438F">
        <w:rPr>
          <w:rFonts w:ascii="Calibri" w:hAnsi="Calibri"/>
        </w:rPr>
        <w:t xml:space="preserve"> </w:t>
      </w:r>
      <w:r w:rsidR="0044651F" w:rsidRPr="0090438F">
        <w:rPr>
          <w:rFonts w:ascii="Calibri" w:hAnsi="Calibri"/>
        </w:rPr>
        <w:t>tracking states’ progress in implementing their obligations under</w:t>
      </w:r>
      <w:r w:rsidR="008D2530" w:rsidRPr="0090438F">
        <w:rPr>
          <w:rFonts w:ascii="Calibri" w:hAnsi="Calibri"/>
        </w:rPr>
        <w:t xml:space="preserve"> SCR 1325 and</w:t>
      </w:r>
      <w:r w:rsidRPr="0090438F">
        <w:rPr>
          <w:rFonts w:ascii="Calibri" w:hAnsi="Calibri"/>
        </w:rPr>
        <w:t xml:space="preserve"> the legal framework, </w:t>
      </w:r>
      <w:r w:rsidR="008D2530" w:rsidRPr="0090438F">
        <w:rPr>
          <w:rFonts w:ascii="Calibri" w:hAnsi="Calibri"/>
        </w:rPr>
        <w:t>and their facilitation of access to justice</w:t>
      </w:r>
      <w:r w:rsidR="0044651F" w:rsidRPr="0090438F">
        <w:rPr>
          <w:rFonts w:ascii="Calibri" w:hAnsi="Calibri"/>
        </w:rPr>
        <w:t xml:space="preserve"> to provide </w:t>
      </w:r>
      <w:r w:rsidR="0044651F" w:rsidRPr="0090438F">
        <w:rPr>
          <w:rFonts w:ascii="Calibri" w:hAnsi="Calibri"/>
          <w:b/>
          <w:color w:val="4F81BD" w:themeColor="accent1"/>
        </w:rPr>
        <w:t>substantive equality</w:t>
      </w:r>
      <w:r w:rsidR="0044651F" w:rsidRPr="0090438F">
        <w:rPr>
          <w:rFonts w:ascii="Calibri" w:hAnsi="Calibri"/>
        </w:rPr>
        <w:t xml:space="preserve"> </w:t>
      </w:r>
      <w:r w:rsidR="003741BB" w:rsidRPr="0090438F">
        <w:rPr>
          <w:rFonts w:ascii="Calibri" w:hAnsi="Calibri"/>
        </w:rPr>
        <w:t>under</w:t>
      </w:r>
      <w:r w:rsidR="0044651F" w:rsidRPr="0090438F">
        <w:rPr>
          <w:rFonts w:ascii="Calibri" w:hAnsi="Calibri"/>
        </w:rPr>
        <w:t xml:space="preserve"> the legal framework</w:t>
      </w:r>
      <w:r w:rsidR="009A5909" w:rsidRPr="0090438F">
        <w:rPr>
          <w:rFonts w:ascii="Calibri" w:hAnsi="Calibri"/>
        </w:rPr>
        <w:t xml:space="preserve">. These include </w:t>
      </w:r>
      <w:r w:rsidR="008D2530" w:rsidRPr="0090438F">
        <w:rPr>
          <w:rFonts w:ascii="Calibri" w:hAnsi="Calibri"/>
        </w:rPr>
        <w:t>t</w:t>
      </w:r>
      <w:r w:rsidR="005E76A5" w:rsidRPr="0090438F">
        <w:rPr>
          <w:rFonts w:ascii="Calibri" w:hAnsi="Calibri"/>
        </w:rPr>
        <w:t>he Universal Periodic Review (U</w:t>
      </w:r>
      <w:r w:rsidR="00C648C8" w:rsidRPr="0090438F">
        <w:rPr>
          <w:rFonts w:ascii="Calibri" w:hAnsi="Calibri"/>
        </w:rPr>
        <w:t>PR</w:t>
      </w:r>
      <w:r w:rsidR="00267552" w:rsidRPr="0090438F">
        <w:rPr>
          <w:rFonts w:ascii="Calibri" w:hAnsi="Calibri"/>
        </w:rPr>
        <w:t>) of the Human Rights Council</w:t>
      </w:r>
      <w:r w:rsidR="007B54BE" w:rsidRPr="0090438F">
        <w:rPr>
          <w:rFonts w:ascii="Calibri" w:hAnsi="Calibri"/>
        </w:rPr>
        <w:t>,</w:t>
      </w:r>
      <w:r w:rsidR="00267552" w:rsidRPr="0090438F">
        <w:rPr>
          <w:rFonts w:ascii="Calibri" w:hAnsi="Calibri"/>
        </w:rPr>
        <w:t xml:space="preserve"> </w:t>
      </w:r>
      <w:r w:rsidR="008D2530" w:rsidRPr="0090438F">
        <w:rPr>
          <w:rFonts w:ascii="Calibri" w:hAnsi="Calibri"/>
        </w:rPr>
        <w:t>t</w:t>
      </w:r>
      <w:r w:rsidR="00C648C8" w:rsidRPr="0090438F">
        <w:rPr>
          <w:rFonts w:ascii="Calibri" w:hAnsi="Calibri"/>
        </w:rPr>
        <w:t>he</w:t>
      </w:r>
      <w:r w:rsidR="005E76A5" w:rsidRPr="0090438F">
        <w:rPr>
          <w:rFonts w:ascii="Calibri" w:hAnsi="Calibri"/>
        </w:rPr>
        <w:t xml:space="preserve"> </w:t>
      </w:r>
      <w:r w:rsidR="00C648C8" w:rsidRPr="0090438F">
        <w:rPr>
          <w:rFonts w:ascii="Calibri" w:hAnsi="Calibri"/>
        </w:rPr>
        <w:t>Comm</w:t>
      </w:r>
      <w:r w:rsidR="008D2530" w:rsidRPr="0090438F">
        <w:rPr>
          <w:rFonts w:ascii="Calibri" w:hAnsi="Calibri"/>
        </w:rPr>
        <w:t>ission on the Status of Women</w:t>
      </w:r>
      <w:r w:rsidR="007B54BE" w:rsidRPr="0090438F">
        <w:rPr>
          <w:rFonts w:ascii="Calibri" w:hAnsi="Calibri"/>
        </w:rPr>
        <w:t xml:space="preserve"> (CSW)</w:t>
      </w:r>
      <w:r w:rsidR="009A5909" w:rsidRPr="0090438F">
        <w:rPr>
          <w:rFonts w:ascii="Calibri" w:hAnsi="Calibri"/>
        </w:rPr>
        <w:t xml:space="preserve"> </w:t>
      </w:r>
      <w:r w:rsidR="007B54BE" w:rsidRPr="0090438F">
        <w:rPr>
          <w:rFonts w:ascii="Calibri" w:hAnsi="Calibri"/>
        </w:rPr>
        <w:t xml:space="preserve">and </w:t>
      </w:r>
      <w:r w:rsidR="00120146" w:rsidRPr="0090438F">
        <w:rPr>
          <w:rFonts w:ascii="Calibri" w:hAnsi="Calibri"/>
        </w:rPr>
        <w:t>Committee on the Elimination of Discri</w:t>
      </w:r>
      <w:r w:rsidR="008D2530" w:rsidRPr="0090438F">
        <w:rPr>
          <w:rFonts w:ascii="Calibri" w:hAnsi="Calibri"/>
        </w:rPr>
        <w:t>mination against Women (CEDAW</w:t>
      </w:r>
      <w:r w:rsidR="007B54BE" w:rsidRPr="0090438F">
        <w:rPr>
          <w:rFonts w:ascii="Calibri" w:hAnsi="Calibri"/>
        </w:rPr>
        <w:t xml:space="preserve"> Committee)</w:t>
      </w:r>
      <w:r w:rsidR="008D2530" w:rsidRPr="0090438F">
        <w:rPr>
          <w:rFonts w:ascii="Calibri" w:hAnsi="Calibri"/>
        </w:rPr>
        <w:t>.</w:t>
      </w:r>
      <w:r w:rsidR="00010BAF" w:rsidRPr="0090438F">
        <w:rPr>
          <w:rStyle w:val="FootnoteReference"/>
          <w:rFonts w:ascii="Calibri" w:hAnsi="Calibri"/>
        </w:rPr>
        <w:footnoteReference w:id="258"/>
      </w:r>
      <w:r w:rsidR="008D2530" w:rsidRPr="0090438F">
        <w:rPr>
          <w:rFonts w:ascii="Calibri" w:hAnsi="Calibri"/>
        </w:rPr>
        <w:t xml:space="preserve"> </w:t>
      </w:r>
    </w:p>
    <w:p w14:paraId="171D8861" w14:textId="66691C36" w:rsidR="008D2530" w:rsidRPr="0090438F" w:rsidRDefault="009A5909" w:rsidP="00A7184C">
      <w:pPr>
        <w:spacing w:before="100" w:beforeAutospacing="1" w:after="100" w:afterAutospacing="1" w:line="360" w:lineRule="auto"/>
        <w:jc w:val="both"/>
        <w:rPr>
          <w:rFonts w:ascii="Calibri" w:hAnsi="Calibri"/>
        </w:rPr>
      </w:pPr>
      <w:r w:rsidRPr="0090438F">
        <w:rPr>
          <w:rFonts w:ascii="Calibri" w:hAnsi="Calibri"/>
          <w:b/>
          <w:color w:val="4F81BD" w:themeColor="accent1"/>
        </w:rPr>
        <w:t>T</w:t>
      </w:r>
      <w:r w:rsidR="008D2530" w:rsidRPr="0090438F">
        <w:rPr>
          <w:rFonts w:ascii="Calibri" w:hAnsi="Calibri"/>
          <w:b/>
          <w:color w:val="4F81BD" w:themeColor="accent1"/>
        </w:rPr>
        <w:t>ransformative remedies</w:t>
      </w:r>
      <w:r w:rsidR="008D2530" w:rsidRPr="0090438F">
        <w:rPr>
          <w:rFonts w:ascii="Calibri" w:hAnsi="Calibri"/>
        </w:rPr>
        <w:t xml:space="preserve"> </w:t>
      </w:r>
      <w:r w:rsidR="00120146" w:rsidRPr="0090438F">
        <w:rPr>
          <w:rFonts w:ascii="Calibri" w:hAnsi="Calibri"/>
        </w:rPr>
        <w:t xml:space="preserve">are </w:t>
      </w:r>
      <w:r w:rsidR="003829A3" w:rsidRPr="0090438F">
        <w:rPr>
          <w:rFonts w:ascii="Calibri" w:hAnsi="Calibri"/>
        </w:rPr>
        <w:t>discussed</w:t>
      </w:r>
      <w:r w:rsidR="00120146" w:rsidRPr="0090438F">
        <w:rPr>
          <w:rFonts w:ascii="Calibri" w:hAnsi="Calibri"/>
        </w:rPr>
        <w:t xml:space="preserve"> </w:t>
      </w:r>
      <w:r w:rsidR="008D2530" w:rsidRPr="0090438F">
        <w:rPr>
          <w:rFonts w:ascii="Calibri" w:hAnsi="Calibri"/>
        </w:rPr>
        <w:t xml:space="preserve">in relation to </w:t>
      </w:r>
      <w:r w:rsidR="008D2530" w:rsidRPr="0090438F">
        <w:rPr>
          <w:rFonts w:ascii="Calibri" w:hAnsi="Calibri"/>
          <w:b/>
          <w:color w:val="4F81BD" w:themeColor="accent1"/>
        </w:rPr>
        <w:t>transformative equality</w:t>
      </w:r>
      <w:r w:rsidRPr="0090438F">
        <w:rPr>
          <w:rFonts w:ascii="Calibri" w:hAnsi="Calibri"/>
        </w:rPr>
        <w:t xml:space="preserve">. </w:t>
      </w:r>
      <w:r w:rsidR="00A072CA" w:rsidRPr="0090438F">
        <w:rPr>
          <w:rFonts w:ascii="Calibri" w:hAnsi="Calibri"/>
        </w:rPr>
        <w:t>The</w:t>
      </w:r>
      <w:r w:rsidRPr="0090438F">
        <w:rPr>
          <w:rFonts w:ascii="Calibri" w:hAnsi="Calibri"/>
        </w:rPr>
        <w:t xml:space="preserve"> r</w:t>
      </w:r>
      <w:r w:rsidR="008D2530" w:rsidRPr="0090438F">
        <w:rPr>
          <w:rFonts w:ascii="Calibri" w:hAnsi="Calibri"/>
        </w:rPr>
        <w:t>egional human rights law jurisprudence of the Inter-</w:t>
      </w:r>
      <w:r w:rsidR="00A072CA" w:rsidRPr="0090438F">
        <w:rPr>
          <w:rFonts w:ascii="Calibri" w:hAnsi="Calibri"/>
        </w:rPr>
        <w:t>American Court of Human Rights is considered,</w:t>
      </w:r>
      <w:r w:rsidR="008D2530" w:rsidRPr="0090438F">
        <w:rPr>
          <w:rFonts w:ascii="Calibri" w:hAnsi="Calibri"/>
        </w:rPr>
        <w:t xml:space="preserve"> namely the case of </w:t>
      </w:r>
      <w:r w:rsidR="008D2530" w:rsidRPr="0090438F">
        <w:rPr>
          <w:rFonts w:ascii="Calibri" w:hAnsi="Calibri"/>
          <w:i/>
        </w:rPr>
        <w:t xml:space="preserve">Gonzalez </w:t>
      </w:r>
      <w:r w:rsidR="008D2530" w:rsidRPr="0090438F">
        <w:rPr>
          <w:rFonts w:ascii="Calibri" w:hAnsi="Calibri"/>
          <w:i/>
        </w:rPr>
        <w:lastRenderedPageBreak/>
        <w:t>et al (‘Cotton Field’) v Mexico</w:t>
      </w:r>
      <w:r w:rsidR="008D2530" w:rsidRPr="0090438F">
        <w:rPr>
          <w:rFonts w:ascii="Calibri" w:hAnsi="Calibri"/>
        </w:rPr>
        <w:t>.</w:t>
      </w:r>
      <w:r w:rsidR="00BD3456" w:rsidRPr="0090438F">
        <w:rPr>
          <w:rStyle w:val="FootnoteReference"/>
          <w:rFonts w:ascii="Calibri" w:hAnsi="Calibri"/>
        </w:rPr>
        <w:footnoteReference w:id="259"/>
      </w:r>
      <w:r w:rsidRPr="0090438F">
        <w:rPr>
          <w:rFonts w:ascii="Calibri" w:hAnsi="Calibri"/>
        </w:rPr>
        <w:t xml:space="preserve"> </w:t>
      </w:r>
      <w:r w:rsidR="008D2530" w:rsidRPr="0090438F">
        <w:rPr>
          <w:rFonts w:ascii="Calibri" w:hAnsi="Calibri"/>
        </w:rPr>
        <w:t>The work of the Truth and Reconcilia</w:t>
      </w:r>
      <w:r w:rsidRPr="0090438F">
        <w:rPr>
          <w:rFonts w:ascii="Calibri" w:hAnsi="Calibri"/>
        </w:rPr>
        <w:t>t</w:t>
      </w:r>
      <w:r w:rsidR="0090438F">
        <w:rPr>
          <w:rFonts w:ascii="Calibri" w:hAnsi="Calibri"/>
        </w:rPr>
        <w:t>ion Commission of Sierra Leone</w:t>
      </w:r>
      <w:r w:rsidR="003741BB" w:rsidRPr="0090438F">
        <w:rPr>
          <w:rFonts w:ascii="Calibri" w:hAnsi="Calibri"/>
        </w:rPr>
        <w:t xml:space="preserve"> </w:t>
      </w:r>
      <w:r w:rsidRPr="0090438F">
        <w:rPr>
          <w:rFonts w:ascii="Calibri" w:hAnsi="Calibri"/>
        </w:rPr>
        <w:t xml:space="preserve">is also discussed </w:t>
      </w:r>
      <w:r w:rsidR="00765944" w:rsidRPr="0090438F">
        <w:rPr>
          <w:rFonts w:ascii="Calibri" w:hAnsi="Calibri"/>
        </w:rPr>
        <w:t>in providing transformative remedies for victims of rights violations, especially women</w:t>
      </w:r>
      <w:r w:rsidR="003741BB" w:rsidRPr="0090438F">
        <w:rPr>
          <w:rFonts w:ascii="Calibri" w:hAnsi="Calibri"/>
        </w:rPr>
        <w:t>, girls, their families and communities</w:t>
      </w:r>
      <w:r w:rsidR="00765944" w:rsidRPr="0090438F">
        <w:rPr>
          <w:rFonts w:ascii="Calibri" w:hAnsi="Calibri"/>
        </w:rPr>
        <w:t xml:space="preserve"> </w:t>
      </w:r>
      <w:r w:rsidR="003741BB" w:rsidRPr="0090438F">
        <w:rPr>
          <w:rFonts w:ascii="Calibri" w:hAnsi="Calibri"/>
        </w:rPr>
        <w:t>who are denied access to justice and meaningful redress</w:t>
      </w:r>
      <w:r w:rsidR="00765944" w:rsidRPr="0090438F">
        <w:rPr>
          <w:rFonts w:ascii="Calibri" w:hAnsi="Calibri"/>
        </w:rPr>
        <w:t xml:space="preserve">. </w:t>
      </w:r>
      <w:r w:rsidRPr="0090438F">
        <w:rPr>
          <w:rFonts w:ascii="Calibri" w:hAnsi="Calibri"/>
        </w:rPr>
        <w:t xml:space="preserve"> </w:t>
      </w:r>
    </w:p>
    <w:p w14:paraId="0BC09513" w14:textId="7623AD73" w:rsidR="009A5909" w:rsidRPr="0090438F" w:rsidRDefault="009A5909">
      <w:pPr>
        <w:rPr>
          <w:rFonts w:ascii="Calibri" w:hAnsi="Calibri"/>
        </w:rPr>
      </w:pPr>
      <w:r w:rsidRPr="0090438F">
        <w:rPr>
          <w:rFonts w:ascii="Calibri" w:hAnsi="Calibri"/>
        </w:rPr>
        <w:br w:type="page"/>
      </w:r>
    </w:p>
    <w:p w14:paraId="23A89BAC" w14:textId="7ED7B440" w:rsidR="003330F3" w:rsidRPr="00471761" w:rsidRDefault="003330F3" w:rsidP="003330F3">
      <w:pPr>
        <w:pStyle w:val="Heading3"/>
        <w:keepLines/>
        <w:spacing w:before="20" w:after="0"/>
        <w:jc w:val="center"/>
        <w:rPr>
          <w:b w:val="0"/>
          <w:color w:val="1F497D" w:themeColor="text2"/>
          <w:spacing w:val="14"/>
          <w:sz w:val="32"/>
          <w:szCs w:val="32"/>
          <w:lang w:val="en-GB"/>
        </w:rPr>
      </w:pPr>
      <w:bookmarkStart w:id="23" w:name="_Toc416867101"/>
      <w:r>
        <w:rPr>
          <w:b w:val="0"/>
          <w:color w:val="1F497D" w:themeColor="text2"/>
          <w:spacing w:val="14"/>
          <w:sz w:val="32"/>
          <w:szCs w:val="32"/>
          <w:lang w:val="en-GB"/>
        </w:rPr>
        <w:lastRenderedPageBreak/>
        <w:t>SCR 1325 AND UN MONITORING AND ACCOUNTABILITY PROCESSES</w:t>
      </w:r>
      <w:bookmarkEnd w:id="23"/>
      <w:r>
        <w:rPr>
          <w:b w:val="0"/>
          <w:color w:val="1F497D" w:themeColor="text2"/>
          <w:spacing w:val="14"/>
          <w:sz w:val="32"/>
          <w:szCs w:val="32"/>
          <w:lang w:val="en-GB"/>
        </w:rPr>
        <w:t xml:space="preserve"> </w:t>
      </w:r>
    </w:p>
    <w:p w14:paraId="507058E6" w14:textId="3BC7C639" w:rsidR="00ED0533" w:rsidRPr="00471761" w:rsidRDefault="00ED0533" w:rsidP="00A7184C">
      <w:pPr>
        <w:spacing w:before="100" w:beforeAutospacing="1" w:after="100" w:afterAutospacing="1" w:line="360" w:lineRule="auto"/>
        <w:jc w:val="both"/>
        <w:rPr>
          <w:rFonts w:ascii="Calibri" w:hAnsi="Calibri"/>
        </w:rPr>
      </w:pPr>
      <w:r w:rsidRPr="00471761">
        <w:rPr>
          <w:rFonts w:ascii="Calibri" w:hAnsi="Calibri"/>
        </w:rPr>
        <w:t xml:space="preserve">SCR 1325 does not </w:t>
      </w:r>
      <w:r w:rsidR="00616F81" w:rsidRPr="00471761">
        <w:rPr>
          <w:rFonts w:ascii="Calibri" w:hAnsi="Calibri"/>
        </w:rPr>
        <w:t>have</w:t>
      </w:r>
      <w:r w:rsidRPr="00471761">
        <w:rPr>
          <w:rFonts w:ascii="Calibri" w:hAnsi="Calibri"/>
        </w:rPr>
        <w:t xml:space="preserve"> a mandatory monitoring mechanism </w:t>
      </w:r>
      <w:r w:rsidR="00280629" w:rsidRPr="00471761">
        <w:rPr>
          <w:rFonts w:ascii="Calibri" w:hAnsi="Calibri"/>
        </w:rPr>
        <w:t>to hold</w:t>
      </w:r>
      <w:r w:rsidRPr="00471761">
        <w:rPr>
          <w:rFonts w:ascii="Calibri" w:hAnsi="Calibri"/>
        </w:rPr>
        <w:t xml:space="preserve"> states accountable for </w:t>
      </w:r>
      <w:r w:rsidR="00280629" w:rsidRPr="00471761">
        <w:rPr>
          <w:rFonts w:ascii="Calibri" w:hAnsi="Calibri"/>
        </w:rPr>
        <w:t>implementation, to supplement the voluntary National Action Plan (NAP) process</w:t>
      </w:r>
      <w:r w:rsidR="0025212C" w:rsidRPr="00471761">
        <w:rPr>
          <w:rFonts w:ascii="Calibri" w:hAnsi="Calibri"/>
        </w:rPr>
        <w:t xml:space="preserve"> (see Section 2)</w:t>
      </w:r>
      <w:r w:rsidRPr="00471761">
        <w:rPr>
          <w:rFonts w:ascii="Calibri" w:hAnsi="Calibri"/>
        </w:rPr>
        <w:t>.</w:t>
      </w:r>
      <w:r w:rsidRPr="00471761">
        <w:rPr>
          <w:rStyle w:val="FootnoteReference"/>
          <w:rFonts w:ascii="Calibri" w:hAnsi="Calibri"/>
        </w:rPr>
        <w:footnoteReference w:id="260"/>
      </w:r>
      <w:r w:rsidRPr="00471761">
        <w:rPr>
          <w:rFonts w:ascii="Calibri" w:hAnsi="Calibri"/>
        </w:rPr>
        <w:t xml:space="preserve"> </w:t>
      </w:r>
      <w:r w:rsidR="00B66B32" w:rsidRPr="00471761">
        <w:rPr>
          <w:rFonts w:ascii="Calibri" w:hAnsi="Calibri"/>
        </w:rPr>
        <w:t>There</w:t>
      </w:r>
      <w:r w:rsidR="00DC4486" w:rsidRPr="00471761">
        <w:rPr>
          <w:rFonts w:ascii="Calibri" w:hAnsi="Calibri"/>
        </w:rPr>
        <w:t xml:space="preserve"> are no</w:t>
      </w:r>
      <w:r w:rsidRPr="00471761">
        <w:rPr>
          <w:rFonts w:ascii="Calibri" w:hAnsi="Calibri"/>
        </w:rPr>
        <w:t xml:space="preserve"> established expectations </w:t>
      </w:r>
      <w:r w:rsidR="00B66B32" w:rsidRPr="00471761">
        <w:rPr>
          <w:rFonts w:ascii="Calibri" w:hAnsi="Calibri"/>
        </w:rPr>
        <w:t>for</w:t>
      </w:r>
      <w:r w:rsidR="00DC4486" w:rsidRPr="00471761">
        <w:rPr>
          <w:rFonts w:ascii="Calibri" w:hAnsi="Calibri"/>
        </w:rPr>
        <w:t xml:space="preserve"> </w:t>
      </w:r>
      <w:r w:rsidRPr="00471761">
        <w:rPr>
          <w:rFonts w:ascii="Calibri" w:hAnsi="Calibri"/>
        </w:rPr>
        <w:t xml:space="preserve">states </w:t>
      </w:r>
      <w:r w:rsidR="007F364C" w:rsidRPr="00471761">
        <w:rPr>
          <w:rFonts w:ascii="Calibri" w:hAnsi="Calibri"/>
        </w:rPr>
        <w:t>regarding their enforcement of</w:t>
      </w:r>
      <w:r w:rsidRPr="00471761">
        <w:rPr>
          <w:rFonts w:ascii="Calibri" w:hAnsi="Calibri"/>
        </w:rPr>
        <w:t xml:space="preserve"> SCR 1325</w:t>
      </w:r>
      <w:r w:rsidR="00B66B32" w:rsidRPr="00471761">
        <w:rPr>
          <w:rFonts w:ascii="Calibri" w:hAnsi="Calibri"/>
        </w:rPr>
        <w:t>.</w:t>
      </w:r>
      <w:r w:rsidRPr="00471761">
        <w:rPr>
          <w:rStyle w:val="FootnoteReference"/>
          <w:rFonts w:ascii="Calibri" w:hAnsi="Calibri"/>
        </w:rPr>
        <w:footnoteReference w:id="261"/>
      </w:r>
      <w:r w:rsidR="007B31DF" w:rsidRPr="00471761">
        <w:rPr>
          <w:rFonts w:ascii="Calibri" w:hAnsi="Calibri"/>
        </w:rPr>
        <w:t xml:space="preserve"> </w:t>
      </w:r>
      <w:r w:rsidR="00C65D1A" w:rsidRPr="00471761">
        <w:rPr>
          <w:rFonts w:ascii="Calibri" w:hAnsi="Calibri"/>
        </w:rPr>
        <w:t>However,</w:t>
      </w:r>
      <w:r w:rsidRPr="00471761">
        <w:rPr>
          <w:rFonts w:ascii="Calibri" w:hAnsi="Calibri"/>
        </w:rPr>
        <w:t xml:space="preserve"> the </w:t>
      </w:r>
      <w:r w:rsidRPr="00471761">
        <w:rPr>
          <w:rFonts w:ascii="Calibri" w:hAnsi="Calibri"/>
          <w:b/>
          <w:color w:val="4F81BD" w:themeColor="accent1"/>
        </w:rPr>
        <w:t>effective implementation of SCR 1325 is contingent on adequate monitoring, reporting and reviewing mechanisms</w:t>
      </w:r>
      <w:r w:rsidRPr="00471761">
        <w:rPr>
          <w:rFonts w:ascii="Calibri" w:hAnsi="Calibri"/>
        </w:rPr>
        <w:t>.</w:t>
      </w:r>
      <w:r w:rsidRPr="00471761">
        <w:rPr>
          <w:rStyle w:val="FootnoteReference"/>
          <w:rFonts w:ascii="Calibri" w:hAnsi="Calibri"/>
        </w:rPr>
        <w:footnoteReference w:id="262"/>
      </w:r>
      <w:r w:rsidRPr="00471761">
        <w:rPr>
          <w:rFonts w:ascii="Calibri" w:hAnsi="Calibri"/>
        </w:rPr>
        <w:t xml:space="preserve"> Without such mechanisms, it will prove difficult to </w:t>
      </w:r>
      <w:r w:rsidR="003741BB" w:rsidRPr="00471761">
        <w:rPr>
          <w:rFonts w:ascii="Calibri" w:hAnsi="Calibri"/>
        </w:rPr>
        <w:t>track</w:t>
      </w:r>
      <w:r w:rsidRPr="00471761">
        <w:rPr>
          <w:rFonts w:ascii="Calibri" w:hAnsi="Calibri"/>
        </w:rPr>
        <w:t xml:space="preserve"> progress on implementing </w:t>
      </w:r>
      <w:r w:rsidR="003741BB" w:rsidRPr="00471761">
        <w:rPr>
          <w:rFonts w:ascii="Calibri" w:hAnsi="Calibri"/>
        </w:rPr>
        <w:t>SCR 1325</w:t>
      </w:r>
      <w:r w:rsidR="00B66B32" w:rsidRPr="00471761">
        <w:rPr>
          <w:rFonts w:ascii="Calibri" w:hAnsi="Calibri"/>
        </w:rPr>
        <w:t xml:space="preserve"> and its related resolutions</w:t>
      </w:r>
      <w:r w:rsidR="00B66B32" w:rsidRPr="00471761">
        <w:rPr>
          <w:rStyle w:val="FootnoteReference"/>
          <w:rFonts w:ascii="Calibri" w:hAnsi="Calibri"/>
        </w:rPr>
        <w:footnoteReference w:id="263"/>
      </w:r>
      <w:r w:rsidRPr="00471761">
        <w:rPr>
          <w:rFonts w:ascii="Calibri" w:hAnsi="Calibri"/>
        </w:rPr>
        <w:t xml:space="preserve"> and to hold states accountable </w:t>
      </w:r>
      <w:r w:rsidR="007F364C" w:rsidRPr="00471761">
        <w:rPr>
          <w:rFonts w:ascii="Calibri" w:hAnsi="Calibri"/>
        </w:rPr>
        <w:t>for a lack of action or rights violations</w:t>
      </w:r>
      <w:r w:rsidRPr="00471761">
        <w:rPr>
          <w:rFonts w:ascii="Calibri" w:hAnsi="Calibri"/>
        </w:rPr>
        <w:t>.</w:t>
      </w:r>
      <w:r w:rsidRPr="00471761">
        <w:rPr>
          <w:rStyle w:val="FootnoteReference"/>
          <w:rFonts w:ascii="Calibri" w:hAnsi="Calibri"/>
        </w:rPr>
        <w:footnoteReference w:id="264"/>
      </w:r>
      <w:r w:rsidRPr="00471761">
        <w:rPr>
          <w:rFonts w:ascii="Calibri" w:hAnsi="Calibri"/>
        </w:rPr>
        <w:t xml:space="preserve"> The weakness of SCR 1325 is that it does not compel states to act.</w:t>
      </w:r>
      <w:r w:rsidRPr="00471761">
        <w:rPr>
          <w:rStyle w:val="FootnoteReference"/>
          <w:rFonts w:ascii="Calibri" w:hAnsi="Calibri"/>
        </w:rPr>
        <w:footnoteReference w:id="265"/>
      </w:r>
      <w:r w:rsidRPr="00471761">
        <w:rPr>
          <w:rFonts w:ascii="Calibri" w:hAnsi="Calibri"/>
        </w:rPr>
        <w:t xml:space="preserve"> However, </w:t>
      </w:r>
      <w:r w:rsidR="003741BB" w:rsidRPr="00471761">
        <w:rPr>
          <w:rFonts w:ascii="Calibri" w:hAnsi="Calibri"/>
        </w:rPr>
        <w:t xml:space="preserve">the strength </w:t>
      </w:r>
      <w:r w:rsidRPr="00471761">
        <w:rPr>
          <w:rFonts w:ascii="Calibri" w:hAnsi="Calibri"/>
        </w:rPr>
        <w:t xml:space="preserve">SCR 1325 </w:t>
      </w:r>
      <w:r w:rsidR="0025212C" w:rsidRPr="00471761">
        <w:rPr>
          <w:rFonts w:ascii="Calibri" w:hAnsi="Calibri"/>
        </w:rPr>
        <w:t xml:space="preserve">and its following resolutions </w:t>
      </w:r>
      <w:r w:rsidR="003741BB" w:rsidRPr="00471761">
        <w:rPr>
          <w:rFonts w:ascii="Calibri" w:hAnsi="Calibri"/>
        </w:rPr>
        <w:t xml:space="preserve">is that they </w:t>
      </w:r>
      <w:r w:rsidR="0025212C" w:rsidRPr="00471761">
        <w:rPr>
          <w:rFonts w:ascii="Calibri" w:hAnsi="Calibri"/>
        </w:rPr>
        <w:t>do</w:t>
      </w:r>
      <w:r w:rsidRPr="00471761">
        <w:rPr>
          <w:rFonts w:ascii="Calibri" w:hAnsi="Calibri"/>
        </w:rPr>
        <w:t xml:space="preserve"> not exist in isolation. </w:t>
      </w:r>
      <w:r w:rsidR="003741BB" w:rsidRPr="00471761">
        <w:rPr>
          <w:rFonts w:ascii="Calibri" w:hAnsi="Calibri"/>
        </w:rPr>
        <w:t>They are part of a legal framework</w:t>
      </w:r>
      <w:r w:rsidR="0025212C" w:rsidRPr="00471761">
        <w:rPr>
          <w:rFonts w:ascii="Calibri" w:hAnsi="Calibri"/>
        </w:rPr>
        <w:t xml:space="preserve"> which includes </w:t>
      </w:r>
      <w:r w:rsidR="00616F81" w:rsidRPr="00471761">
        <w:rPr>
          <w:rFonts w:ascii="Calibri" w:hAnsi="Calibri"/>
        </w:rPr>
        <w:t>three processes</w:t>
      </w:r>
      <w:r w:rsidR="0025212C" w:rsidRPr="00471761">
        <w:rPr>
          <w:rFonts w:ascii="Calibri" w:hAnsi="Calibri"/>
        </w:rPr>
        <w:t xml:space="preserve"> that can help </w:t>
      </w:r>
      <w:r w:rsidR="003741BB" w:rsidRPr="00471761">
        <w:rPr>
          <w:rFonts w:ascii="Calibri" w:hAnsi="Calibri"/>
        </w:rPr>
        <w:t>address the gaps in monitoring the enforcement</w:t>
      </w:r>
      <w:r w:rsidRPr="00471761">
        <w:rPr>
          <w:rFonts w:ascii="Calibri" w:hAnsi="Calibri"/>
        </w:rPr>
        <w:t xml:space="preserve"> of SCR 1325</w:t>
      </w:r>
      <w:r w:rsidR="0025212C" w:rsidRPr="00471761">
        <w:rPr>
          <w:rFonts w:ascii="Calibri" w:hAnsi="Calibri"/>
        </w:rPr>
        <w:t xml:space="preserve">. </w:t>
      </w:r>
    </w:p>
    <w:p w14:paraId="03DF6160" w14:textId="6592C047" w:rsidR="00E842DC" w:rsidRPr="00471761" w:rsidRDefault="00E842DC" w:rsidP="007F364C">
      <w:pPr>
        <w:pStyle w:val="ListParagraph"/>
        <w:numPr>
          <w:ilvl w:val="0"/>
          <w:numId w:val="7"/>
        </w:numPr>
        <w:spacing w:before="100" w:beforeAutospacing="1" w:after="100" w:afterAutospacing="1"/>
        <w:ind w:left="720"/>
        <w:jc w:val="both"/>
        <w:rPr>
          <w:rFonts w:ascii="Calibri" w:hAnsi="Calibri"/>
          <w:b/>
          <w:color w:val="1F497D" w:themeColor="text2"/>
        </w:rPr>
      </w:pPr>
      <w:r w:rsidRPr="00471761">
        <w:rPr>
          <w:rFonts w:ascii="Calibri" w:hAnsi="Calibri"/>
          <w:b/>
          <w:color w:val="1F497D" w:themeColor="text2"/>
        </w:rPr>
        <w:t xml:space="preserve">The Universal Periodic Review </w:t>
      </w:r>
    </w:p>
    <w:p w14:paraId="2F6AE9D5" w14:textId="20CF1388" w:rsidR="00630096" w:rsidRPr="00471761" w:rsidRDefault="00F03460" w:rsidP="00A7184C">
      <w:pPr>
        <w:spacing w:before="100" w:beforeAutospacing="1" w:after="100" w:afterAutospacing="1" w:line="360" w:lineRule="auto"/>
        <w:jc w:val="both"/>
        <w:rPr>
          <w:rFonts w:ascii="Calibri" w:hAnsi="Calibri"/>
        </w:rPr>
      </w:pPr>
      <w:r w:rsidRPr="00471761">
        <w:rPr>
          <w:rFonts w:ascii="Calibri" w:hAnsi="Calibri"/>
        </w:rPr>
        <w:t xml:space="preserve">The </w:t>
      </w:r>
      <w:r w:rsidR="00010BAF" w:rsidRPr="00471761">
        <w:rPr>
          <w:rFonts w:ascii="Calibri" w:hAnsi="Calibri"/>
        </w:rPr>
        <w:t>Universal Periodic Review (UPR)</w:t>
      </w:r>
      <w:r w:rsidRPr="00471761">
        <w:rPr>
          <w:rFonts w:ascii="Calibri" w:hAnsi="Calibri"/>
        </w:rPr>
        <w:t xml:space="preserve"> established in 2006</w:t>
      </w:r>
      <w:r w:rsidR="00010BAF" w:rsidRPr="00471761">
        <w:rPr>
          <w:rFonts w:ascii="Calibri" w:hAnsi="Calibri"/>
        </w:rPr>
        <w:t>,</w:t>
      </w:r>
      <w:r w:rsidRPr="00471761">
        <w:rPr>
          <w:rStyle w:val="FootnoteReference"/>
          <w:rFonts w:ascii="Calibri" w:hAnsi="Calibri"/>
        </w:rPr>
        <w:footnoteReference w:id="266"/>
      </w:r>
      <w:r w:rsidRPr="00471761">
        <w:rPr>
          <w:rFonts w:ascii="Calibri" w:hAnsi="Calibri"/>
        </w:rPr>
        <w:t xml:space="preserve"> holds potential </w:t>
      </w:r>
      <w:r w:rsidR="00017FAB" w:rsidRPr="00471761">
        <w:rPr>
          <w:rFonts w:ascii="Calibri" w:hAnsi="Calibri"/>
        </w:rPr>
        <w:t>to monitor the implementation of</w:t>
      </w:r>
      <w:r w:rsidRPr="00471761">
        <w:rPr>
          <w:rFonts w:ascii="Calibri" w:hAnsi="Calibri"/>
        </w:rPr>
        <w:t xml:space="preserve"> SCR 1325 for t</w:t>
      </w:r>
      <w:r w:rsidR="007B31DF" w:rsidRPr="00471761">
        <w:rPr>
          <w:rFonts w:ascii="Calibri" w:hAnsi="Calibri"/>
        </w:rPr>
        <w:t>hree</w:t>
      </w:r>
      <w:r w:rsidRPr="00471761">
        <w:rPr>
          <w:rFonts w:ascii="Calibri" w:hAnsi="Calibri"/>
        </w:rPr>
        <w:t xml:space="preserve"> key reasons</w:t>
      </w:r>
      <w:r w:rsidR="00017FAB" w:rsidRPr="00471761">
        <w:rPr>
          <w:rFonts w:ascii="Calibri" w:hAnsi="Calibri"/>
        </w:rPr>
        <w:t xml:space="preserve">. </w:t>
      </w:r>
      <w:r w:rsidR="00630096" w:rsidRPr="00471761">
        <w:rPr>
          <w:rFonts w:ascii="Calibri" w:hAnsi="Calibri"/>
        </w:rPr>
        <w:t xml:space="preserve">First, states have so far had a </w:t>
      </w:r>
      <w:r w:rsidR="00017FAB" w:rsidRPr="00471761">
        <w:rPr>
          <w:rFonts w:ascii="Calibri" w:hAnsi="Calibri"/>
          <w:b/>
          <w:color w:val="4F81BD" w:themeColor="accent1"/>
        </w:rPr>
        <w:t xml:space="preserve">high rate </w:t>
      </w:r>
      <w:r w:rsidR="00630096" w:rsidRPr="00471761">
        <w:rPr>
          <w:rFonts w:ascii="Calibri" w:hAnsi="Calibri"/>
          <w:b/>
          <w:color w:val="4F81BD" w:themeColor="accent1"/>
        </w:rPr>
        <w:t>of compliance</w:t>
      </w:r>
      <w:r w:rsidR="00630096" w:rsidRPr="00471761">
        <w:rPr>
          <w:rFonts w:ascii="Calibri" w:hAnsi="Calibri"/>
        </w:rPr>
        <w:t xml:space="preserve"> with </w:t>
      </w:r>
      <w:r w:rsidR="007B31DF" w:rsidRPr="00471761">
        <w:rPr>
          <w:rFonts w:ascii="Calibri" w:hAnsi="Calibri"/>
        </w:rPr>
        <w:t>the UPR</w:t>
      </w:r>
      <w:r w:rsidR="00EC0ADF" w:rsidRPr="00471761">
        <w:rPr>
          <w:rFonts w:ascii="Calibri" w:hAnsi="Calibri"/>
        </w:rPr>
        <w:t xml:space="preserve">, which is a mandatory process with </w:t>
      </w:r>
      <w:r w:rsidR="001B4D62" w:rsidRPr="00471761">
        <w:rPr>
          <w:rFonts w:ascii="Calibri" w:hAnsi="Calibri"/>
        </w:rPr>
        <w:t>significant</w:t>
      </w:r>
      <w:r w:rsidR="00EC0ADF" w:rsidRPr="00471761">
        <w:rPr>
          <w:rFonts w:ascii="Calibri" w:hAnsi="Calibri"/>
        </w:rPr>
        <w:t xml:space="preserve"> visibility within the UN system</w:t>
      </w:r>
      <w:r w:rsidR="00630096" w:rsidRPr="00471761">
        <w:rPr>
          <w:rFonts w:ascii="Calibri" w:hAnsi="Calibri"/>
        </w:rPr>
        <w:t>.</w:t>
      </w:r>
      <w:r w:rsidR="007B31DF" w:rsidRPr="00471761">
        <w:rPr>
          <w:rStyle w:val="FootnoteReference"/>
          <w:rFonts w:ascii="Calibri" w:hAnsi="Calibri"/>
        </w:rPr>
        <w:footnoteReference w:id="267"/>
      </w:r>
      <w:r w:rsidR="00630096" w:rsidRPr="00471761">
        <w:rPr>
          <w:rFonts w:ascii="Calibri" w:hAnsi="Calibri"/>
        </w:rPr>
        <w:t xml:space="preserve"> Second, </w:t>
      </w:r>
      <w:r w:rsidR="00017FAB" w:rsidRPr="00471761">
        <w:rPr>
          <w:rFonts w:ascii="Calibri" w:hAnsi="Calibri"/>
        </w:rPr>
        <w:t xml:space="preserve">in the words </w:t>
      </w:r>
      <w:r w:rsidR="007B31DF" w:rsidRPr="00471761">
        <w:rPr>
          <w:rFonts w:ascii="Calibri" w:hAnsi="Calibri"/>
        </w:rPr>
        <w:t xml:space="preserve">of the </w:t>
      </w:r>
      <w:r w:rsidR="00017FAB" w:rsidRPr="00471761">
        <w:rPr>
          <w:rFonts w:ascii="Calibri" w:hAnsi="Calibri"/>
        </w:rPr>
        <w:t>former High Commissioner fo</w:t>
      </w:r>
      <w:r w:rsidR="007B31DF" w:rsidRPr="00471761">
        <w:rPr>
          <w:rFonts w:ascii="Calibri" w:hAnsi="Calibri"/>
        </w:rPr>
        <w:t xml:space="preserve">r Human Rights, Navi Pillay, the UPR </w:t>
      </w:r>
      <w:r w:rsidR="00E05DBB" w:rsidRPr="00471761">
        <w:rPr>
          <w:rFonts w:ascii="Calibri" w:hAnsi="Calibri"/>
        </w:rPr>
        <w:t>gives</w:t>
      </w:r>
      <w:r w:rsidR="00017FAB" w:rsidRPr="00471761">
        <w:rPr>
          <w:rFonts w:ascii="Calibri" w:hAnsi="Calibri"/>
        </w:rPr>
        <w:t xml:space="preserve"> “</w:t>
      </w:r>
      <w:r w:rsidR="00630096" w:rsidRPr="00471761">
        <w:rPr>
          <w:rFonts w:ascii="Calibri" w:hAnsi="Calibri"/>
        </w:rPr>
        <w:t xml:space="preserve">a new </w:t>
      </w:r>
      <w:r w:rsidR="00017FAB" w:rsidRPr="00471761">
        <w:rPr>
          <w:rFonts w:ascii="Calibri" w:hAnsi="Calibri"/>
        </w:rPr>
        <w:t xml:space="preserve">important space to civil society’s contributions, including </w:t>
      </w:r>
      <w:r w:rsidR="00017FAB" w:rsidRPr="00471761">
        <w:rPr>
          <w:rFonts w:ascii="Calibri" w:hAnsi="Calibri"/>
          <w:b/>
          <w:color w:val="4F81BD" w:themeColor="accent1"/>
        </w:rPr>
        <w:t>women’s knowledge and perspectives</w:t>
      </w:r>
      <w:r w:rsidR="00017FAB" w:rsidRPr="00471761">
        <w:rPr>
          <w:rFonts w:ascii="Calibri" w:hAnsi="Calibri"/>
        </w:rPr>
        <w:t>.</w:t>
      </w:r>
      <w:r w:rsidR="00017FAB" w:rsidRPr="00471761">
        <w:rPr>
          <w:rStyle w:val="FootnoteReference"/>
          <w:rFonts w:ascii="Calibri" w:hAnsi="Calibri"/>
        </w:rPr>
        <w:footnoteReference w:id="268"/>
      </w:r>
      <w:r w:rsidR="00017FAB" w:rsidRPr="00471761">
        <w:rPr>
          <w:rFonts w:ascii="Calibri" w:hAnsi="Calibri"/>
        </w:rPr>
        <w:t xml:space="preserve"> </w:t>
      </w:r>
      <w:r w:rsidR="007B31DF" w:rsidRPr="00471761">
        <w:rPr>
          <w:rFonts w:ascii="Calibri" w:hAnsi="Calibri"/>
        </w:rPr>
        <w:t>Finally</w:t>
      </w:r>
      <w:r w:rsidR="00010BAF" w:rsidRPr="00471761">
        <w:rPr>
          <w:rFonts w:ascii="Calibri" w:hAnsi="Calibri"/>
        </w:rPr>
        <w:t xml:space="preserve">, because of its coverage of a spectrum of international </w:t>
      </w:r>
      <w:r w:rsidR="00583713">
        <w:rPr>
          <w:rFonts w:ascii="Calibri" w:hAnsi="Calibri"/>
        </w:rPr>
        <w:t>legal</w:t>
      </w:r>
      <w:r w:rsidR="00010BAF" w:rsidRPr="00471761">
        <w:rPr>
          <w:rFonts w:ascii="Calibri" w:hAnsi="Calibri"/>
        </w:rPr>
        <w:t xml:space="preserve"> obligations</w:t>
      </w:r>
      <w:r w:rsidR="007B31DF" w:rsidRPr="00471761">
        <w:rPr>
          <w:rFonts w:ascii="Calibri" w:hAnsi="Calibri"/>
        </w:rPr>
        <w:t xml:space="preserve">, the UPR is a unique avenue to </w:t>
      </w:r>
      <w:r w:rsidR="007B31DF" w:rsidRPr="00471761">
        <w:rPr>
          <w:rFonts w:ascii="Calibri" w:hAnsi="Calibri"/>
          <w:b/>
          <w:color w:val="4F81BD" w:themeColor="accent1"/>
        </w:rPr>
        <w:t>monitor all of states’</w:t>
      </w:r>
      <w:r w:rsidR="00010BAF" w:rsidRPr="00471761">
        <w:rPr>
          <w:rFonts w:ascii="Calibri" w:hAnsi="Calibri"/>
          <w:b/>
          <w:color w:val="4F81BD" w:themeColor="accent1"/>
        </w:rPr>
        <w:t xml:space="preserve"> compliance </w:t>
      </w:r>
      <w:r w:rsidR="007B31DF" w:rsidRPr="00471761">
        <w:rPr>
          <w:rFonts w:ascii="Calibri" w:hAnsi="Calibri"/>
        </w:rPr>
        <w:t xml:space="preserve">relevant to SCR 1325, including binding obligations </w:t>
      </w:r>
      <w:r w:rsidR="00E05DBB" w:rsidRPr="00471761">
        <w:rPr>
          <w:rFonts w:ascii="Calibri" w:hAnsi="Calibri"/>
        </w:rPr>
        <w:t>and</w:t>
      </w:r>
      <w:r w:rsidR="007B31DF" w:rsidRPr="00471761">
        <w:rPr>
          <w:rFonts w:ascii="Calibri" w:hAnsi="Calibri"/>
        </w:rPr>
        <w:t xml:space="preserve"> voluntary commitments </w:t>
      </w:r>
      <w:r w:rsidR="00E05DBB" w:rsidRPr="00471761">
        <w:rPr>
          <w:rFonts w:ascii="Calibri" w:hAnsi="Calibri"/>
        </w:rPr>
        <w:t xml:space="preserve">under the </w:t>
      </w:r>
      <w:r w:rsidR="00E05DBB" w:rsidRPr="00471761">
        <w:rPr>
          <w:rFonts w:ascii="Calibri" w:hAnsi="Calibri"/>
          <w:b/>
          <w:color w:val="4F81BD" w:themeColor="accent1"/>
        </w:rPr>
        <w:t>legal framework</w:t>
      </w:r>
      <w:r w:rsidR="00E05DBB" w:rsidRPr="00471761">
        <w:rPr>
          <w:rFonts w:ascii="Calibri" w:hAnsi="Calibri"/>
        </w:rPr>
        <w:t xml:space="preserve"> on WPS </w:t>
      </w:r>
      <w:r w:rsidR="007B31DF" w:rsidRPr="00471761">
        <w:rPr>
          <w:rFonts w:ascii="Calibri" w:hAnsi="Calibri"/>
        </w:rPr>
        <w:t xml:space="preserve">(see Section 1). </w:t>
      </w:r>
    </w:p>
    <w:p w14:paraId="383ED689" w14:textId="18431F10" w:rsidR="00E05DBB" w:rsidRPr="00471761" w:rsidRDefault="00017FAB" w:rsidP="00B71A70">
      <w:pPr>
        <w:spacing w:before="100" w:beforeAutospacing="1" w:after="100" w:afterAutospacing="1" w:line="360" w:lineRule="auto"/>
        <w:jc w:val="both"/>
        <w:rPr>
          <w:rFonts w:ascii="Calibri" w:hAnsi="Calibri"/>
        </w:rPr>
      </w:pPr>
      <w:r w:rsidRPr="00471761">
        <w:rPr>
          <w:rFonts w:ascii="Calibri" w:hAnsi="Calibri"/>
        </w:rPr>
        <w:t xml:space="preserve">The </w:t>
      </w:r>
      <w:r w:rsidR="00E842DC" w:rsidRPr="00471761">
        <w:rPr>
          <w:rFonts w:ascii="Calibri" w:hAnsi="Calibri"/>
        </w:rPr>
        <w:t xml:space="preserve">five-yearly </w:t>
      </w:r>
      <w:r w:rsidRPr="00471761">
        <w:rPr>
          <w:rFonts w:ascii="Calibri" w:hAnsi="Calibri"/>
        </w:rPr>
        <w:t>U</w:t>
      </w:r>
      <w:r w:rsidR="00E842DC" w:rsidRPr="00471761">
        <w:rPr>
          <w:rFonts w:ascii="Calibri" w:hAnsi="Calibri"/>
        </w:rPr>
        <w:t>PR process takes a holistic</w:t>
      </w:r>
      <w:r w:rsidR="007B31DF" w:rsidRPr="00471761">
        <w:rPr>
          <w:rFonts w:ascii="Calibri" w:hAnsi="Calibri"/>
        </w:rPr>
        <w:t xml:space="preserve"> </w:t>
      </w:r>
      <w:r w:rsidR="00E842DC" w:rsidRPr="00471761">
        <w:rPr>
          <w:rFonts w:ascii="Calibri" w:hAnsi="Calibri"/>
        </w:rPr>
        <w:t xml:space="preserve">view of states’ obligations that encompass: </w:t>
      </w:r>
      <w:r w:rsidR="00F03460" w:rsidRPr="00471761">
        <w:rPr>
          <w:rFonts w:ascii="Calibri" w:hAnsi="Calibri"/>
        </w:rPr>
        <w:t>the UN Charter, the Universal Declaration of Human Rights</w:t>
      </w:r>
      <w:r w:rsidR="00E842DC" w:rsidRPr="00471761">
        <w:rPr>
          <w:rFonts w:ascii="Calibri" w:hAnsi="Calibri"/>
        </w:rPr>
        <w:t xml:space="preserve"> (UDHR)</w:t>
      </w:r>
      <w:r w:rsidR="00F03460" w:rsidRPr="00471761">
        <w:rPr>
          <w:rFonts w:ascii="Calibri" w:hAnsi="Calibri"/>
        </w:rPr>
        <w:t xml:space="preserve"> human rights instruments to which the state is party as well as voluntary pledges and commitments made by the state, and</w:t>
      </w:r>
      <w:r w:rsidR="007F4F7D">
        <w:rPr>
          <w:rFonts w:ascii="Calibri" w:hAnsi="Calibri"/>
        </w:rPr>
        <w:t>, where applicable,</w:t>
      </w:r>
      <w:r w:rsidR="00F03460" w:rsidRPr="00471761">
        <w:rPr>
          <w:rFonts w:ascii="Calibri" w:hAnsi="Calibri"/>
        </w:rPr>
        <w:t xml:space="preserve"> international </w:t>
      </w:r>
      <w:r w:rsidR="00F03460" w:rsidRPr="00471761">
        <w:rPr>
          <w:rFonts w:ascii="Calibri" w:hAnsi="Calibri"/>
        </w:rPr>
        <w:lastRenderedPageBreak/>
        <w:t>humanitarian law.</w:t>
      </w:r>
      <w:r w:rsidR="00F03460" w:rsidRPr="00471761">
        <w:rPr>
          <w:rStyle w:val="FootnoteReference"/>
          <w:rFonts w:ascii="Calibri" w:hAnsi="Calibri"/>
        </w:rPr>
        <w:footnoteReference w:id="269"/>
      </w:r>
      <w:r w:rsidR="00E842DC" w:rsidRPr="00471761">
        <w:rPr>
          <w:rFonts w:ascii="Calibri" w:hAnsi="Calibri"/>
        </w:rPr>
        <w:t xml:space="preserve"> This </w:t>
      </w:r>
      <w:r w:rsidR="00630096" w:rsidRPr="00471761">
        <w:rPr>
          <w:rFonts w:ascii="Calibri" w:hAnsi="Calibri"/>
        </w:rPr>
        <w:t>creates a space</w:t>
      </w:r>
      <w:r w:rsidR="001B4D62" w:rsidRPr="00471761">
        <w:rPr>
          <w:rFonts w:ascii="Calibri" w:hAnsi="Calibri"/>
        </w:rPr>
        <w:t xml:space="preserve"> </w:t>
      </w:r>
      <w:r w:rsidR="003741BB" w:rsidRPr="00471761">
        <w:rPr>
          <w:rFonts w:ascii="Calibri" w:hAnsi="Calibri"/>
        </w:rPr>
        <w:t>to track</w:t>
      </w:r>
      <w:r w:rsidR="001B4D62" w:rsidRPr="00471761">
        <w:rPr>
          <w:rFonts w:ascii="Calibri" w:hAnsi="Calibri"/>
        </w:rPr>
        <w:t xml:space="preserve"> the implementation of</w:t>
      </w:r>
      <w:r w:rsidR="00E842DC" w:rsidRPr="00471761">
        <w:rPr>
          <w:rFonts w:ascii="Calibri" w:hAnsi="Calibri"/>
        </w:rPr>
        <w:t xml:space="preserve"> SCR 1325</w:t>
      </w:r>
      <w:r w:rsidR="00630096" w:rsidRPr="00471761">
        <w:rPr>
          <w:rFonts w:ascii="Calibri" w:hAnsi="Calibri"/>
        </w:rPr>
        <w:t xml:space="preserve"> in the context of</w:t>
      </w:r>
      <w:r w:rsidR="00E842DC" w:rsidRPr="00471761">
        <w:rPr>
          <w:rFonts w:ascii="Calibri" w:hAnsi="Calibri"/>
        </w:rPr>
        <w:t xml:space="preserve"> the </w:t>
      </w:r>
      <w:r w:rsidR="00630096" w:rsidRPr="00471761">
        <w:rPr>
          <w:rFonts w:ascii="Calibri" w:hAnsi="Calibri"/>
        </w:rPr>
        <w:t>entire legal</w:t>
      </w:r>
      <w:r w:rsidR="00E842DC" w:rsidRPr="00471761">
        <w:rPr>
          <w:rFonts w:ascii="Calibri" w:hAnsi="Calibri"/>
        </w:rPr>
        <w:t xml:space="preserve"> framework</w:t>
      </w:r>
      <w:r w:rsidR="00630096" w:rsidRPr="00471761">
        <w:rPr>
          <w:rFonts w:ascii="Calibri" w:hAnsi="Calibri"/>
        </w:rPr>
        <w:t>,</w:t>
      </w:r>
      <w:r w:rsidR="00E842DC" w:rsidRPr="00471761">
        <w:rPr>
          <w:rFonts w:ascii="Calibri" w:hAnsi="Calibri"/>
        </w:rPr>
        <w:t xml:space="preserve"> </w:t>
      </w:r>
      <w:r w:rsidR="00630096" w:rsidRPr="00471761">
        <w:rPr>
          <w:rFonts w:ascii="Calibri" w:hAnsi="Calibri"/>
        </w:rPr>
        <w:t xml:space="preserve">especially where states are parties to </w:t>
      </w:r>
      <w:r w:rsidR="001B4D62" w:rsidRPr="00471761">
        <w:rPr>
          <w:rFonts w:ascii="Calibri" w:hAnsi="Calibri"/>
        </w:rPr>
        <w:t xml:space="preserve">CEDAW and other </w:t>
      </w:r>
      <w:r w:rsidR="00630096" w:rsidRPr="00471761">
        <w:rPr>
          <w:rFonts w:ascii="Calibri" w:hAnsi="Calibri"/>
        </w:rPr>
        <w:t>treaties that are relevant to women’s rights and have made commitments under “soft law” documents like the Beijing Platform for Action (BPfA).</w:t>
      </w:r>
      <w:r w:rsidR="00630096" w:rsidRPr="00471761">
        <w:rPr>
          <w:rStyle w:val="FootnoteReference"/>
          <w:rFonts w:ascii="Calibri" w:hAnsi="Calibri"/>
        </w:rPr>
        <w:footnoteReference w:id="270"/>
      </w:r>
      <w:r w:rsidR="007B31DF" w:rsidRPr="00471761">
        <w:rPr>
          <w:rFonts w:ascii="Calibri" w:hAnsi="Calibri"/>
        </w:rPr>
        <w:t xml:space="preserve"> </w:t>
      </w:r>
    </w:p>
    <w:p w14:paraId="70D1057E" w14:textId="28F8B717" w:rsidR="00630096" w:rsidRPr="00471761" w:rsidRDefault="00EC0ADF" w:rsidP="00B71A70">
      <w:pPr>
        <w:spacing w:before="100" w:beforeAutospacing="1" w:after="100" w:afterAutospacing="1" w:line="360" w:lineRule="auto"/>
        <w:jc w:val="both"/>
        <w:rPr>
          <w:rFonts w:ascii="Calibri" w:hAnsi="Calibri"/>
        </w:rPr>
      </w:pPr>
      <w:r w:rsidRPr="00471761">
        <w:rPr>
          <w:rFonts w:ascii="Calibri" w:hAnsi="Calibri"/>
        </w:rPr>
        <w:t>G</w:t>
      </w:r>
      <w:r w:rsidR="003741BB" w:rsidRPr="00471761">
        <w:rPr>
          <w:rFonts w:ascii="Calibri" w:hAnsi="Calibri"/>
        </w:rPr>
        <w:t>overnments’ high compliance</w:t>
      </w:r>
      <w:r w:rsidRPr="00471761">
        <w:rPr>
          <w:rFonts w:ascii="Calibri" w:hAnsi="Calibri"/>
        </w:rPr>
        <w:t xml:space="preserve"> with the UPR process presents </w:t>
      </w:r>
      <w:r w:rsidR="00E05DBB" w:rsidRPr="00471761">
        <w:rPr>
          <w:rFonts w:ascii="Calibri" w:hAnsi="Calibri"/>
        </w:rPr>
        <w:t xml:space="preserve">a window of opportunity to </w:t>
      </w:r>
      <w:r w:rsidRPr="00471761">
        <w:rPr>
          <w:rFonts w:ascii="Calibri" w:hAnsi="Calibri"/>
        </w:rPr>
        <w:t xml:space="preserve">consolidate progress on </w:t>
      </w:r>
      <w:r w:rsidR="00C566AF" w:rsidRPr="00471761">
        <w:rPr>
          <w:rFonts w:ascii="Calibri" w:hAnsi="Calibri"/>
        </w:rPr>
        <w:t xml:space="preserve">fulfilling </w:t>
      </w:r>
      <w:r w:rsidR="00E05DBB" w:rsidRPr="00471761">
        <w:rPr>
          <w:rFonts w:ascii="Calibri" w:hAnsi="Calibri"/>
        </w:rPr>
        <w:t xml:space="preserve">obligations </w:t>
      </w:r>
      <w:r w:rsidR="00C566AF" w:rsidRPr="00471761">
        <w:rPr>
          <w:rFonts w:ascii="Calibri" w:hAnsi="Calibri"/>
        </w:rPr>
        <w:t>under the legal framework.</w:t>
      </w:r>
      <w:r w:rsidR="00E05DBB" w:rsidRPr="00471761">
        <w:rPr>
          <w:rFonts w:ascii="Calibri" w:hAnsi="Calibri"/>
        </w:rPr>
        <w:t xml:space="preserve"> While the UPR </w:t>
      </w:r>
      <w:r w:rsidR="00C566AF" w:rsidRPr="00471761">
        <w:rPr>
          <w:rFonts w:ascii="Calibri" w:hAnsi="Calibri"/>
        </w:rPr>
        <w:t xml:space="preserve">is </w:t>
      </w:r>
      <w:r w:rsidR="00E05DBB" w:rsidRPr="00471761">
        <w:rPr>
          <w:rFonts w:ascii="Calibri" w:hAnsi="Calibri"/>
        </w:rPr>
        <w:t xml:space="preserve">a space for civil society engagement, the process has so far been state-centric, and </w:t>
      </w:r>
      <w:r w:rsidR="00C566AF" w:rsidRPr="00471761">
        <w:rPr>
          <w:rFonts w:ascii="Calibri" w:hAnsi="Calibri"/>
        </w:rPr>
        <w:t xml:space="preserve">there is space for </w:t>
      </w:r>
      <w:r w:rsidR="00E05DBB" w:rsidRPr="00471761">
        <w:rPr>
          <w:rFonts w:ascii="Calibri" w:hAnsi="Calibri"/>
        </w:rPr>
        <w:t xml:space="preserve">women’s </w:t>
      </w:r>
      <w:r w:rsidR="00C566AF" w:rsidRPr="00471761">
        <w:rPr>
          <w:rFonts w:ascii="Calibri" w:hAnsi="Calibri"/>
        </w:rPr>
        <w:t>concerns</w:t>
      </w:r>
      <w:r w:rsidR="00E05DBB" w:rsidRPr="00471761">
        <w:rPr>
          <w:rFonts w:ascii="Calibri" w:hAnsi="Calibri"/>
        </w:rPr>
        <w:t xml:space="preserve"> </w:t>
      </w:r>
      <w:r w:rsidR="00C566AF" w:rsidRPr="00471761">
        <w:rPr>
          <w:rFonts w:ascii="Calibri" w:hAnsi="Calibri"/>
        </w:rPr>
        <w:t>to be better prioritised</w:t>
      </w:r>
      <w:r w:rsidR="00E05DBB" w:rsidRPr="00471761">
        <w:rPr>
          <w:rFonts w:ascii="Calibri" w:hAnsi="Calibri"/>
        </w:rPr>
        <w:t xml:space="preserve">. </w:t>
      </w:r>
      <w:r w:rsidR="00E05DBB" w:rsidRPr="00471761">
        <w:rPr>
          <w:rFonts w:ascii="Calibri" w:hAnsi="Calibri"/>
          <w:b/>
          <w:color w:val="4F81BD" w:themeColor="accent1"/>
        </w:rPr>
        <w:t xml:space="preserve">A “Women, Peace and Security” section </w:t>
      </w:r>
      <w:r w:rsidR="001B4D62" w:rsidRPr="00471761">
        <w:rPr>
          <w:rFonts w:ascii="Calibri" w:hAnsi="Calibri"/>
          <w:b/>
          <w:color w:val="4F81BD" w:themeColor="accent1"/>
        </w:rPr>
        <w:t xml:space="preserve">in </w:t>
      </w:r>
      <w:r w:rsidR="00C566AF" w:rsidRPr="00471761">
        <w:rPr>
          <w:rFonts w:ascii="Calibri" w:hAnsi="Calibri"/>
          <w:b/>
          <w:color w:val="4F81BD" w:themeColor="accent1"/>
        </w:rPr>
        <w:t>national reports</w:t>
      </w:r>
      <w:r w:rsidR="009712BA" w:rsidRPr="00471761">
        <w:rPr>
          <w:rFonts w:ascii="Calibri" w:hAnsi="Calibri"/>
          <w:b/>
          <w:color w:val="4F81BD" w:themeColor="accent1"/>
        </w:rPr>
        <w:t>,</w:t>
      </w:r>
      <w:r w:rsidR="00C566AF" w:rsidRPr="00471761">
        <w:rPr>
          <w:rFonts w:ascii="Calibri" w:hAnsi="Calibri"/>
          <w:b/>
          <w:color w:val="4F81BD" w:themeColor="accent1"/>
        </w:rPr>
        <w:t xml:space="preserve"> </w:t>
      </w:r>
      <w:r w:rsidR="009712BA" w:rsidRPr="00471761">
        <w:rPr>
          <w:rFonts w:ascii="Calibri" w:hAnsi="Calibri"/>
          <w:b/>
          <w:color w:val="4F81BD" w:themeColor="accent1"/>
        </w:rPr>
        <w:t>summaries of</w:t>
      </w:r>
      <w:r w:rsidR="00C566AF" w:rsidRPr="00471761">
        <w:rPr>
          <w:rFonts w:ascii="Calibri" w:hAnsi="Calibri"/>
          <w:b/>
          <w:color w:val="4F81BD" w:themeColor="accent1"/>
        </w:rPr>
        <w:t xml:space="preserve"> stakeholders’ information (NGO reporting)</w:t>
      </w:r>
      <w:r w:rsidR="009712BA" w:rsidRPr="00471761">
        <w:rPr>
          <w:rFonts w:ascii="Calibri" w:hAnsi="Calibri"/>
          <w:b/>
          <w:color w:val="4F81BD" w:themeColor="accent1"/>
        </w:rPr>
        <w:t xml:space="preserve"> and working group reports</w:t>
      </w:r>
      <w:r w:rsidR="00E05DBB" w:rsidRPr="00471761">
        <w:rPr>
          <w:rFonts w:ascii="Calibri" w:hAnsi="Calibri"/>
        </w:rPr>
        <w:t xml:space="preserve"> </w:t>
      </w:r>
      <w:r w:rsidR="009712BA" w:rsidRPr="00471761">
        <w:rPr>
          <w:rFonts w:ascii="Calibri" w:hAnsi="Calibri"/>
        </w:rPr>
        <w:t xml:space="preserve">would </w:t>
      </w:r>
      <w:r w:rsidR="003741BB" w:rsidRPr="00471761">
        <w:rPr>
          <w:rFonts w:ascii="Calibri" w:hAnsi="Calibri"/>
        </w:rPr>
        <w:t>guarantee sustained attention by states, the UN and civil society</w:t>
      </w:r>
      <w:r w:rsidR="009712BA" w:rsidRPr="00471761">
        <w:rPr>
          <w:rFonts w:ascii="Calibri" w:hAnsi="Calibri"/>
        </w:rPr>
        <w:t xml:space="preserve"> on the legal framework. N</w:t>
      </w:r>
      <w:r w:rsidR="00E05DBB" w:rsidRPr="00471761">
        <w:rPr>
          <w:rFonts w:ascii="Calibri" w:hAnsi="Calibri"/>
        </w:rPr>
        <w:t>ational women’s ministries and women’s machineries</w:t>
      </w:r>
      <w:r w:rsidR="00C566AF" w:rsidRPr="00471761">
        <w:rPr>
          <w:rFonts w:ascii="Calibri" w:hAnsi="Calibri"/>
        </w:rPr>
        <w:t xml:space="preserve"> (supported at the highest levels of government, including with </w:t>
      </w:r>
      <w:r w:rsidR="009712BA" w:rsidRPr="00471761">
        <w:rPr>
          <w:rFonts w:ascii="Calibri" w:hAnsi="Calibri"/>
        </w:rPr>
        <w:t xml:space="preserve">financial and human resources), </w:t>
      </w:r>
      <w:r w:rsidR="00C566AF" w:rsidRPr="00471761">
        <w:rPr>
          <w:rFonts w:ascii="Calibri" w:hAnsi="Calibri"/>
        </w:rPr>
        <w:t>could</w:t>
      </w:r>
      <w:r w:rsidR="00E05DBB" w:rsidRPr="00471761">
        <w:rPr>
          <w:rFonts w:ascii="Calibri" w:hAnsi="Calibri"/>
        </w:rPr>
        <w:t xml:space="preserve"> </w:t>
      </w:r>
      <w:r w:rsidR="003741BB" w:rsidRPr="00471761">
        <w:rPr>
          <w:rFonts w:ascii="Calibri" w:hAnsi="Calibri"/>
        </w:rPr>
        <w:t>build the capacity of</w:t>
      </w:r>
      <w:r w:rsidR="00C566AF" w:rsidRPr="00471761">
        <w:rPr>
          <w:rFonts w:ascii="Calibri" w:hAnsi="Calibri"/>
        </w:rPr>
        <w:t xml:space="preserve"> </w:t>
      </w:r>
      <w:r w:rsidR="00E05DBB" w:rsidRPr="00471761">
        <w:rPr>
          <w:rFonts w:ascii="Calibri" w:hAnsi="Calibri"/>
        </w:rPr>
        <w:t xml:space="preserve">women’s and girls’ organizations to provide a substantive civil society perspective on </w:t>
      </w:r>
      <w:r w:rsidRPr="00471761">
        <w:rPr>
          <w:rFonts w:ascii="Calibri" w:hAnsi="Calibri"/>
        </w:rPr>
        <w:t>state compliance with th</w:t>
      </w:r>
      <w:r w:rsidR="003741BB" w:rsidRPr="00471761">
        <w:rPr>
          <w:rFonts w:ascii="Calibri" w:hAnsi="Calibri"/>
        </w:rPr>
        <w:t>e legal framework. As discussed in Section 2, the role of civil society is crucial in monitoring</w:t>
      </w:r>
      <w:r w:rsidR="00CB538C" w:rsidRPr="00471761">
        <w:rPr>
          <w:rFonts w:ascii="Calibri" w:hAnsi="Calibri"/>
        </w:rPr>
        <w:t xml:space="preserve"> the implementation of</w:t>
      </w:r>
      <w:r w:rsidR="003741BB" w:rsidRPr="00471761">
        <w:rPr>
          <w:rFonts w:ascii="Calibri" w:hAnsi="Calibri"/>
        </w:rPr>
        <w:t xml:space="preserve"> SCR 1325.</w:t>
      </w:r>
    </w:p>
    <w:p w14:paraId="0D163757" w14:textId="0D165BD7" w:rsidR="00EC0ADF" w:rsidRPr="00471761" w:rsidRDefault="00EC0ADF" w:rsidP="007F364C">
      <w:pPr>
        <w:pStyle w:val="ListParagraph"/>
        <w:numPr>
          <w:ilvl w:val="0"/>
          <w:numId w:val="7"/>
        </w:numPr>
        <w:spacing w:before="100" w:beforeAutospacing="1" w:after="100" w:afterAutospacing="1"/>
        <w:jc w:val="both"/>
        <w:rPr>
          <w:rFonts w:ascii="Calibri" w:hAnsi="Calibri"/>
          <w:b/>
          <w:color w:val="1F497D" w:themeColor="text2"/>
        </w:rPr>
      </w:pPr>
      <w:r w:rsidRPr="00471761">
        <w:rPr>
          <w:rFonts w:ascii="Calibri" w:hAnsi="Calibri"/>
          <w:b/>
          <w:color w:val="1F497D" w:themeColor="text2"/>
        </w:rPr>
        <w:t xml:space="preserve">The Commission on the Status of Women  </w:t>
      </w:r>
    </w:p>
    <w:p w14:paraId="1A62E2BF" w14:textId="7D429340" w:rsidR="002B069A" w:rsidRPr="00471761" w:rsidRDefault="009C376F" w:rsidP="00B71A70">
      <w:pPr>
        <w:spacing w:before="100" w:beforeAutospacing="1" w:after="100" w:afterAutospacing="1" w:line="360" w:lineRule="auto"/>
        <w:jc w:val="both"/>
        <w:rPr>
          <w:rFonts w:ascii="Calibri" w:hAnsi="Calibri"/>
        </w:rPr>
      </w:pPr>
      <w:r w:rsidRPr="00471761">
        <w:rPr>
          <w:rFonts w:ascii="Calibri" w:hAnsi="Calibri"/>
        </w:rPr>
        <w:t>The</w:t>
      </w:r>
      <w:r w:rsidR="00EC0ADF" w:rsidRPr="00471761">
        <w:rPr>
          <w:rFonts w:ascii="Calibri" w:hAnsi="Calibri"/>
        </w:rPr>
        <w:t xml:space="preserve"> Commission on the Status of Women (CSW)</w:t>
      </w:r>
      <w:r w:rsidR="000C5A16" w:rsidRPr="00471761">
        <w:rPr>
          <w:rFonts w:ascii="Calibri" w:hAnsi="Calibri"/>
        </w:rPr>
        <w:t xml:space="preserve"> despite being a voluntary</w:t>
      </w:r>
      <w:r w:rsidRPr="00471761">
        <w:rPr>
          <w:rFonts w:ascii="Calibri" w:hAnsi="Calibri"/>
        </w:rPr>
        <w:t xml:space="preserve"> </w:t>
      </w:r>
      <w:r w:rsidR="001B4D62" w:rsidRPr="00471761">
        <w:rPr>
          <w:rFonts w:ascii="Calibri" w:hAnsi="Calibri"/>
        </w:rPr>
        <w:t xml:space="preserve">monitoring </w:t>
      </w:r>
      <w:r w:rsidRPr="00471761">
        <w:rPr>
          <w:rFonts w:ascii="Calibri" w:hAnsi="Calibri"/>
        </w:rPr>
        <w:t xml:space="preserve">process linked to the non-binding </w:t>
      </w:r>
      <w:proofErr w:type="gramStart"/>
      <w:r w:rsidRPr="00471761">
        <w:rPr>
          <w:rFonts w:ascii="Calibri" w:hAnsi="Calibri"/>
        </w:rPr>
        <w:t>BPfA,</w:t>
      </w:r>
      <w:proofErr w:type="gramEnd"/>
      <w:r w:rsidRPr="00471761">
        <w:rPr>
          <w:rFonts w:ascii="Calibri" w:hAnsi="Calibri"/>
        </w:rPr>
        <w:t xml:space="preserve"> is an important forum to monitor states’ progress under the legal framework, of which the BPfA i</w:t>
      </w:r>
      <w:r w:rsidR="00267552" w:rsidRPr="00471761">
        <w:rPr>
          <w:rFonts w:ascii="Calibri" w:hAnsi="Calibri"/>
        </w:rPr>
        <w:t xml:space="preserve">s a key element </w:t>
      </w:r>
      <w:r w:rsidR="002D4622">
        <w:rPr>
          <w:rFonts w:ascii="Calibri" w:hAnsi="Calibri"/>
        </w:rPr>
        <w:t>(s</w:t>
      </w:r>
      <w:r w:rsidRPr="00471761">
        <w:rPr>
          <w:rFonts w:ascii="Calibri" w:hAnsi="Calibri"/>
        </w:rPr>
        <w:t xml:space="preserve">ee Section 1). </w:t>
      </w:r>
      <w:r w:rsidR="001B4D62" w:rsidRPr="00471761">
        <w:rPr>
          <w:rFonts w:ascii="Calibri" w:hAnsi="Calibri"/>
        </w:rPr>
        <w:t xml:space="preserve">While not technically a “system-wide” process, the CSW </w:t>
      </w:r>
      <w:r w:rsidR="00C566AF" w:rsidRPr="00471761">
        <w:rPr>
          <w:rFonts w:ascii="Calibri" w:hAnsi="Calibri"/>
        </w:rPr>
        <w:t xml:space="preserve">is valuable because it brings together </w:t>
      </w:r>
      <w:r w:rsidR="001B4D62" w:rsidRPr="00471761">
        <w:rPr>
          <w:rFonts w:ascii="Calibri" w:hAnsi="Calibri"/>
        </w:rPr>
        <w:t>a</w:t>
      </w:r>
      <w:r w:rsidR="00C566AF" w:rsidRPr="00471761">
        <w:rPr>
          <w:rFonts w:ascii="Calibri" w:hAnsi="Calibri"/>
        </w:rPr>
        <w:t xml:space="preserve"> </w:t>
      </w:r>
      <w:r w:rsidR="001B4D62" w:rsidRPr="00471761">
        <w:rPr>
          <w:rFonts w:ascii="Calibri" w:hAnsi="Calibri"/>
        </w:rPr>
        <w:t>multipli</w:t>
      </w:r>
      <w:r w:rsidR="00C566AF" w:rsidRPr="00471761">
        <w:rPr>
          <w:rFonts w:ascii="Calibri" w:hAnsi="Calibri"/>
        </w:rPr>
        <w:t>city of stakeholders</w:t>
      </w:r>
      <w:r w:rsidR="00010BAF" w:rsidRPr="00471761">
        <w:rPr>
          <w:rFonts w:ascii="Calibri" w:hAnsi="Calibri"/>
        </w:rPr>
        <w:t xml:space="preserve"> discussing overall progress on gender equality by states and the UN system</w:t>
      </w:r>
      <w:r w:rsidR="001B4D62" w:rsidRPr="00471761">
        <w:rPr>
          <w:rFonts w:ascii="Calibri" w:hAnsi="Calibri"/>
        </w:rPr>
        <w:t xml:space="preserve">. </w:t>
      </w:r>
      <w:r w:rsidR="00C566AF" w:rsidRPr="00471761">
        <w:rPr>
          <w:rFonts w:ascii="Calibri" w:hAnsi="Calibri"/>
        </w:rPr>
        <w:t xml:space="preserve">The CSW involves </w:t>
      </w:r>
      <w:r w:rsidRPr="00471761">
        <w:rPr>
          <w:rFonts w:ascii="Calibri" w:hAnsi="Calibri"/>
        </w:rPr>
        <w:t xml:space="preserve">the </w:t>
      </w:r>
      <w:r w:rsidRPr="00471761">
        <w:rPr>
          <w:rFonts w:ascii="Calibri" w:hAnsi="Calibri"/>
          <w:b/>
          <w:color w:val="4F81BD" w:themeColor="accent1"/>
        </w:rPr>
        <w:t>diverse and extensive participation of women’s organizations</w:t>
      </w:r>
      <w:r w:rsidRPr="00471761">
        <w:rPr>
          <w:rFonts w:ascii="Calibri" w:hAnsi="Calibri"/>
        </w:rPr>
        <w:t>, and their annual convergence to discuss wide-ranging issues of concern to the women’s movement</w:t>
      </w:r>
      <w:r w:rsidR="00C566AF" w:rsidRPr="00471761">
        <w:rPr>
          <w:rFonts w:ascii="Calibri" w:hAnsi="Calibri"/>
        </w:rPr>
        <w:t xml:space="preserve"> is unmatched </w:t>
      </w:r>
      <w:r w:rsidR="002B069A" w:rsidRPr="00471761">
        <w:rPr>
          <w:rFonts w:ascii="Calibri" w:hAnsi="Calibri"/>
        </w:rPr>
        <w:t>elsewhere</w:t>
      </w:r>
      <w:r w:rsidR="00C566AF" w:rsidRPr="00471761">
        <w:rPr>
          <w:rFonts w:ascii="Calibri" w:hAnsi="Calibri"/>
        </w:rPr>
        <w:t xml:space="preserve"> in the UN system. This is particularly </w:t>
      </w:r>
      <w:r w:rsidR="002B069A" w:rsidRPr="00471761">
        <w:rPr>
          <w:rFonts w:ascii="Calibri" w:hAnsi="Calibri"/>
        </w:rPr>
        <w:t>important</w:t>
      </w:r>
      <w:r w:rsidR="00C566AF" w:rsidRPr="00471761">
        <w:rPr>
          <w:rFonts w:ascii="Calibri" w:hAnsi="Calibri"/>
        </w:rPr>
        <w:t xml:space="preserve"> given the lack of regular world conferences on women</w:t>
      </w:r>
      <w:r w:rsidR="00CB538C" w:rsidRPr="00471761">
        <w:rPr>
          <w:rFonts w:ascii="Calibri" w:hAnsi="Calibri"/>
        </w:rPr>
        <w:t>.</w:t>
      </w:r>
      <w:r w:rsidR="002B069A" w:rsidRPr="00471761">
        <w:rPr>
          <w:rFonts w:ascii="Calibri" w:hAnsi="Calibri"/>
        </w:rPr>
        <w:t xml:space="preserve"> </w:t>
      </w:r>
      <w:r w:rsidR="00CB538C" w:rsidRPr="00471761">
        <w:rPr>
          <w:rFonts w:ascii="Calibri" w:hAnsi="Calibri"/>
        </w:rPr>
        <w:t>The</w:t>
      </w:r>
      <w:r w:rsidR="002B069A" w:rsidRPr="00471761">
        <w:rPr>
          <w:rFonts w:ascii="Calibri" w:hAnsi="Calibri"/>
        </w:rPr>
        <w:t xml:space="preserve"> CSW is</w:t>
      </w:r>
      <w:r w:rsidR="00CB538C" w:rsidRPr="00471761">
        <w:rPr>
          <w:rFonts w:ascii="Calibri" w:hAnsi="Calibri"/>
        </w:rPr>
        <w:t>, in practical terms,</w:t>
      </w:r>
      <w:r w:rsidR="002B069A" w:rsidRPr="00471761">
        <w:rPr>
          <w:rFonts w:ascii="Calibri" w:hAnsi="Calibri"/>
        </w:rPr>
        <w:t xml:space="preserve"> </w:t>
      </w:r>
      <w:r w:rsidR="00CB538C" w:rsidRPr="00471761">
        <w:rPr>
          <w:rFonts w:ascii="Calibri" w:hAnsi="Calibri"/>
        </w:rPr>
        <w:t>the biggest platform at the UN</w:t>
      </w:r>
      <w:r w:rsidR="002B069A" w:rsidRPr="00471761">
        <w:rPr>
          <w:rFonts w:ascii="Calibri" w:hAnsi="Calibri"/>
        </w:rPr>
        <w:t xml:space="preserve"> for </w:t>
      </w:r>
      <w:r w:rsidR="00CB538C" w:rsidRPr="00471761">
        <w:rPr>
          <w:rFonts w:ascii="Calibri" w:hAnsi="Calibri"/>
        </w:rPr>
        <w:t>global</w:t>
      </w:r>
      <w:r w:rsidR="002B069A" w:rsidRPr="00471761">
        <w:rPr>
          <w:rFonts w:ascii="Calibri" w:hAnsi="Calibri"/>
        </w:rPr>
        <w:t xml:space="preserve"> women’s and girls’ </w:t>
      </w:r>
      <w:r w:rsidR="00CB538C" w:rsidRPr="00471761">
        <w:rPr>
          <w:rFonts w:ascii="Calibri" w:hAnsi="Calibri"/>
        </w:rPr>
        <w:t>network</w:t>
      </w:r>
      <w:r w:rsidR="002B069A" w:rsidRPr="00471761">
        <w:rPr>
          <w:rFonts w:ascii="Calibri" w:hAnsi="Calibri"/>
        </w:rPr>
        <w:t>s working on the WPS agenda to meet and share good practices, lessons learned, and knowledge and information from their various countries and regions</w:t>
      </w:r>
      <w:r w:rsidRPr="00471761">
        <w:rPr>
          <w:rFonts w:ascii="Calibri" w:hAnsi="Calibri"/>
        </w:rPr>
        <w:t xml:space="preserve">. Formally the CSW is an annual forum for </w:t>
      </w:r>
      <w:r w:rsidR="000C5A16" w:rsidRPr="00471761">
        <w:rPr>
          <w:rFonts w:ascii="Calibri" w:hAnsi="Calibri"/>
        </w:rPr>
        <w:t>governments</w:t>
      </w:r>
      <w:r w:rsidR="00EC0ADF" w:rsidRPr="00471761">
        <w:rPr>
          <w:rFonts w:ascii="Calibri" w:hAnsi="Calibri"/>
        </w:rPr>
        <w:t xml:space="preserve">, civil society and </w:t>
      </w:r>
      <w:r w:rsidR="000C5A16" w:rsidRPr="00471761">
        <w:rPr>
          <w:rFonts w:ascii="Calibri" w:hAnsi="Calibri"/>
        </w:rPr>
        <w:t>the UN</w:t>
      </w:r>
      <w:r w:rsidR="00EC0ADF" w:rsidRPr="00471761">
        <w:rPr>
          <w:rFonts w:ascii="Calibri" w:hAnsi="Calibri"/>
        </w:rPr>
        <w:t xml:space="preserve"> to discuss the </w:t>
      </w:r>
      <w:r w:rsidR="002B069A" w:rsidRPr="00471761">
        <w:rPr>
          <w:rFonts w:ascii="Calibri" w:hAnsi="Calibri"/>
        </w:rPr>
        <w:t>implementation of</w:t>
      </w:r>
      <w:r w:rsidR="000C5A16" w:rsidRPr="00471761">
        <w:rPr>
          <w:rFonts w:ascii="Calibri" w:hAnsi="Calibri"/>
        </w:rPr>
        <w:t xml:space="preserve"> </w:t>
      </w:r>
      <w:r w:rsidRPr="00471761">
        <w:rPr>
          <w:rFonts w:ascii="Calibri" w:hAnsi="Calibri"/>
        </w:rPr>
        <w:t>the BPfA</w:t>
      </w:r>
      <w:r w:rsidR="00EC0ADF" w:rsidRPr="00471761">
        <w:rPr>
          <w:rFonts w:ascii="Calibri" w:hAnsi="Calibri"/>
        </w:rPr>
        <w:t xml:space="preserve">. </w:t>
      </w:r>
      <w:r w:rsidR="001B4D62" w:rsidRPr="00471761">
        <w:rPr>
          <w:rFonts w:ascii="Calibri" w:hAnsi="Calibri"/>
          <w:b/>
          <w:color w:val="4F81BD" w:themeColor="accent1"/>
        </w:rPr>
        <w:t>Politically, it is a strategic a</w:t>
      </w:r>
      <w:r w:rsidR="000C5A16" w:rsidRPr="00471761">
        <w:rPr>
          <w:rFonts w:ascii="Calibri" w:hAnsi="Calibri"/>
          <w:b/>
          <w:color w:val="4F81BD" w:themeColor="accent1"/>
        </w:rPr>
        <w:t xml:space="preserve">venue for feminist organizations to </w:t>
      </w:r>
      <w:r w:rsidR="00267552" w:rsidRPr="00471761">
        <w:rPr>
          <w:rFonts w:ascii="Calibri" w:hAnsi="Calibri"/>
          <w:b/>
          <w:color w:val="4F81BD" w:themeColor="accent1"/>
        </w:rPr>
        <w:t>collaborate,</w:t>
      </w:r>
      <w:r w:rsidR="000C5A16" w:rsidRPr="00471761">
        <w:rPr>
          <w:rFonts w:ascii="Calibri" w:hAnsi="Calibri"/>
          <w:b/>
          <w:color w:val="4F81BD" w:themeColor="accent1"/>
        </w:rPr>
        <w:t xml:space="preserve"> advocate and lobby their governments and the UN</w:t>
      </w:r>
      <w:r w:rsidR="00C566AF" w:rsidRPr="00471761">
        <w:rPr>
          <w:rFonts w:ascii="Calibri" w:hAnsi="Calibri"/>
          <w:b/>
          <w:color w:val="4F81BD" w:themeColor="accent1"/>
        </w:rPr>
        <w:t xml:space="preserve"> system</w:t>
      </w:r>
      <w:r w:rsidR="000C5A16" w:rsidRPr="00471761">
        <w:rPr>
          <w:rFonts w:ascii="Calibri" w:hAnsi="Calibri"/>
          <w:b/>
          <w:color w:val="4F81BD" w:themeColor="accent1"/>
        </w:rPr>
        <w:t xml:space="preserve"> to take action on SCR 1325</w:t>
      </w:r>
      <w:r w:rsidR="000C5A16" w:rsidRPr="00471761">
        <w:rPr>
          <w:rFonts w:ascii="Calibri" w:hAnsi="Calibri"/>
          <w:color w:val="4F81BD" w:themeColor="accent1"/>
        </w:rPr>
        <w:t xml:space="preserve"> </w:t>
      </w:r>
      <w:r w:rsidR="000C5A16" w:rsidRPr="00471761">
        <w:rPr>
          <w:rFonts w:ascii="Calibri" w:hAnsi="Calibri"/>
          <w:b/>
          <w:color w:val="4F81BD" w:themeColor="accent1"/>
        </w:rPr>
        <w:t xml:space="preserve">and </w:t>
      </w:r>
      <w:r w:rsidR="00267552" w:rsidRPr="00471761">
        <w:rPr>
          <w:rFonts w:ascii="Calibri" w:hAnsi="Calibri"/>
          <w:b/>
          <w:color w:val="4F81BD" w:themeColor="accent1"/>
        </w:rPr>
        <w:t>the legal framework</w:t>
      </w:r>
      <w:r w:rsidR="000C5A16" w:rsidRPr="00471761">
        <w:rPr>
          <w:rFonts w:ascii="Calibri" w:hAnsi="Calibri"/>
          <w:color w:val="4F81BD" w:themeColor="accent1"/>
        </w:rPr>
        <w:t>.</w:t>
      </w:r>
      <w:r w:rsidR="000C5A16" w:rsidRPr="00471761">
        <w:rPr>
          <w:rFonts w:ascii="Calibri" w:hAnsi="Calibri"/>
        </w:rPr>
        <w:t xml:space="preserve"> </w:t>
      </w:r>
    </w:p>
    <w:p w14:paraId="57FF5DFA" w14:textId="6EE58ADF" w:rsidR="009C376F" w:rsidRPr="00471761" w:rsidRDefault="000C5A16" w:rsidP="00B71A70">
      <w:pPr>
        <w:spacing w:before="100" w:beforeAutospacing="1" w:after="100" w:afterAutospacing="1" w:line="360" w:lineRule="auto"/>
        <w:jc w:val="both"/>
        <w:rPr>
          <w:rFonts w:ascii="Calibri" w:hAnsi="Calibri"/>
        </w:rPr>
      </w:pPr>
      <w:r w:rsidRPr="00471761">
        <w:rPr>
          <w:rFonts w:ascii="Calibri" w:hAnsi="Calibri"/>
        </w:rPr>
        <w:t>T</w:t>
      </w:r>
      <w:r w:rsidR="009C376F" w:rsidRPr="00471761">
        <w:rPr>
          <w:rFonts w:ascii="Calibri" w:hAnsi="Calibri"/>
        </w:rPr>
        <w:t xml:space="preserve">he </w:t>
      </w:r>
      <w:r w:rsidRPr="00471761">
        <w:rPr>
          <w:rFonts w:ascii="Calibri" w:hAnsi="Calibri"/>
        </w:rPr>
        <w:t>CSW</w:t>
      </w:r>
      <w:r w:rsidR="00267552" w:rsidRPr="00471761">
        <w:rPr>
          <w:rFonts w:ascii="Calibri" w:hAnsi="Calibri"/>
        </w:rPr>
        <w:t>’s</w:t>
      </w:r>
      <w:r w:rsidRPr="00471761">
        <w:rPr>
          <w:rFonts w:ascii="Calibri" w:hAnsi="Calibri"/>
        </w:rPr>
        <w:t xml:space="preserve"> </w:t>
      </w:r>
      <w:r w:rsidR="001B4D62" w:rsidRPr="00471761">
        <w:rPr>
          <w:rFonts w:ascii="Calibri" w:hAnsi="Calibri"/>
        </w:rPr>
        <w:t>recommendations on</w:t>
      </w:r>
      <w:r w:rsidR="00267552" w:rsidRPr="00471761">
        <w:rPr>
          <w:rFonts w:ascii="Calibri" w:hAnsi="Calibri"/>
        </w:rPr>
        <w:t xml:space="preserve"> WPS </w:t>
      </w:r>
      <w:r w:rsidR="001E0A2A" w:rsidRPr="00471761">
        <w:rPr>
          <w:rFonts w:ascii="Calibri" w:hAnsi="Calibri"/>
        </w:rPr>
        <w:t>also form a key</w:t>
      </w:r>
      <w:r w:rsidR="001B4D62" w:rsidRPr="00471761">
        <w:rPr>
          <w:rFonts w:ascii="Calibri" w:hAnsi="Calibri"/>
        </w:rPr>
        <w:t xml:space="preserve"> part of </w:t>
      </w:r>
      <w:r w:rsidR="00267552" w:rsidRPr="00471761">
        <w:rPr>
          <w:rFonts w:ascii="Calibri" w:hAnsi="Calibri"/>
        </w:rPr>
        <w:t>the legal framework</w:t>
      </w:r>
      <w:r w:rsidR="009C376F" w:rsidRPr="00471761">
        <w:rPr>
          <w:rFonts w:ascii="Calibri" w:hAnsi="Calibri"/>
        </w:rPr>
        <w:t xml:space="preserve">. </w:t>
      </w:r>
      <w:r w:rsidR="009D5FC7" w:rsidRPr="00471761">
        <w:rPr>
          <w:rFonts w:ascii="Calibri" w:hAnsi="Calibri"/>
        </w:rPr>
        <w:t>The</w:t>
      </w:r>
      <w:r w:rsidR="009C376F" w:rsidRPr="00471761">
        <w:rPr>
          <w:rFonts w:ascii="Calibri" w:hAnsi="Calibri"/>
        </w:rPr>
        <w:t xml:space="preserve"> CSW Agreed Con</w:t>
      </w:r>
      <w:r w:rsidRPr="00471761">
        <w:rPr>
          <w:rFonts w:ascii="Calibri" w:hAnsi="Calibri"/>
        </w:rPr>
        <w:t xml:space="preserve">clusions of 2013 on violence against women </w:t>
      </w:r>
      <w:r w:rsidR="00267552" w:rsidRPr="00471761">
        <w:rPr>
          <w:rFonts w:ascii="Calibri" w:hAnsi="Calibri"/>
        </w:rPr>
        <w:t xml:space="preserve">add value to </w:t>
      </w:r>
      <w:r w:rsidR="001E0A2A" w:rsidRPr="00471761">
        <w:rPr>
          <w:rFonts w:ascii="Calibri" w:hAnsi="Calibri"/>
        </w:rPr>
        <w:t>understanding the obligations in</w:t>
      </w:r>
      <w:r w:rsidR="00267552" w:rsidRPr="00471761">
        <w:rPr>
          <w:rFonts w:ascii="Calibri" w:hAnsi="Calibri"/>
        </w:rPr>
        <w:t xml:space="preserve"> SCR 1325 </w:t>
      </w:r>
      <w:r w:rsidRPr="00471761">
        <w:rPr>
          <w:rFonts w:ascii="Calibri" w:hAnsi="Calibri"/>
        </w:rPr>
        <w:lastRenderedPageBreak/>
        <w:t xml:space="preserve">(see Section 1). </w:t>
      </w:r>
      <w:r w:rsidR="00010BAF" w:rsidRPr="00471761">
        <w:rPr>
          <w:rFonts w:ascii="Calibri" w:hAnsi="Calibri"/>
        </w:rPr>
        <w:t>It</w:t>
      </w:r>
      <w:r w:rsidR="00C566AF" w:rsidRPr="00471761">
        <w:rPr>
          <w:rFonts w:ascii="Calibri" w:hAnsi="Calibri"/>
        </w:rPr>
        <w:t xml:space="preserve"> </w:t>
      </w:r>
      <w:r w:rsidR="00010BAF" w:rsidRPr="00471761">
        <w:rPr>
          <w:rFonts w:ascii="Calibri" w:hAnsi="Calibri"/>
        </w:rPr>
        <w:t>is recommended that the CSW, like the UPR, include</w:t>
      </w:r>
      <w:r w:rsidR="00267552" w:rsidRPr="00471761">
        <w:rPr>
          <w:rFonts w:ascii="Calibri" w:hAnsi="Calibri"/>
        </w:rPr>
        <w:t xml:space="preserve"> a </w:t>
      </w:r>
      <w:r w:rsidR="001B4D62" w:rsidRPr="00471761">
        <w:rPr>
          <w:rFonts w:ascii="Calibri" w:hAnsi="Calibri"/>
          <w:b/>
          <w:color w:val="4F81BD" w:themeColor="accent1"/>
        </w:rPr>
        <w:t>“Women, Peace and Security” section</w:t>
      </w:r>
      <w:r w:rsidR="00267552" w:rsidRPr="00471761">
        <w:rPr>
          <w:rFonts w:ascii="Calibri" w:hAnsi="Calibri"/>
        </w:rPr>
        <w:t xml:space="preserve"> in </w:t>
      </w:r>
      <w:r w:rsidR="001E0A2A" w:rsidRPr="00471761">
        <w:rPr>
          <w:rFonts w:ascii="Calibri" w:hAnsi="Calibri"/>
          <w:b/>
          <w:color w:val="4F81BD" w:themeColor="accent1"/>
        </w:rPr>
        <w:t xml:space="preserve">its </w:t>
      </w:r>
      <w:r w:rsidR="00C566AF" w:rsidRPr="00471761">
        <w:rPr>
          <w:rFonts w:ascii="Calibri" w:hAnsi="Calibri"/>
          <w:b/>
          <w:color w:val="4F81BD" w:themeColor="accent1"/>
        </w:rPr>
        <w:t>Agreed Conclusions</w:t>
      </w:r>
      <w:r w:rsidR="00C566AF" w:rsidRPr="00471761">
        <w:rPr>
          <w:rFonts w:ascii="Calibri" w:hAnsi="Calibri"/>
        </w:rPr>
        <w:t>.</w:t>
      </w:r>
      <w:r w:rsidR="002B069A" w:rsidRPr="00471761">
        <w:rPr>
          <w:rFonts w:ascii="Calibri" w:hAnsi="Calibri"/>
        </w:rPr>
        <w:t xml:space="preserve"> As with the UPR process, government officials and civil society would require financial and human resources and capacity-building to help</w:t>
      </w:r>
      <w:r w:rsidR="003829A3" w:rsidRPr="00471761">
        <w:rPr>
          <w:rFonts w:ascii="Calibri" w:hAnsi="Calibri"/>
        </w:rPr>
        <w:t xml:space="preserve"> them report effectively on state compliance with the legal framework. Including a Women, Peace and Security section in </w:t>
      </w:r>
      <w:r w:rsidR="001E0A2A" w:rsidRPr="00471761">
        <w:rPr>
          <w:rFonts w:ascii="Calibri" w:hAnsi="Calibri"/>
        </w:rPr>
        <w:t>the Agreed Conclusions</w:t>
      </w:r>
      <w:r w:rsidR="003829A3" w:rsidRPr="00471761">
        <w:rPr>
          <w:rFonts w:ascii="Calibri" w:hAnsi="Calibri"/>
        </w:rPr>
        <w:t xml:space="preserve"> would also </w:t>
      </w:r>
      <w:r w:rsidR="00C82270" w:rsidRPr="00471761">
        <w:rPr>
          <w:rFonts w:ascii="Calibri" w:hAnsi="Calibri"/>
        </w:rPr>
        <w:t>ensure that that</w:t>
      </w:r>
      <w:r w:rsidR="003829A3" w:rsidRPr="00471761">
        <w:rPr>
          <w:rFonts w:ascii="Calibri" w:hAnsi="Calibri"/>
        </w:rPr>
        <w:t xml:space="preserve"> </w:t>
      </w:r>
      <w:r w:rsidR="00C82270" w:rsidRPr="00471761">
        <w:rPr>
          <w:rFonts w:ascii="Calibri" w:hAnsi="Calibri"/>
        </w:rPr>
        <w:t>the rights of women and girls</w:t>
      </w:r>
      <w:r w:rsidR="003829A3" w:rsidRPr="00471761">
        <w:rPr>
          <w:rFonts w:ascii="Calibri" w:hAnsi="Calibri"/>
        </w:rPr>
        <w:t xml:space="preserve"> in relation to conflict </w:t>
      </w:r>
      <w:r w:rsidR="00C82270" w:rsidRPr="00471761">
        <w:rPr>
          <w:rFonts w:ascii="Calibri" w:hAnsi="Calibri"/>
        </w:rPr>
        <w:t>contin</w:t>
      </w:r>
      <w:r w:rsidR="009D5FC7" w:rsidRPr="00471761">
        <w:rPr>
          <w:rFonts w:ascii="Calibri" w:hAnsi="Calibri"/>
        </w:rPr>
        <w:t>ue to be prioritised</w:t>
      </w:r>
      <w:r w:rsidR="001E0A2A" w:rsidRPr="00471761">
        <w:rPr>
          <w:rFonts w:ascii="Calibri" w:hAnsi="Calibri"/>
        </w:rPr>
        <w:t xml:space="preserve"> by governments</w:t>
      </w:r>
      <w:r w:rsidR="009D5FC7" w:rsidRPr="00471761">
        <w:rPr>
          <w:rFonts w:ascii="Calibri" w:hAnsi="Calibri"/>
        </w:rPr>
        <w:t xml:space="preserve"> and </w:t>
      </w:r>
      <w:r w:rsidR="001E0A2A" w:rsidRPr="00471761">
        <w:rPr>
          <w:rFonts w:ascii="Calibri" w:hAnsi="Calibri"/>
        </w:rPr>
        <w:t xml:space="preserve">development partners, and do not lose international attention or resourcing. Governments should also be encouraged to include the WPS agenda in the resolutions and other key outcome documents of the CSW. </w:t>
      </w:r>
    </w:p>
    <w:p w14:paraId="6811160A" w14:textId="18BC7585" w:rsidR="00ED0533" w:rsidRPr="00471761" w:rsidRDefault="001B4D62" w:rsidP="007F364C">
      <w:pPr>
        <w:pStyle w:val="ListParagraph"/>
        <w:numPr>
          <w:ilvl w:val="0"/>
          <w:numId w:val="7"/>
        </w:numPr>
        <w:spacing w:before="100" w:beforeAutospacing="1" w:after="100" w:afterAutospacing="1"/>
        <w:jc w:val="both"/>
        <w:rPr>
          <w:rFonts w:ascii="Calibri" w:hAnsi="Calibri"/>
          <w:b/>
          <w:color w:val="1F497D" w:themeColor="text2"/>
        </w:rPr>
      </w:pPr>
      <w:r w:rsidRPr="00471761">
        <w:rPr>
          <w:rFonts w:ascii="Calibri" w:hAnsi="Calibri"/>
          <w:b/>
          <w:color w:val="1F497D" w:themeColor="text2"/>
        </w:rPr>
        <w:t xml:space="preserve">The Committee on the Elimination of Discrimination </w:t>
      </w:r>
      <w:r w:rsidR="002F7691">
        <w:rPr>
          <w:rFonts w:ascii="Calibri" w:hAnsi="Calibri"/>
          <w:b/>
          <w:color w:val="1F497D" w:themeColor="text2"/>
        </w:rPr>
        <w:t>a</w:t>
      </w:r>
      <w:r w:rsidRPr="00471761">
        <w:rPr>
          <w:rFonts w:ascii="Calibri" w:hAnsi="Calibri"/>
          <w:b/>
          <w:color w:val="1F497D" w:themeColor="text2"/>
        </w:rPr>
        <w:t>gainst Women (CEDAW Committee)</w:t>
      </w:r>
    </w:p>
    <w:p w14:paraId="7ABCA2A9" w14:textId="1EAE1499" w:rsidR="00B63151" w:rsidRPr="00471761" w:rsidRDefault="00A072CA" w:rsidP="00B71A70">
      <w:pPr>
        <w:spacing w:before="100" w:beforeAutospacing="1" w:after="100" w:afterAutospacing="1" w:line="360" w:lineRule="auto"/>
        <w:jc w:val="both"/>
        <w:rPr>
          <w:rFonts w:ascii="Calibri" w:hAnsi="Calibri"/>
        </w:rPr>
      </w:pPr>
      <w:r w:rsidRPr="00471761">
        <w:rPr>
          <w:rFonts w:ascii="Calibri" w:hAnsi="Calibri"/>
        </w:rPr>
        <w:t xml:space="preserve">The Committee on the Elimination of </w:t>
      </w:r>
      <w:r w:rsidR="00862DA4" w:rsidRPr="00471761">
        <w:rPr>
          <w:rFonts w:ascii="Calibri" w:hAnsi="Calibri"/>
        </w:rPr>
        <w:t xml:space="preserve">Discrimination </w:t>
      </w:r>
      <w:r w:rsidR="002F7691">
        <w:rPr>
          <w:rFonts w:ascii="Calibri" w:hAnsi="Calibri"/>
        </w:rPr>
        <w:t>a</w:t>
      </w:r>
      <w:r w:rsidR="00862DA4" w:rsidRPr="00471761">
        <w:rPr>
          <w:rFonts w:ascii="Calibri" w:hAnsi="Calibri"/>
        </w:rPr>
        <w:t>gainst Women (CEDAW Committee) is</w:t>
      </w:r>
      <w:r w:rsidR="002B069A" w:rsidRPr="00471761">
        <w:rPr>
          <w:rFonts w:ascii="Calibri" w:hAnsi="Calibri"/>
        </w:rPr>
        <w:t xml:space="preserve"> </w:t>
      </w:r>
      <w:r w:rsidR="00D459E3" w:rsidRPr="00471761">
        <w:rPr>
          <w:rFonts w:ascii="Calibri" w:hAnsi="Calibri"/>
        </w:rPr>
        <w:t xml:space="preserve">the most relevant </w:t>
      </w:r>
      <w:r w:rsidR="00623568" w:rsidRPr="00471761">
        <w:rPr>
          <w:rFonts w:ascii="Calibri" w:hAnsi="Calibri"/>
        </w:rPr>
        <w:t xml:space="preserve">human rights </w:t>
      </w:r>
      <w:r w:rsidR="00D459E3" w:rsidRPr="00471761">
        <w:rPr>
          <w:rFonts w:ascii="Calibri" w:hAnsi="Calibri"/>
        </w:rPr>
        <w:t xml:space="preserve">treaty body to track progress on SCR 1325 and the legal framework, and is </w:t>
      </w:r>
      <w:r w:rsidR="002B069A" w:rsidRPr="00471761">
        <w:rPr>
          <w:rFonts w:ascii="Calibri" w:hAnsi="Calibri"/>
        </w:rPr>
        <w:t xml:space="preserve">increasingly playing a lead role in </w:t>
      </w:r>
      <w:r w:rsidR="00D12FC3" w:rsidRPr="00471761">
        <w:rPr>
          <w:rFonts w:ascii="Calibri" w:hAnsi="Calibri"/>
        </w:rPr>
        <w:t>doing so</w:t>
      </w:r>
      <w:r w:rsidR="002B069A" w:rsidRPr="00471761">
        <w:rPr>
          <w:rFonts w:ascii="Calibri" w:hAnsi="Calibri"/>
        </w:rPr>
        <w:t>.</w:t>
      </w:r>
      <w:r w:rsidR="002B069A" w:rsidRPr="00471761">
        <w:rPr>
          <w:rStyle w:val="FootnoteReference"/>
          <w:rFonts w:ascii="Calibri" w:hAnsi="Calibri"/>
        </w:rPr>
        <w:footnoteReference w:id="271"/>
      </w:r>
      <w:r w:rsidR="00862DA4" w:rsidRPr="00471761">
        <w:rPr>
          <w:rFonts w:ascii="Calibri" w:hAnsi="Calibri"/>
        </w:rPr>
        <w:t xml:space="preserve"> </w:t>
      </w:r>
      <w:r w:rsidR="00F2644F" w:rsidRPr="00471761">
        <w:rPr>
          <w:rFonts w:ascii="Calibri" w:hAnsi="Calibri"/>
        </w:rPr>
        <w:t xml:space="preserve">This is because of CEDAW’s status as the normative </w:t>
      </w:r>
      <w:r w:rsidR="004953A8" w:rsidRPr="00471761">
        <w:rPr>
          <w:rFonts w:ascii="Calibri" w:hAnsi="Calibri"/>
        </w:rPr>
        <w:t>heart</w:t>
      </w:r>
      <w:r w:rsidR="00F2644F" w:rsidRPr="00471761">
        <w:rPr>
          <w:rFonts w:ascii="Calibri" w:hAnsi="Calibri"/>
        </w:rPr>
        <w:t xml:space="preserve"> of the legal framework, </w:t>
      </w:r>
      <w:r w:rsidR="009D5FC7" w:rsidRPr="00471761">
        <w:rPr>
          <w:rFonts w:ascii="Calibri" w:hAnsi="Calibri"/>
        </w:rPr>
        <w:t>reflecting</w:t>
      </w:r>
      <w:r w:rsidR="00C65D1A" w:rsidRPr="00471761">
        <w:rPr>
          <w:rFonts w:ascii="Calibri" w:hAnsi="Calibri"/>
        </w:rPr>
        <w:t xml:space="preserve"> many </w:t>
      </w:r>
      <w:r w:rsidR="00F2644F" w:rsidRPr="00471761">
        <w:rPr>
          <w:rFonts w:ascii="Calibri" w:hAnsi="Calibri"/>
        </w:rPr>
        <w:t xml:space="preserve">protections in SCR 1325 (see Section 1). </w:t>
      </w:r>
      <w:r w:rsidR="00AC418B" w:rsidRPr="00471761">
        <w:rPr>
          <w:rFonts w:ascii="Calibri" w:hAnsi="Calibri"/>
        </w:rPr>
        <w:t>The CEDAW</w:t>
      </w:r>
      <w:r w:rsidR="00D12FC3" w:rsidRPr="00471761">
        <w:rPr>
          <w:rFonts w:ascii="Calibri" w:hAnsi="Calibri"/>
        </w:rPr>
        <w:t xml:space="preserve"> GR No. 30</w:t>
      </w:r>
      <w:r w:rsidR="00D12FC3" w:rsidRPr="00471761">
        <w:rPr>
          <w:rStyle w:val="FootnoteReference"/>
          <w:rFonts w:ascii="Calibri" w:hAnsi="Calibri"/>
        </w:rPr>
        <w:footnoteReference w:id="272"/>
      </w:r>
      <w:r w:rsidR="00D12FC3" w:rsidRPr="00471761">
        <w:rPr>
          <w:rFonts w:ascii="Calibri" w:hAnsi="Calibri"/>
        </w:rPr>
        <w:t xml:space="preserve"> explicitly asks states to provide information on the implementation of SCRs 1325, 1820 1888, 1889, 1960 and 2106 as part of their CEDAW reporting obligations (see Section 1).</w:t>
      </w:r>
      <w:r w:rsidR="00D12FC3" w:rsidRPr="00471761">
        <w:rPr>
          <w:rStyle w:val="FootnoteReference"/>
          <w:rFonts w:ascii="Calibri" w:hAnsi="Calibri"/>
        </w:rPr>
        <w:footnoteReference w:id="273"/>
      </w:r>
      <w:r w:rsidR="00AC418B" w:rsidRPr="00471761">
        <w:rPr>
          <w:rFonts w:ascii="Calibri" w:hAnsi="Calibri"/>
        </w:rPr>
        <w:t xml:space="preserve"> </w:t>
      </w:r>
      <w:r w:rsidR="00C65D1A" w:rsidRPr="00471761">
        <w:rPr>
          <w:rFonts w:ascii="Calibri" w:hAnsi="Calibri"/>
        </w:rPr>
        <w:t>T</w:t>
      </w:r>
      <w:r w:rsidR="00F2644F" w:rsidRPr="00471761">
        <w:rPr>
          <w:rFonts w:ascii="Calibri" w:hAnsi="Calibri"/>
        </w:rPr>
        <w:t xml:space="preserve">wo key objectives </w:t>
      </w:r>
      <w:r w:rsidR="002B069A" w:rsidRPr="00471761">
        <w:rPr>
          <w:rFonts w:ascii="Calibri" w:hAnsi="Calibri"/>
        </w:rPr>
        <w:t>of</w:t>
      </w:r>
      <w:r w:rsidR="00F2644F" w:rsidRPr="00471761">
        <w:rPr>
          <w:rFonts w:ascii="Calibri" w:hAnsi="Calibri"/>
        </w:rPr>
        <w:t xml:space="preserve"> </w:t>
      </w:r>
      <w:r w:rsidR="00623568" w:rsidRPr="00471761">
        <w:rPr>
          <w:rFonts w:ascii="Calibri" w:hAnsi="Calibri"/>
        </w:rPr>
        <w:t>CEDAW</w:t>
      </w:r>
      <w:r w:rsidR="003829A3" w:rsidRPr="00471761">
        <w:rPr>
          <w:rFonts w:ascii="Calibri" w:hAnsi="Calibri"/>
        </w:rPr>
        <w:t xml:space="preserve"> </w:t>
      </w:r>
      <w:r w:rsidR="00F2644F" w:rsidRPr="00471761">
        <w:rPr>
          <w:rFonts w:ascii="Calibri" w:hAnsi="Calibri"/>
        </w:rPr>
        <w:t>and its GR No. 30</w:t>
      </w:r>
      <w:r w:rsidR="002B069A" w:rsidRPr="00471761">
        <w:rPr>
          <w:rFonts w:ascii="Calibri" w:hAnsi="Calibri"/>
        </w:rPr>
        <w:t xml:space="preserve"> </w:t>
      </w:r>
      <w:r w:rsidR="00D12FC3" w:rsidRPr="00471761">
        <w:rPr>
          <w:rFonts w:ascii="Calibri" w:hAnsi="Calibri"/>
        </w:rPr>
        <w:t xml:space="preserve">guide the Committee’s </w:t>
      </w:r>
      <w:r w:rsidR="002B069A" w:rsidRPr="00471761">
        <w:rPr>
          <w:rFonts w:ascii="Calibri" w:hAnsi="Calibri"/>
        </w:rPr>
        <w:t xml:space="preserve">monitoring </w:t>
      </w:r>
      <w:r w:rsidR="00D12FC3" w:rsidRPr="00471761">
        <w:rPr>
          <w:rFonts w:ascii="Calibri" w:hAnsi="Calibri"/>
        </w:rPr>
        <w:t xml:space="preserve">of </w:t>
      </w:r>
      <w:r w:rsidR="00C65D1A" w:rsidRPr="00471761">
        <w:rPr>
          <w:rFonts w:ascii="Calibri" w:hAnsi="Calibri"/>
        </w:rPr>
        <w:t>state compliance</w:t>
      </w:r>
      <w:r w:rsidR="002B069A" w:rsidRPr="00471761">
        <w:rPr>
          <w:rFonts w:ascii="Calibri" w:hAnsi="Calibri"/>
        </w:rPr>
        <w:t>:  p</w:t>
      </w:r>
      <w:r w:rsidR="00F2644F" w:rsidRPr="00471761">
        <w:rPr>
          <w:rFonts w:ascii="Calibri" w:hAnsi="Calibri"/>
        </w:rPr>
        <w:t xml:space="preserve">rotecting women’s human rights and </w:t>
      </w:r>
      <w:r w:rsidR="00F2644F" w:rsidRPr="00471761">
        <w:rPr>
          <w:rFonts w:ascii="Calibri" w:hAnsi="Calibri"/>
          <w:b/>
          <w:color w:val="4F81BD" w:themeColor="accent1"/>
        </w:rPr>
        <w:t>advancing substantive equality</w:t>
      </w:r>
      <w:r w:rsidR="00F2644F" w:rsidRPr="00471761">
        <w:rPr>
          <w:rFonts w:ascii="Calibri" w:hAnsi="Calibri"/>
          <w:color w:val="4F81BD" w:themeColor="accent1"/>
        </w:rPr>
        <w:t xml:space="preserve"> </w:t>
      </w:r>
      <w:r w:rsidR="00F2644F" w:rsidRPr="00471761">
        <w:rPr>
          <w:rFonts w:ascii="Calibri" w:hAnsi="Calibri"/>
        </w:rPr>
        <w:t>at all stages of the conflict cycle (prevention, conflict, resolution, post-conflict and t</w:t>
      </w:r>
      <w:r w:rsidR="002B069A" w:rsidRPr="00471761">
        <w:rPr>
          <w:rFonts w:ascii="Calibri" w:hAnsi="Calibri"/>
        </w:rPr>
        <w:t xml:space="preserve">ransitional justice situations) and </w:t>
      </w:r>
      <w:r w:rsidR="002B069A" w:rsidRPr="00471761">
        <w:rPr>
          <w:rFonts w:ascii="Calibri" w:hAnsi="Calibri"/>
          <w:b/>
          <w:color w:val="4F81BD" w:themeColor="accent1"/>
        </w:rPr>
        <w:t>integrating</w:t>
      </w:r>
      <w:r w:rsidR="00F2644F" w:rsidRPr="00471761">
        <w:rPr>
          <w:rFonts w:ascii="Calibri" w:hAnsi="Calibri"/>
          <w:b/>
          <w:color w:val="4F81BD" w:themeColor="accent1"/>
        </w:rPr>
        <w:t xml:space="preserve"> women’s diverse experiences into peacebuilding and reconstruction</w:t>
      </w:r>
      <w:r w:rsidR="00F2644F" w:rsidRPr="00471761">
        <w:rPr>
          <w:rFonts w:ascii="Calibri" w:hAnsi="Calibri"/>
        </w:rPr>
        <w:t>.</w:t>
      </w:r>
      <w:r w:rsidR="00EE7BDB" w:rsidRPr="00471761">
        <w:rPr>
          <w:rStyle w:val="FootnoteReference"/>
          <w:rFonts w:ascii="Calibri" w:hAnsi="Calibri"/>
        </w:rPr>
        <w:footnoteReference w:id="274"/>
      </w:r>
      <w:r w:rsidR="00623568" w:rsidRPr="00471761">
        <w:rPr>
          <w:rFonts w:ascii="Calibri" w:hAnsi="Calibri"/>
        </w:rPr>
        <w:t xml:space="preserve"> </w:t>
      </w:r>
      <w:r w:rsidR="00C65D1A" w:rsidRPr="00471761">
        <w:rPr>
          <w:rFonts w:ascii="Calibri" w:hAnsi="Calibri"/>
        </w:rPr>
        <w:t>The</w:t>
      </w:r>
      <w:r w:rsidR="00F2644F" w:rsidRPr="00471761">
        <w:rPr>
          <w:rFonts w:ascii="Calibri" w:hAnsi="Calibri"/>
        </w:rPr>
        <w:t xml:space="preserve"> relevant processes </w:t>
      </w:r>
      <w:r w:rsidR="00C65D1A" w:rsidRPr="00471761">
        <w:rPr>
          <w:rFonts w:ascii="Calibri" w:hAnsi="Calibri"/>
        </w:rPr>
        <w:t xml:space="preserve">of the Committee are </w:t>
      </w:r>
      <w:r w:rsidR="00D12FC3" w:rsidRPr="00471761">
        <w:rPr>
          <w:rFonts w:ascii="Calibri" w:hAnsi="Calibri"/>
        </w:rPr>
        <w:t>CEDAW’s</w:t>
      </w:r>
      <w:r w:rsidR="00F2644F" w:rsidRPr="00471761">
        <w:rPr>
          <w:rFonts w:ascii="Calibri" w:hAnsi="Calibri"/>
        </w:rPr>
        <w:t xml:space="preserve"> </w:t>
      </w:r>
      <w:r w:rsidR="00F2644F" w:rsidRPr="00471761">
        <w:rPr>
          <w:rFonts w:ascii="Calibri" w:hAnsi="Calibri"/>
          <w:b/>
          <w:color w:val="4F81BD" w:themeColor="accent1"/>
        </w:rPr>
        <w:t>mandatory reporting</w:t>
      </w:r>
      <w:r w:rsidR="00F2644F" w:rsidRPr="00471761">
        <w:rPr>
          <w:rFonts w:ascii="Calibri" w:hAnsi="Calibri"/>
        </w:rPr>
        <w:t xml:space="preserve"> requirement,</w:t>
      </w:r>
      <w:r w:rsidR="00D459E3" w:rsidRPr="00471761">
        <w:rPr>
          <w:rStyle w:val="FootnoteReference"/>
          <w:rFonts w:ascii="Calibri" w:hAnsi="Calibri"/>
        </w:rPr>
        <w:footnoteReference w:id="275"/>
      </w:r>
      <w:r w:rsidR="00F2644F" w:rsidRPr="00471761">
        <w:rPr>
          <w:rFonts w:ascii="Calibri" w:hAnsi="Calibri"/>
        </w:rPr>
        <w:t xml:space="preserve"> </w:t>
      </w:r>
      <w:r w:rsidR="00C65D1A" w:rsidRPr="00471761">
        <w:rPr>
          <w:rFonts w:ascii="Calibri" w:hAnsi="Calibri"/>
        </w:rPr>
        <w:t xml:space="preserve">the </w:t>
      </w:r>
      <w:r w:rsidR="007114F0">
        <w:rPr>
          <w:rFonts w:ascii="Calibri" w:hAnsi="Calibri"/>
          <w:b/>
          <w:color w:val="4F81BD" w:themeColor="accent1"/>
        </w:rPr>
        <w:t>communication</w:t>
      </w:r>
      <w:r w:rsidR="00F2644F" w:rsidRPr="00471761">
        <w:rPr>
          <w:rFonts w:ascii="Calibri" w:hAnsi="Calibri"/>
          <w:b/>
          <w:color w:val="4F81BD" w:themeColor="accent1"/>
        </w:rPr>
        <w:t xml:space="preserve"> procedure</w:t>
      </w:r>
      <w:r w:rsidR="00C65D1A" w:rsidRPr="00471761">
        <w:rPr>
          <w:rFonts w:ascii="Calibri" w:hAnsi="Calibri"/>
        </w:rPr>
        <w:t xml:space="preserve"> under CEDAW’s Optional Protocol</w:t>
      </w:r>
      <w:r w:rsidR="00D459E3" w:rsidRPr="00471761">
        <w:rPr>
          <w:rStyle w:val="FootnoteReference"/>
          <w:rFonts w:ascii="Calibri" w:hAnsi="Calibri"/>
        </w:rPr>
        <w:footnoteReference w:id="276"/>
      </w:r>
      <w:r w:rsidR="00F2644F" w:rsidRPr="00471761">
        <w:rPr>
          <w:rFonts w:ascii="Calibri" w:hAnsi="Calibri"/>
        </w:rPr>
        <w:t xml:space="preserve"> and the Committee’s </w:t>
      </w:r>
      <w:r w:rsidR="00D12FC3" w:rsidRPr="00471761">
        <w:rPr>
          <w:rFonts w:ascii="Calibri" w:hAnsi="Calibri"/>
        </w:rPr>
        <w:t>work</w:t>
      </w:r>
      <w:r w:rsidR="009D5FC7" w:rsidRPr="00471761">
        <w:rPr>
          <w:rFonts w:ascii="Calibri" w:hAnsi="Calibri"/>
        </w:rPr>
        <w:t xml:space="preserve"> with </w:t>
      </w:r>
      <w:r w:rsidR="009D5FC7" w:rsidRPr="00471761">
        <w:rPr>
          <w:rFonts w:ascii="Calibri" w:hAnsi="Calibri"/>
          <w:b/>
          <w:color w:val="4F81BD" w:themeColor="accent1"/>
        </w:rPr>
        <w:t>civil society</w:t>
      </w:r>
      <w:r w:rsidR="00D12FC3" w:rsidRPr="00471761">
        <w:rPr>
          <w:rFonts w:ascii="Calibri" w:hAnsi="Calibri"/>
          <w:b/>
          <w:color w:val="4F81BD" w:themeColor="accent1"/>
        </w:rPr>
        <w:t xml:space="preserve"> </w:t>
      </w:r>
      <w:r w:rsidR="00AC418B" w:rsidRPr="00471761">
        <w:rPr>
          <w:rFonts w:ascii="Calibri" w:hAnsi="Calibri"/>
          <w:b/>
          <w:color w:val="4F81BD" w:themeColor="accent1"/>
        </w:rPr>
        <w:t>on</w:t>
      </w:r>
      <w:r w:rsidR="00D12FC3" w:rsidRPr="00471761">
        <w:rPr>
          <w:rFonts w:ascii="Calibri" w:hAnsi="Calibri"/>
          <w:b/>
          <w:color w:val="4F81BD" w:themeColor="accent1"/>
        </w:rPr>
        <w:t xml:space="preserve"> </w:t>
      </w:r>
      <w:r w:rsidR="00406EB7">
        <w:rPr>
          <w:rFonts w:ascii="Calibri" w:hAnsi="Calibri"/>
          <w:b/>
          <w:color w:val="4F81BD" w:themeColor="accent1"/>
        </w:rPr>
        <w:t xml:space="preserve">building an </w:t>
      </w:r>
      <w:r w:rsidR="00AC418B" w:rsidRPr="00471761">
        <w:rPr>
          <w:rFonts w:ascii="Calibri" w:hAnsi="Calibri"/>
          <w:b/>
          <w:color w:val="4F81BD" w:themeColor="accent1"/>
        </w:rPr>
        <w:t>understanding</w:t>
      </w:r>
      <w:r w:rsidR="00406EB7">
        <w:rPr>
          <w:rFonts w:ascii="Calibri" w:hAnsi="Calibri"/>
          <w:b/>
          <w:color w:val="4F81BD" w:themeColor="accent1"/>
        </w:rPr>
        <w:t xml:space="preserve"> of SCR</w:t>
      </w:r>
      <w:r w:rsidR="00F2644F" w:rsidRPr="00471761">
        <w:rPr>
          <w:rFonts w:ascii="Calibri" w:hAnsi="Calibri"/>
          <w:b/>
          <w:color w:val="4F81BD" w:themeColor="accent1"/>
        </w:rPr>
        <w:t xml:space="preserve"> 1325 as integrated with CEDAW GR No. 30</w:t>
      </w:r>
      <w:r w:rsidR="00F2644F" w:rsidRPr="00471761">
        <w:rPr>
          <w:rFonts w:ascii="Calibri" w:hAnsi="Calibri"/>
        </w:rPr>
        <w:t>.</w:t>
      </w:r>
      <w:r w:rsidR="009D5FC7" w:rsidRPr="00471761">
        <w:rPr>
          <w:rFonts w:ascii="Calibri" w:hAnsi="Calibri"/>
        </w:rPr>
        <w:t xml:space="preserve"> </w:t>
      </w:r>
      <w:r w:rsidR="00B63151" w:rsidRPr="00471761">
        <w:rPr>
          <w:rFonts w:ascii="Calibri" w:hAnsi="Calibri"/>
        </w:rPr>
        <w:t>These processes must be strengthene</w:t>
      </w:r>
      <w:r w:rsidR="00D12FC3" w:rsidRPr="00471761">
        <w:rPr>
          <w:rFonts w:ascii="Calibri" w:hAnsi="Calibri"/>
        </w:rPr>
        <w:t xml:space="preserve">d, </w:t>
      </w:r>
      <w:r w:rsidR="005E495D" w:rsidRPr="00471761">
        <w:rPr>
          <w:rFonts w:ascii="Calibri" w:hAnsi="Calibri"/>
        </w:rPr>
        <w:t>via</w:t>
      </w:r>
      <w:r w:rsidR="00AC418B" w:rsidRPr="00471761">
        <w:rPr>
          <w:rFonts w:ascii="Calibri" w:hAnsi="Calibri"/>
        </w:rPr>
        <w:t xml:space="preserve"> </w:t>
      </w:r>
      <w:r w:rsidR="005E495D" w:rsidRPr="00471761">
        <w:rPr>
          <w:rFonts w:ascii="Calibri" w:hAnsi="Calibri"/>
        </w:rPr>
        <w:t>capacity-building for states and civil society</w:t>
      </w:r>
      <w:r w:rsidR="00AC418B" w:rsidRPr="00471761">
        <w:rPr>
          <w:rFonts w:ascii="Calibri" w:hAnsi="Calibri"/>
        </w:rPr>
        <w:t xml:space="preserve"> and</w:t>
      </w:r>
      <w:r w:rsidR="006E21AB">
        <w:rPr>
          <w:rFonts w:ascii="Calibri" w:hAnsi="Calibri"/>
        </w:rPr>
        <w:t xml:space="preserve"> improving women’s and girls’ access to them, as discussed below</w:t>
      </w:r>
      <w:r w:rsidR="00D12FC3" w:rsidRPr="00471761">
        <w:rPr>
          <w:rFonts w:ascii="Calibri" w:hAnsi="Calibri"/>
        </w:rPr>
        <w:t xml:space="preserve">. </w:t>
      </w:r>
      <w:r w:rsidR="00B63151" w:rsidRPr="00471761">
        <w:rPr>
          <w:rFonts w:ascii="Calibri" w:hAnsi="Calibri"/>
        </w:rPr>
        <w:t xml:space="preserve"> </w:t>
      </w:r>
    </w:p>
    <w:p w14:paraId="49978631" w14:textId="37A9AE4E" w:rsidR="00D7771C" w:rsidRPr="00471761" w:rsidRDefault="009D5FC7" w:rsidP="00B71A70">
      <w:pPr>
        <w:spacing w:before="100" w:beforeAutospacing="1" w:after="100" w:afterAutospacing="1" w:line="360" w:lineRule="auto"/>
        <w:jc w:val="both"/>
        <w:rPr>
          <w:rFonts w:ascii="Calibri" w:hAnsi="Calibri"/>
        </w:rPr>
      </w:pPr>
      <w:r w:rsidRPr="00471761">
        <w:rPr>
          <w:rFonts w:ascii="Calibri" w:hAnsi="Calibri"/>
        </w:rPr>
        <w:lastRenderedPageBreak/>
        <w:t>The weaknesses of the</w:t>
      </w:r>
      <w:r w:rsidRPr="00471761">
        <w:rPr>
          <w:rFonts w:ascii="Calibri" w:hAnsi="Calibri"/>
          <w:color w:val="4F81BD" w:themeColor="accent1"/>
        </w:rPr>
        <w:t xml:space="preserve"> </w:t>
      </w:r>
      <w:r w:rsidRPr="00471761">
        <w:rPr>
          <w:rFonts w:ascii="Calibri" w:hAnsi="Calibri"/>
          <w:b/>
          <w:color w:val="4F81BD" w:themeColor="accent1"/>
        </w:rPr>
        <w:t xml:space="preserve">state </w:t>
      </w:r>
      <w:r w:rsidR="00B63151" w:rsidRPr="00471761">
        <w:rPr>
          <w:rFonts w:ascii="Calibri" w:hAnsi="Calibri"/>
          <w:b/>
          <w:color w:val="4F81BD" w:themeColor="accent1"/>
        </w:rPr>
        <w:t xml:space="preserve">monitoring </w:t>
      </w:r>
      <w:r w:rsidRPr="00471761">
        <w:rPr>
          <w:rFonts w:ascii="Calibri" w:hAnsi="Calibri"/>
        </w:rPr>
        <w:t>system are well known</w:t>
      </w:r>
      <w:r w:rsidR="00787CA7" w:rsidRPr="00471761">
        <w:rPr>
          <w:rFonts w:ascii="Calibri" w:hAnsi="Calibri"/>
        </w:rPr>
        <w:t>.</w:t>
      </w:r>
      <w:r w:rsidR="00787CA7" w:rsidRPr="00471761">
        <w:rPr>
          <w:rStyle w:val="FootnoteReference"/>
          <w:rFonts w:ascii="Calibri" w:hAnsi="Calibri"/>
        </w:rPr>
        <w:footnoteReference w:id="277"/>
      </w:r>
      <w:r w:rsidR="00787CA7" w:rsidRPr="00471761">
        <w:rPr>
          <w:rFonts w:ascii="Calibri" w:hAnsi="Calibri"/>
        </w:rPr>
        <w:t xml:space="preserve">  </w:t>
      </w:r>
      <w:r w:rsidRPr="00471761">
        <w:rPr>
          <w:rFonts w:ascii="Calibri" w:hAnsi="Calibri"/>
        </w:rPr>
        <w:t xml:space="preserve"> </w:t>
      </w:r>
      <w:r w:rsidR="00787CA7" w:rsidRPr="00471761">
        <w:rPr>
          <w:rFonts w:ascii="Calibri" w:hAnsi="Calibri"/>
        </w:rPr>
        <w:t>E</w:t>
      </w:r>
      <w:r w:rsidRPr="00471761">
        <w:rPr>
          <w:rFonts w:ascii="Calibri" w:hAnsi="Calibri"/>
        </w:rPr>
        <w:t>fforts must be made to improve the rate of state reporting under CEDAW</w:t>
      </w:r>
      <w:r w:rsidR="00B63151" w:rsidRPr="00471761">
        <w:rPr>
          <w:rFonts w:ascii="Calibri" w:hAnsi="Calibri"/>
        </w:rPr>
        <w:t xml:space="preserve"> and to build governments’ capacity to effectively </w:t>
      </w:r>
      <w:r w:rsidR="00C65D1A" w:rsidRPr="00471761">
        <w:rPr>
          <w:rFonts w:ascii="Calibri" w:hAnsi="Calibri"/>
        </w:rPr>
        <w:t xml:space="preserve">track </w:t>
      </w:r>
      <w:r w:rsidR="00B63151" w:rsidRPr="00471761">
        <w:rPr>
          <w:rFonts w:ascii="Calibri" w:hAnsi="Calibri"/>
        </w:rPr>
        <w:t>progress on the legal framework</w:t>
      </w:r>
      <w:r w:rsidRPr="00471761">
        <w:rPr>
          <w:rFonts w:ascii="Calibri" w:hAnsi="Calibri"/>
        </w:rPr>
        <w:t>, es</w:t>
      </w:r>
      <w:r w:rsidR="00B63151" w:rsidRPr="00471761">
        <w:rPr>
          <w:rFonts w:ascii="Calibri" w:hAnsi="Calibri"/>
        </w:rPr>
        <w:t>pecially for conflict-affected countries</w:t>
      </w:r>
      <w:r w:rsidRPr="00471761">
        <w:rPr>
          <w:rFonts w:ascii="Calibri" w:hAnsi="Calibri"/>
        </w:rPr>
        <w:t>.</w:t>
      </w:r>
      <w:r w:rsidR="00787CA7" w:rsidRPr="00471761">
        <w:rPr>
          <w:rFonts w:ascii="Calibri" w:hAnsi="Calibri"/>
        </w:rPr>
        <w:t xml:space="preserve"> </w:t>
      </w:r>
      <w:r w:rsidR="005E495D" w:rsidRPr="00471761">
        <w:rPr>
          <w:rFonts w:ascii="Calibri" w:hAnsi="Calibri"/>
        </w:rPr>
        <w:t xml:space="preserve"> This includes </w:t>
      </w:r>
      <w:r w:rsidR="005E495D" w:rsidRPr="00471761">
        <w:rPr>
          <w:rFonts w:ascii="Calibri" w:hAnsi="Calibri"/>
          <w:b/>
          <w:color w:val="4F81BD" w:themeColor="accent1"/>
        </w:rPr>
        <w:t xml:space="preserve">mainstreaming </w:t>
      </w:r>
      <w:r w:rsidR="004953A8" w:rsidRPr="00471761">
        <w:rPr>
          <w:rFonts w:ascii="Calibri" w:hAnsi="Calibri"/>
          <w:b/>
          <w:color w:val="4F81BD" w:themeColor="accent1"/>
        </w:rPr>
        <w:t xml:space="preserve">the </w:t>
      </w:r>
      <w:r w:rsidR="005E495D" w:rsidRPr="00471761">
        <w:rPr>
          <w:rFonts w:ascii="Calibri" w:hAnsi="Calibri"/>
          <w:b/>
          <w:color w:val="4F81BD" w:themeColor="accent1"/>
        </w:rPr>
        <w:t>CEDAW GR No. 30</w:t>
      </w:r>
      <w:r w:rsidR="005E495D" w:rsidRPr="00471761">
        <w:rPr>
          <w:rFonts w:ascii="Calibri" w:hAnsi="Calibri"/>
        </w:rPr>
        <w:t xml:space="preserve"> into state and shadow reports</w:t>
      </w:r>
      <w:r w:rsidR="004953A8" w:rsidRPr="00471761">
        <w:rPr>
          <w:rFonts w:ascii="Calibri" w:hAnsi="Calibri"/>
        </w:rPr>
        <w:t>, by developing guidelines and supporting capacity-building via training and resource-sharing</w:t>
      </w:r>
      <w:r w:rsidR="005E495D" w:rsidRPr="00471761">
        <w:rPr>
          <w:rFonts w:ascii="Calibri" w:hAnsi="Calibri"/>
        </w:rPr>
        <w:t xml:space="preserve">. </w:t>
      </w:r>
      <w:r w:rsidR="00787CA7" w:rsidRPr="00471761">
        <w:rPr>
          <w:rFonts w:ascii="Calibri" w:hAnsi="Calibri"/>
        </w:rPr>
        <w:t xml:space="preserve">Many </w:t>
      </w:r>
      <w:r w:rsidR="008D7D6C" w:rsidRPr="00471761">
        <w:rPr>
          <w:rFonts w:ascii="Calibri" w:hAnsi="Calibri"/>
        </w:rPr>
        <w:t>states</w:t>
      </w:r>
      <w:r w:rsidR="00787CA7" w:rsidRPr="00471761">
        <w:rPr>
          <w:rFonts w:ascii="Calibri" w:hAnsi="Calibri"/>
        </w:rPr>
        <w:t xml:space="preserve"> </w:t>
      </w:r>
      <w:r w:rsidR="00C65D1A" w:rsidRPr="00471761">
        <w:rPr>
          <w:rFonts w:ascii="Calibri" w:hAnsi="Calibri"/>
        </w:rPr>
        <w:t xml:space="preserve">due </w:t>
      </w:r>
      <w:r w:rsidR="00787CA7" w:rsidRPr="00471761">
        <w:rPr>
          <w:rFonts w:ascii="Calibri" w:hAnsi="Calibri"/>
        </w:rPr>
        <w:t xml:space="preserve">to appear before the CEDAW Committee </w:t>
      </w:r>
      <w:r w:rsidR="004953A8" w:rsidRPr="00471761">
        <w:rPr>
          <w:rFonts w:ascii="Calibri" w:hAnsi="Calibri"/>
        </w:rPr>
        <w:t>are in conflict or</w:t>
      </w:r>
      <w:r w:rsidR="00B63151" w:rsidRPr="00471761">
        <w:rPr>
          <w:rFonts w:ascii="Calibri" w:hAnsi="Calibri"/>
        </w:rPr>
        <w:t xml:space="preserve"> post-conflict situations. </w:t>
      </w:r>
      <w:r w:rsidR="00C65D1A" w:rsidRPr="00471761">
        <w:rPr>
          <w:rFonts w:ascii="Calibri" w:hAnsi="Calibri"/>
        </w:rPr>
        <w:t>Lebanon, Liberia, Myanmar, Timor-Leste and Yemen are among c</w:t>
      </w:r>
      <w:r w:rsidR="00B63151" w:rsidRPr="00471761">
        <w:rPr>
          <w:rFonts w:ascii="Calibri" w:hAnsi="Calibri"/>
        </w:rPr>
        <w:t xml:space="preserve">ountries that took part in </w:t>
      </w:r>
      <w:r w:rsidR="008D7D6C" w:rsidRPr="00471761">
        <w:rPr>
          <w:rFonts w:ascii="Calibri" w:hAnsi="Calibri"/>
        </w:rPr>
        <w:t>Pre-Sessional Working Groups</w:t>
      </w:r>
      <w:r w:rsidR="00B63151" w:rsidRPr="00471761">
        <w:rPr>
          <w:rFonts w:ascii="Calibri" w:hAnsi="Calibri"/>
        </w:rPr>
        <w:t xml:space="preserve"> with the CEDAW Committee or are </w:t>
      </w:r>
      <w:r w:rsidR="00C65D1A" w:rsidRPr="00471761">
        <w:rPr>
          <w:rFonts w:ascii="Calibri" w:hAnsi="Calibri"/>
        </w:rPr>
        <w:t>set</w:t>
      </w:r>
      <w:r w:rsidR="00B63151" w:rsidRPr="00471761">
        <w:rPr>
          <w:rFonts w:ascii="Calibri" w:hAnsi="Calibri"/>
        </w:rPr>
        <w:t xml:space="preserve"> to </w:t>
      </w:r>
      <w:r w:rsidR="00C65D1A" w:rsidRPr="00471761">
        <w:rPr>
          <w:rFonts w:ascii="Calibri" w:hAnsi="Calibri"/>
        </w:rPr>
        <w:t xml:space="preserve">report </w:t>
      </w:r>
      <w:r w:rsidR="00B63151" w:rsidRPr="00471761">
        <w:rPr>
          <w:rFonts w:ascii="Calibri" w:hAnsi="Calibri"/>
        </w:rPr>
        <w:t>in the coming year.</w:t>
      </w:r>
      <w:r w:rsidR="00B63151" w:rsidRPr="00471761">
        <w:rPr>
          <w:rStyle w:val="FootnoteReference"/>
          <w:rFonts w:ascii="Calibri" w:hAnsi="Calibri"/>
        </w:rPr>
        <w:footnoteReference w:id="278"/>
      </w:r>
      <w:r w:rsidR="008D7D6C" w:rsidRPr="00471761">
        <w:rPr>
          <w:rFonts w:ascii="Calibri" w:hAnsi="Calibri"/>
        </w:rPr>
        <w:t xml:space="preserve"> Greater financial and human resources could be provided to the CEDAW Committee to hold Pre-Sessional Working Groups, </w:t>
      </w:r>
      <w:r w:rsidR="005E495D" w:rsidRPr="00471761">
        <w:rPr>
          <w:rFonts w:ascii="Calibri" w:hAnsi="Calibri"/>
        </w:rPr>
        <w:t>with a focus on</w:t>
      </w:r>
      <w:r w:rsidR="004953A8" w:rsidRPr="00471761">
        <w:rPr>
          <w:rFonts w:ascii="Calibri" w:hAnsi="Calibri"/>
        </w:rPr>
        <w:t xml:space="preserve"> understanding</w:t>
      </w:r>
      <w:r w:rsidR="005E495D" w:rsidRPr="00471761">
        <w:rPr>
          <w:rFonts w:ascii="Calibri" w:hAnsi="Calibri"/>
        </w:rPr>
        <w:t xml:space="preserve"> SCR 1325 </w:t>
      </w:r>
      <w:r w:rsidR="004953A8" w:rsidRPr="00471761">
        <w:rPr>
          <w:rFonts w:ascii="Calibri" w:hAnsi="Calibri"/>
        </w:rPr>
        <w:t>in the context of the</w:t>
      </w:r>
      <w:r w:rsidR="005E495D" w:rsidRPr="00471761">
        <w:rPr>
          <w:rFonts w:ascii="Calibri" w:hAnsi="Calibri"/>
        </w:rPr>
        <w:t xml:space="preserve"> the GR No. 30</w:t>
      </w:r>
      <w:r w:rsidR="008D7D6C" w:rsidRPr="00471761">
        <w:rPr>
          <w:rFonts w:ascii="Calibri" w:hAnsi="Calibri"/>
        </w:rPr>
        <w:t>.</w:t>
      </w:r>
      <w:r w:rsidR="004E11AB" w:rsidRPr="00471761">
        <w:rPr>
          <w:rFonts w:ascii="Calibri" w:hAnsi="Calibri"/>
        </w:rPr>
        <w:t xml:space="preserve"> These resources should be shared with women’s and girls’ organizations to support effective shadow reporting by them. </w:t>
      </w:r>
    </w:p>
    <w:p w14:paraId="4CF21A70" w14:textId="59526097" w:rsidR="004E11AB" w:rsidRPr="00471761" w:rsidRDefault="00D459E3" w:rsidP="00B71A70">
      <w:pPr>
        <w:spacing w:line="360" w:lineRule="auto"/>
        <w:jc w:val="both"/>
        <w:rPr>
          <w:rFonts w:ascii="Calibri" w:hAnsi="Calibri"/>
        </w:rPr>
      </w:pPr>
      <w:r w:rsidRPr="00471761">
        <w:rPr>
          <w:rFonts w:ascii="Calibri" w:hAnsi="Calibri"/>
        </w:rPr>
        <w:t xml:space="preserve">The </w:t>
      </w:r>
      <w:r w:rsidR="00C65D1A" w:rsidRPr="00471761">
        <w:rPr>
          <w:rFonts w:ascii="Calibri" w:hAnsi="Calibri"/>
          <w:b/>
          <w:color w:val="4F81BD" w:themeColor="accent1"/>
        </w:rPr>
        <w:t>communication procedure</w:t>
      </w:r>
      <w:r w:rsidR="00C65D1A" w:rsidRPr="00471761">
        <w:rPr>
          <w:rFonts w:ascii="Calibri" w:hAnsi="Calibri"/>
        </w:rPr>
        <w:t xml:space="preserve">, introduced in 2000 for women or groups of women to submit claims </w:t>
      </w:r>
      <w:r w:rsidR="004E11AB" w:rsidRPr="00471761">
        <w:rPr>
          <w:rFonts w:ascii="Calibri" w:hAnsi="Calibri"/>
        </w:rPr>
        <w:t>of</w:t>
      </w:r>
      <w:r w:rsidR="00C65D1A" w:rsidRPr="00471761">
        <w:rPr>
          <w:rFonts w:ascii="Calibri" w:hAnsi="Calibri"/>
        </w:rPr>
        <w:t xml:space="preserve"> rights violations under CEDAW, has been under-used. </w:t>
      </w:r>
      <w:r w:rsidRPr="00471761">
        <w:rPr>
          <w:rFonts w:ascii="Calibri" w:hAnsi="Calibri"/>
        </w:rPr>
        <w:t xml:space="preserve"> </w:t>
      </w:r>
      <w:r w:rsidR="00C65D1A" w:rsidRPr="00471761">
        <w:rPr>
          <w:rFonts w:ascii="Calibri" w:hAnsi="Calibri"/>
        </w:rPr>
        <w:t>As of 1 September 2014, 41 cases have been brought before the Committee, 19 of which were held to be inadmissible.</w:t>
      </w:r>
      <w:r w:rsidR="00C65D1A" w:rsidRPr="00471761">
        <w:rPr>
          <w:rStyle w:val="FootnoteReference"/>
          <w:rFonts w:ascii="Calibri" w:hAnsi="Calibri"/>
        </w:rPr>
        <w:footnoteReference w:id="279"/>
      </w:r>
      <w:r w:rsidR="00C65D1A" w:rsidRPr="00471761">
        <w:rPr>
          <w:rFonts w:ascii="Calibri" w:hAnsi="Calibri"/>
        </w:rPr>
        <w:t xml:space="preserve"> </w:t>
      </w:r>
      <w:r w:rsidR="004E11AB" w:rsidRPr="00471761">
        <w:rPr>
          <w:rFonts w:ascii="Calibri" w:hAnsi="Calibri"/>
        </w:rPr>
        <w:t>There appear to be several reasons for the under-utilization of the procedure. First,</w:t>
      </w:r>
      <w:r w:rsidR="00C65D1A" w:rsidRPr="00471761">
        <w:rPr>
          <w:rFonts w:ascii="Calibri" w:hAnsi="Calibri"/>
        </w:rPr>
        <w:t xml:space="preserve"> the procedure is </w:t>
      </w:r>
      <w:r w:rsidR="00C65D1A" w:rsidRPr="00471761">
        <w:rPr>
          <w:rFonts w:ascii="Calibri" w:hAnsi="Calibri"/>
          <w:b/>
          <w:color w:val="4F81BD" w:themeColor="accent1"/>
        </w:rPr>
        <w:t>not well-known</w:t>
      </w:r>
      <w:r w:rsidR="00C65D1A" w:rsidRPr="00471761">
        <w:rPr>
          <w:rFonts w:ascii="Calibri" w:hAnsi="Calibri"/>
        </w:rPr>
        <w:t>.</w:t>
      </w:r>
      <w:r w:rsidR="00C65D1A" w:rsidRPr="00471761">
        <w:rPr>
          <w:rStyle w:val="FootnoteReference"/>
          <w:rFonts w:ascii="Calibri" w:hAnsi="Calibri"/>
        </w:rPr>
        <w:footnoteReference w:id="280"/>
      </w:r>
      <w:r w:rsidR="00C65D1A" w:rsidRPr="00471761">
        <w:rPr>
          <w:rFonts w:ascii="Calibri" w:hAnsi="Calibri"/>
        </w:rPr>
        <w:t xml:space="preserve"> </w:t>
      </w:r>
      <w:r w:rsidR="004E11AB" w:rsidRPr="00471761">
        <w:rPr>
          <w:rFonts w:ascii="Calibri" w:hAnsi="Calibri"/>
        </w:rPr>
        <w:t>Second,</w:t>
      </w:r>
      <w:r w:rsidR="00C65D1A" w:rsidRPr="00471761">
        <w:rPr>
          <w:rFonts w:ascii="Calibri" w:hAnsi="Calibri"/>
        </w:rPr>
        <w:t xml:space="preserve"> </w:t>
      </w:r>
      <w:r w:rsidR="00F347F2" w:rsidRPr="00471761">
        <w:rPr>
          <w:rFonts w:ascii="Calibri" w:hAnsi="Calibri"/>
          <w:b/>
          <w:color w:val="4F81BD" w:themeColor="accent1"/>
        </w:rPr>
        <w:t>women’s access</w:t>
      </w:r>
      <w:r w:rsidR="00F347F2" w:rsidRPr="00471761">
        <w:rPr>
          <w:rFonts w:ascii="Calibri" w:hAnsi="Calibri"/>
        </w:rPr>
        <w:t xml:space="preserve"> to the procedure is hampered by </w:t>
      </w:r>
      <w:r w:rsidR="00C65D1A" w:rsidRPr="00471761">
        <w:rPr>
          <w:rFonts w:ascii="Calibri" w:hAnsi="Calibri"/>
        </w:rPr>
        <w:t xml:space="preserve">the requirement </w:t>
      </w:r>
      <w:r w:rsidR="004E11AB" w:rsidRPr="00471761">
        <w:rPr>
          <w:rFonts w:ascii="Calibri" w:hAnsi="Calibri"/>
        </w:rPr>
        <w:t>for</w:t>
      </w:r>
      <w:r w:rsidR="00C65D1A" w:rsidRPr="00471761">
        <w:rPr>
          <w:rFonts w:ascii="Calibri" w:hAnsi="Calibri"/>
        </w:rPr>
        <w:t xml:space="preserve"> domestic remedies to be exhausted</w:t>
      </w:r>
      <w:r w:rsidR="00F347F2" w:rsidRPr="00471761">
        <w:rPr>
          <w:rFonts w:ascii="Calibri" w:hAnsi="Calibri"/>
        </w:rPr>
        <w:t>,</w:t>
      </w:r>
      <w:r w:rsidR="00C65D1A" w:rsidRPr="00471761">
        <w:rPr>
          <w:rFonts w:ascii="Calibri" w:hAnsi="Calibri"/>
        </w:rPr>
        <w:t xml:space="preserve"> </w:t>
      </w:r>
      <w:r w:rsidR="00F347F2" w:rsidRPr="00471761">
        <w:rPr>
          <w:rFonts w:ascii="Calibri" w:hAnsi="Calibri"/>
        </w:rPr>
        <w:t xml:space="preserve">which </w:t>
      </w:r>
      <w:r w:rsidR="004E11AB" w:rsidRPr="00471761">
        <w:rPr>
          <w:rFonts w:ascii="Calibri" w:hAnsi="Calibri"/>
        </w:rPr>
        <w:t>seems to slow down</w:t>
      </w:r>
      <w:r w:rsidR="00C65D1A" w:rsidRPr="00471761">
        <w:rPr>
          <w:rFonts w:ascii="Calibri" w:hAnsi="Calibri"/>
        </w:rPr>
        <w:t xml:space="preserve"> the procedure </w:t>
      </w:r>
      <w:r w:rsidR="00F347F2" w:rsidRPr="00471761">
        <w:rPr>
          <w:rFonts w:ascii="Calibri" w:hAnsi="Calibri"/>
        </w:rPr>
        <w:t>fails to recognise the fact that</w:t>
      </w:r>
      <w:r w:rsidR="00C65D1A" w:rsidRPr="00471761">
        <w:rPr>
          <w:rFonts w:ascii="Calibri" w:hAnsi="Calibri"/>
        </w:rPr>
        <w:t xml:space="preserve"> access to justice in </w:t>
      </w:r>
      <w:r w:rsidR="00F347F2" w:rsidRPr="00471761">
        <w:rPr>
          <w:rFonts w:ascii="Calibri" w:hAnsi="Calibri"/>
        </w:rPr>
        <w:t>some c</w:t>
      </w:r>
      <w:r w:rsidR="00C65D1A" w:rsidRPr="00471761">
        <w:rPr>
          <w:rFonts w:ascii="Calibri" w:hAnsi="Calibri"/>
        </w:rPr>
        <w:t xml:space="preserve">ountries </w:t>
      </w:r>
      <w:r w:rsidR="00F347F2" w:rsidRPr="00471761">
        <w:rPr>
          <w:rFonts w:ascii="Calibri" w:hAnsi="Calibri"/>
        </w:rPr>
        <w:t>may</w:t>
      </w:r>
      <w:r w:rsidR="00C65D1A" w:rsidRPr="00471761">
        <w:rPr>
          <w:rFonts w:ascii="Calibri" w:hAnsi="Calibri"/>
        </w:rPr>
        <w:t xml:space="preserve"> be limited.</w:t>
      </w:r>
      <w:r w:rsidR="00C65D1A" w:rsidRPr="00471761">
        <w:rPr>
          <w:rStyle w:val="FootnoteReference"/>
          <w:rFonts w:ascii="Calibri" w:hAnsi="Calibri"/>
        </w:rPr>
        <w:footnoteReference w:id="281"/>
      </w:r>
      <w:r w:rsidR="00C65D1A" w:rsidRPr="00471761">
        <w:rPr>
          <w:rFonts w:ascii="Calibri" w:hAnsi="Calibri"/>
        </w:rPr>
        <w:t xml:space="preserve"> </w:t>
      </w:r>
      <w:r w:rsidR="004E11AB" w:rsidRPr="00471761">
        <w:rPr>
          <w:rFonts w:ascii="Calibri" w:hAnsi="Calibri"/>
        </w:rPr>
        <w:t>Third, CEDAW</w:t>
      </w:r>
      <w:r w:rsidR="00C65D1A" w:rsidRPr="00471761">
        <w:rPr>
          <w:rFonts w:ascii="Calibri" w:hAnsi="Calibri"/>
        </w:rPr>
        <w:t xml:space="preserve"> is formulated in terms of obligations of states rather than rights and the </w:t>
      </w:r>
      <w:r w:rsidR="007050A4">
        <w:rPr>
          <w:rFonts w:ascii="Calibri" w:hAnsi="Calibri"/>
          <w:b/>
          <w:color w:val="4F81BD" w:themeColor="accent1"/>
        </w:rPr>
        <w:t>communication procedure decisions</w:t>
      </w:r>
      <w:r w:rsidR="00C65D1A" w:rsidRPr="00471761">
        <w:rPr>
          <w:rFonts w:ascii="Calibri" w:hAnsi="Calibri"/>
          <w:b/>
          <w:color w:val="4F81BD" w:themeColor="accent1"/>
        </w:rPr>
        <w:t xml:space="preserve"> cannot be enforced</w:t>
      </w:r>
      <w:r w:rsidR="00C65D1A" w:rsidRPr="00471761">
        <w:rPr>
          <w:rFonts w:ascii="Calibri" w:hAnsi="Calibri"/>
        </w:rPr>
        <w:t>.</w:t>
      </w:r>
      <w:r w:rsidR="00C65D1A" w:rsidRPr="00471761">
        <w:rPr>
          <w:rStyle w:val="FootnoteReference"/>
          <w:rFonts w:ascii="Calibri" w:hAnsi="Calibri"/>
        </w:rPr>
        <w:footnoteReference w:id="282"/>
      </w:r>
      <w:r w:rsidR="00C65D1A" w:rsidRPr="00471761">
        <w:rPr>
          <w:rFonts w:ascii="Calibri" w:hAnsi="Calibri"/>
        </w:rPr>
        <w:t xml:space="preserve"> </w:t>
      </w:r>
      <w:r w:rsidR="004E11AB" w:rsidRPr="00471761">
        <w:rPr>
          <w:rFonts w:ascii="Calibri" w:hAnsi="Calibri"/>
        </w:rPr>
        <w:t>Finally</w:t>
      </w:r>
      <w:r w:rsidR="00C65D1A" w:rsidRPr="00471761">
        <w:rPr>
          <w:rFonts w:ascii="Calibri" w:hAnsi="Calibri"/>
        </w:rPr>
        <w:t xml:space="preserve">, there is the problem of </w:t>
      </w:r>
      <w:r w:rsidR="004E11AB" w:rsidRPr="00471761">
        <w:rPr>
          <w:rFonts w:ascii="Calibri" w:hAnsi="Calibri"/>
        </w:rPr>
        <w:t>CEDAW violations</w:t>
      </w:r>
      <w:r w:rsidR="00C65D1A" w:rsidRPr="00471761">
        <w:rPr>
          <w:rFonts w:ascii="Calibri" w:hAnsi="Calibri"/>
        </w:rPr>
        <w:t xml:space="preserve"> by non-state actors.</w:t>
      </w:r>
      <w:r w:rsidR="00C65D1A" w:rsidRPr="00471761">
        <w:rPr>
          <w:rStyle w:val="FootnoteReference"/>
          <w:rFonts w:ascii="Calibri" w:hAnsi="Calibri"/>
        </w:rPr>
        <w:footnoteReference w:id="283"/>
      </w:r>
      <w:r w:rsidR="00C65D1A" w:rsidRPr="00471761">
        <w:rPr>
          <w:rFonts w:ascii="Calibri" w:hAnsi="Calibri"/>
        </w:rPr>
        <w:t xml:space="preserve"> </w:t>
      </w:r>
      <w:r w:rsidR="004E11AB" w:rsidRPr="00471761">
        <w:rPr>
          <w:rFonts w:ascii="Calibri" w:hAnsi="Calibri"/>
        </w:rPr>
        <w:t xml:space="preserve">In response to the latter, </w:t>
      </w:r>
      <w:r w:rsidR="00C65D1A" w:rsidRPr="00471761">
        <w:rPr>
          <w:rFonts w:ascii="Calibri" w:hAnsi="Calibri"/>
        </w:rPr>
        <w:t xml:space="preserve">Article 2(e) </w:t>
      </w:r>
      <w:r w:rsidR="00F347F2" w:rsidRPr="00471761">
        <w:rPr>
          <w:rFonts w:ascii="Calibri" w:hAnsi="Calibri"/>
        </w:rPr>
        <w:t xml:space="preserve">of </w:t>
      </w:r>
      <w:r w:rsidR="00C65D1A" w:rsidRPr="00471761">
        <w:rPr>
          <w:rFonts w:ascii="Calibri" w:hAnsi="Calibri"/>
        </w:rPr>
        <w:t xml:space="preserve">CEDAW and </w:t>
      </w:r>
      <w:r w:rsidR="004E11AB" w:rsidRPr="00471761">
        <w:rPr>
          <w:rFonts w:ascii="Calibri" w:hAnsi="Calibri"/>
        </w:rPr>
        <w:t xml:space="preserve">the </w:t>
      </w:r>
      <w:r w:rsidR="009C7F2E" w:rsidRPr="00471761">
        <w:rPr>
          <w:rFonts w:ascii="Calibri" w:hAnsi="Calibri"/>
        </w:rPr>
        <w:t xml:space="preserve">CEDAW </w:t>
      </w:r>
      <w:r w:rsidR="004E11AB" w:rsidRPr="00471761">
        <w:rPr>
          <w:rFonts w:ascii="Calibri" w:hAnsi="Calibri"/>
        </w:rPr>
        <w:t>GR No.</w:t>
      </w:r>
      <w:r w:rsidR="00C65D1A" w:rsidRPr="00471761">
        <w:rPr>
          <w:rFonts w:ascii="Calibri" w:hAnsi="Calibri"/>
        </w:rPr>
        <w:t xml:space="preserve"> 28</w:t>
      </w:r>
      <w:r w:rsidR="00C65D1A" w:rsidRPr="00471761">
        <w:rPr>
          <w:rStyle w:val="FootnoteReference"/>
          <w:rFonts w:ascii="Calibri" w:hAnsi="Calibri"/>
        </w:rPr>
        <w:footnoteReference w:id="284"/>
      </w:r>
      <w:r w:rsidR="00C65D1A" w:rsidRPr="00471761">
        <w:rPr>
          <w:rFonts w:ascii="Calibri" w:hAnsi="Calibri"/>
        </w:rPr>
        <w:t xml:space="preserve"> provide </w:t>
      </w:r>
      <w:r w:rsidR="004E11AB" w:rsidRPr="00471761">
        <w:rPr>
          <w:rFonts w:ascii="Calibri" w:hAnsi="Calibri"/>
        </w:rPr>
        <w:t xml:space="preserve">some </w:t>
      </w:r>
      <w:r w:rsidR="00C65D1A" w:rsidRPr="00471761">
        <w:rPr>
          <w:rFonts w:ascii="Calibri" w:hAnsi="Calibri"/>
        </w:rPr>
        <w:t xml:space="preserve">relief. Article 2(e) imposes a due-diligence obligation on states to eliminate discrimination against women by private </w:t>
      </w:r>
      <w:r w:rsidR="002F7691" w:rsidRPr="00471761">
        <w:rPr>
          <w:rFonts w:ascii="Calibri" w:hAnsi="Calibri"/>
        </w:rPr>
        <w:t>actors and</w:t>
      </w:r>
      <w:r w:rsidR="00C65D1A" w:rsidRPr="00471761">
        <w:rPr>
          <w:rFonts w:ascii="Calibri" w:hAnsi="Calibri"/>
        </w:rPr>
        <w:t xml:space="preserve"> obliges states to take ‘appropriate measures’ to eliminate discrimination by non-state actors.</w:t>
      </w:r>
      <w:r w:rsidR="009C7F2E" w:rsidRPr="00471761">
        <w:rPr>
          <w:rStyle w:val="FootnoteReference"/>
          <w:rFonts w:ascii="Calibri" w:hAnsi="Calibri"/>
        </w:rPr>
        <w:t xml:space="preserve"> </w:t>
      </w:r>
      <w:r w:rsidR="009C7F2E" w:rsidRPr="00471761">
        <w:rPr>
          <w:rStyle w:val="FootnoteReference"/>
          <w:rFonts w:ascii="Calibri" w:hAnsi="Calibri"/>
        </w:rPr>
        <w:footnoteReference w:id="285"/>
      </w:r>
      <w:r w:rsidR="009C7F2E" w:rsidRPr="00471761">
        <w:rPr>
          <w:rFonts w:ascii="Calibri" w:hAnsi="Calibri"/>
        </w:rPr>
        <w:t xml:space="preserve"> T</w:t>
      </w:r>
      <w:r w:rsidR="004E11AB" w:rsidRPr="00471761">
        <w:rPr>
          <w:rFonts w:ascii="Calibri" w:hAnsi="Calibri"/>
        </w:rPr>
        <w:t>his due diligence obligation i</w:t>
      </w:r>
      <w:r w:rsidR="00F347F2" w:rsidRPr="00471761">
        <w:rPr>
          <w:rFonts w:ascii="Calibri" w:hAnsi="Calibri"/>
        </w:rPr>
        <w:t>s reinforced in the GR No. 30 in relation to conflict</w:t>
      </w:r>
      <w:r w:rsidR="009C7F2E" w:rsidRPr="00471761">
        <w:rPr>
          <w:rFonts w:ascii="Calibri" w:hAnsi="Calibri"/>
        </w:rPr>
        <w:t xml:space="preserve"> (see Section 1).</w:t>
      </w:r>
    </w:p>
    <w:p w14:paraId="6AA354E8" w14:textId="77777777" w:rsidR="004E11AB" w:rsidRPr="00471761" w:rsidRDefault="004E11AB" w:rsidP="00C65D1A">
      <w:pPr>
        <w:jc w:val="both"/>
        <w:rPr>
          <w:rFonts w:ascii="Calibri" w:hAnsi="Calibri"/>
        </w:rPr>
      </w:pPr>
    </w:p>
    <w:p w14:paraId="7403E420" w14:textId="2E88A2B4" w:rsidR="00C65D1A" w:rsidRPr="00471761" w:rsidRDefault="004E11AB" w:rsidP="00B71A70">
      <w:pPr>
        <w:spacing w:line="360" w:lineRule="auto"/>
        <w:jc w:val="both"/>
        <w:rPr>
          <w:rFonts w:ascii="Calibri" w:hAnsi="Calibri"/>
        </w:rPr>
      </w:pPr>
      <w:r w:rsidRPr="00471761">
        <w:rPr>
          <w:rFonts w:ascii="Calibri" w:hAnsi="Calibri"/>
        </w:rPr>
        <w:t>Despite</w:t>
      </w:r>
      <w:r w:rsidR="00C65D1A" w:rsidRPr="00471761">
        <w:rPr>
          <w:rFonts w:ascii="Calibri" w:hAnsi="Calibri"/>
        </w:rPr>
        <w:t xml:space="preserve"> these challenges, the </w:t>
      </w:r>
      <w:r w:rsidR="00AC418B" w:rsidRPr="00471761">
        <w:rPr>
          <w:rFonts w:ascii="Calibri" w:hAnsi="Calibri"/>
        </w:rPr>
        <w:t>procedure</w:t>
      </w:r>
      <w:r w:rsidR="00C65D1A" w:rsidRPr="00471761">
        <w:rPr>
          <w:rFonts w:ascii="Calibri" w:hAnsi="Calibri"/>
        </w:rPr>
        <w:t xml:space="preserve"> </w:t>
      </w:r>
      <w:r w:rsidR="005E495D" w:rsidRPr="00471761">
        <w:rPr>
          <w:rFonts w:ascii="Calibri" w:hAnsi="Calibri"/>
        </w:rPr>
        <w:t>empowers</w:t>
      </w:r>
      <w:r w:rsidR="00C65D1A" w:rsidRPr="00471761">
        <w:rPr>
          <w:rFonts w:ascii="Calibri" w:hAnsi="Calibri"/>
        </w:rPr>
        <w:t xml:space="preserve"> </w:t>
      </w:r>
      <w:r w:rsidR="00F347F2" w:rsidRPr="00471761">
        <w:rPr>
          <w:rFonts w:ascii="Calibri" w:hAnsi="Calibri"/>
        </w:rPr>
        <w:t>the Committee</w:t>
      </w:r>
      <w:r w:rsidR="00C65D1A" w:rsidRPr="00471761">
        <w:rPr>
          <w:rFonts w:ascii="Calibri" w:hAnsi="Calibri"/>
        </w:rPr>
        <w:t xml:space="preserve"> to hear individual complaints and investigate claims of serious and systematic violations of </w:t>
      </w:r>
      <w:r w:rsidR="00F347F2" w:rsidRPr="00471761">
        <w:rPr>
          <w:rFonts w:ascii="Calibri" w:hAnsi="Calibri"/>
        </w:rPr>
        <w:t>CEDAW</w:t>
      </w:r>
      <w:r w:rsidR="00C65D1A" w:rsidRPr="00471761">
        <w:rPr>
          <w:rFonts w:ascii="Calibri" w:hAnsi="Calibri"/>
        </w:rPr>
        <w:t>.</w:t>
      </w:r>
      <w:r w:rsidR="00C65D1A" w:rsidRPr="00471761">
        <w:rPr>
          <w:rStyle w:val="FootnoteReference"/>
          <w:rFonts w:ascii="Calibri" w:hAnsi="Calibri"/>
        </w:rPr>
        <w:footnoteReference w:id="286"/>
      </w:r>
      <w:r w:rsidR="00C65D1A" w:rsidRPr="00471761">
        <w:rPr>
          <w:rFonts w:ascii="Calibri" w:hAnsi="Calibri"/>
        </w:rPr>
        <w:t xml:space="preserve"> </w:t>
      </w:r>
      <w:r w:rsidR="005E495D" w:rsidRPr="00471761">
        <w:rPr>
          <w:rFonts w:ascii="Calibri" w:hAnsi="Calibri"/>
        </w:rPr>
        <w:t>When used, the</w:t>
      </w:r>
      <w:r w:rsidR="00F347F2" w:rsidRPr="00471761">
        <w:rPr>
          <w:rFonts w:ascii="Calibri" w:hAnsi="Calibri"/>
        </w:rPr>
        <w:t xml:space="preserve"> </w:t>
      </w:r>
      <w:r w:rsidR="00AC418B" w:rsidRPr="00471761">
        <w:rPr>
          <w:rFonts w:ascii="Calibri" w:hAnsi="Calibri"/>
        </w:rPr>
        <w:t xml:space="preserve">communication </w:t>
      </w:r>
      <w:r w:rsidR="005E495D" w:rsidRPr="00471761">
        <w:rPr>
          <w:rFonts w:ascii="Calibri" w:hAnsi="Calibri"/>
        </w:rPr>
        <w:t>procedure</w:t>
      </w:r>
      <w:r w:rsidR="00AC418B" w:rsidRPr="00471761">
        <w:rPr>
          <w:rFonts w:ascii="Calibri" w:hAnsi="Calibri"/>
        </w:rPr>
        <w:t xml:space="preserve"> </w:t>
      </w:r>
      <w:r w:rsidR="005E495D" w:rsidRPr="00471761">
        <w:rPr>
          <w:rFonts w:ascii="Calibri" w:hAnsi="Calibri"/>
          <w:b/>
          <w:color w:val="4F81BD" w:themeColor="accent1"/>
        </w:rPr>
        <w:t xml:space="preserve">compels </w:t>
      </w:r>
      <w:r w:rsidR="00C65D1A" w:rsidRPr="00471761">
        <w:rPr>
          <w:rFonts w:ascii="Calibri" w:hAnsi="Calibri"/>
          <w:b/>
          <w:color w:val="4F81BD" w:themeColor="accent1"/>
        </w:rPr>
        <w:t xml:space="preserve">states </w:t>
      </w:r>
      <w:r w:rsidR="00AC418B" w:rsidRPr="00471761">
        <w:rPr>
          <w:rFonts w:ascii="Calibri" w:hAnsi="Calibri"/>
          <w:b/>
          <w:color w:val="4F81BD" w:themeColor="accent1"/>
        </w:rPr>
        <w:t>into</w:t>
      </w:r>
      <w:r w:rsidR="00C65D1A" w:rsidRPr="00471761">
        <w:rPr>
          <w:rFonts w:ascii="Calibri" w:hAnsi="Calibri"/>
          <w:b/>
          <w:color w:val="4F81BD" w:themeColor="accent1"/>
        </w:rPr>
        <w:t xml:space="preserve"> a public dialogue</w:t>
      </w:r>
      <w:r w:rsidR="00C65D1A" w:rsidRPr="00471761">
        <w:rPr>
          <w:rFonts w:ascii="Calibri" w:hAnsi="Calibri"/>
        </w:rPr>
        <w:t xml:space="preserve"> </w:t>
      </w:r>
      <w:r w:rsidR="00AC418B" w:rsidRPr="00471761">
        <w:rPr>
          <w:rFonts w:ascii="Calibri" w:hAnsi="Calibri"/>
        </w:rPr>
        <w:t>on</w:t>
      </w:r>
      <w:r w:rsidR="00C65D1A" w:rsidRPr="00471761">
        <w:rPr>
          <w:rFonts w:ascii="Calibri" w:hAnsi="Calibri"/>
        </w:rPr>
        <w:t xml:space="preserve"> </w:t>
      </w:r>
      <w:r w:rsidR="005E495D" w:rsidRPr="00471761">
        <w:rPr>
          <w:rFonts w:ascii="Calibri" w:hAnsi="Calibri"/>
        </w:rPr>
        <w:t>gender-based discrimination</w:t>
      </w:r>
      <w:r w:rsidR="00C65D1A" w:rsidRPr="00471761">
        <w:rPr>
          <w:rFonts w:ascii="Calibri" w:hAnsi="Calibri"/>
        </w:rPr>
        <w:t>.</w:t>
      </w:r>
      <w:r w:rsidR="00C65D1A" w:rsidRPr="00471761">
        <w:rPr>
          <w:rStyle w:val="FootnoteReference"/>
          <w:rFonts w:ascii="Calibri" w:hAnsi="Calibri"/>
        </w:rPr>
        <w:footnoteReference w:id="287"/>
      </w:r>
      <w:r w:rsidR="00F347F2" w:rsidRPr="00471761">
        <w:rPr>
          <w:rFonts w:ascii="Calibri" w:hAnsi="Calibri"/>
        </w:rPr>
        <w:t xml:space="preserve"> The procedure could be </w:t>
      </w:r>
      <w:r w:rsidR="00AC418B" w:rsidRPr="00471761">
        <w:rPr>
          <w:rFonts w:ascii="Calibri" w:hAnsi="Calibri"/>
        </w:rPr>
        <w:t>promoted</w:t>
      </w:r>
      <w:r w:rsidR="00F347F2" w:rsidRPr="00471761">
        <w:rPr>
          <w:rFonts w:ascii="Calibri" w:hAnsi="Calibri"/>
        </w:rPr>
        <w:t xml:space="preserve"> by </w:t>
      </w:r>
      <w:r w:rsidR="00F347F2" w:rsidRPr="00471761">
        <w:rPr>
          <w:rFonts w:ascii="Calibri" w:hAnsi="Calibri"/>
          <w:b/>
          <w:color w:val="4F81BD" w:themeColor="accent1"/>
        </w:rPr>
        <w:t>publicising its existence</w:t>
      </w:r>
      <w:r w:rsidR="00F347F2" w:rsidRPr="00471761">
        <w:rPr>
          <w:rFonts w:ascii="Calibri" w:hAnsi="Calibri"/>
        </w:rPr>
        <w:t xml:space="preserve">, via public education </w:t>
      </w:r>
      <w:r w:rsidR="009C7F2E" w:rsidRPr="00471761">
        <w:rPr>
          <w:rFonts w:ascii="Calibri" w:hAnsi="Calibri"/>
        </w:rPr>
        <w:t>campaigns. There should also be</w:t>
      </w:r>
      <w:r w:rsidR="00F347F2" w:rsidRPr="00471761">
        <w:rPr>
          <w:rFonts w:ascii="Calibri" w:hAnsi="Calibri"/>
        </w:rPr>
        <w:t xml:space="preserve"> targeted information-sharing with officials and professionals who come into contact with women and girl victims of rights violatio</w:t>
      </w:r>
      <w:r w:rsidR="005E495D" w:rsidRPr="00471761">
        <w:rPr>
          <w:rFonts w:ascii="Calibri" w:hAnsi="Calibri"/>
        </w:rPr>
        <w:t xml:space="preserve">ns, including lawyers, police and </w:t>
      </w:r>
      <w:r w:rsidR="00AC418B" w:rsidRPr="00471761">
        <w:rPr>
          <w:rFonts w:ascii="Calibri" w:hAnsi="Calibri"/>
        </w:rPr>
        <w:t>military personnel, healthcare and service providers</w:t>
      </w:r>
      <w:r w:rsidR="00F347F2" w:rsidRPr="00471761">
        <w:rPr>
          <w:rFonts w:ascii="Calibri" w:hAnsi="Calibri"/>
        </w:rPr>
        <w:t xml:space="preserve">, and civil society organizations. </w:t>
      </w:r>
      <w:r w:rsidR="00AC418B" w:rsidRPr="00471761">
        <w:rPr>
          <w:rFonts w:ascii="Calibri" w:hAnsi="Calibri"/>
          <w:b/>
          <w:color w:val="4F81BD" w:themeColor="accent1"/>
        </w:rPr>
        <w:t>Access to justice</w:t>
      </w:r>
      <w:r w:rsidR="005E495D" w:rsidRPr="00471761">
        <w:rPr>
          <w:rFonts w:ascii="Calibri" w:hAnsi="Calibri"/>
          <w:color w:val="4F81BD" w:themeColor="accent1"/>
        </w:rPr>
        <w:t xml:space="preserve"> </w:t>
      </w:r>
      <w:r w:rsidR="005E495D" w:rsidRPr="00471761">
        <w:rPr>
          <w:rFonts w:ascii="Calibri" w:hAnsi="Calibri"/>
          <w:b/>
          <w:color w:val="4F81BD" w:themeColor="accent1"/>
        </w:rPr>
        <w:t>could be improved</w:t>
      </w:r>
      <w:r w:rsidR="005E495D" w:rsidRPr="00471761">
        <w:rPr>
          <w:rFonts w:ascii="Calibri" w:hAnsi="Calibri"/>
        </w:rPr>
        <w:t xml:space="preserve"> by</w:t>
      </w:r>
      <w:r w:rsidR="00AC418B" w:rsidRPr="00471761">
        <w:rPr>
          <w:rFonts w:ascii="Calibri" w:hAnsi="Calibri"/>
        </w:rPr>
        <w:t xml:space="preserve"> removing the</w:t>
      </w:r>
      <w:r w:rsidR="00F347F2" w:rsidRPr="00471761">
        <w:rPr>
          <w:rFonts w:ascii="Calibri" w:hAnsi="Calibri"/>
        </w:rPr>
        <w:t xml:space="preserve"> requirement to exhaust domestic remedie</w:t>
      </w:r>
      <w:r w:rsidR="005E495D" w:rsidRPr="00471761">
        <w:rPr>
          <w:rFonts w:ascii="Calibri" w:hAnsi="Calibri"/>
        </w:rPr>
        <w:t>s,</w:t>
      </w:r>
      <w:r w:rsidR="00AC418B" w:rsidRPr="00471761">
        <w:rPr>
          <w:rFonts w:ascii="Calibri" w:hAnsi="Calibri"/>
        </w:rPr>
        <w:t xml:space="preserve"> p</w:t>
      </w:r>
      <w:r w:rsidR="00F347F2" w:rsidRPr="00471761">
        <w:rPr>
          <w:rFonts w:ascii="Calibri" w:hAnsi="Calibri"/>
        </w:rPr>
        <w:t xml:space="preserve">roviding legal aid, </w:t>
      </w:r>
      <w:r w:rsidR="00AC418B" w:rsidRPr="00471761">
        <w:rPr>
          <w:rFonts w:ascii="Calibri" w:hAnsi="Calibri"/>
        </w:rPr>
        <w:t>and</w:t>
      </w:r>
      <w:r w:rsidR="00F347F2" w:rsidRPr="00471761">
        <w:rPr>
          <w:rFonts w:ascii="Calibri" w:hAnsi="Calibri"/>
        </w:rPr>
        <w:t xml:space="preserve"> publicising the d</w:t>
      </w:r>
      <w:r w:rsidR="00AC418B" w:rsidRPr="00471761">
        <w:rPr>
          <w:rFonts w:ascii="Calibri" w:hAnsi="Calibri"/>
        </w:rPr>
        <w:t>ecisions of the CEDAW Committee</w:t>
      </w:r>
      <w:r w:rsidR="00F347F2" w:rsidRPr="00471761">
        <w:rPr>
          <w:rFonts w:ascii="Calibri" w:hAnsi="Calibri"/>
        </w:rPr>
        <w:t xml:space="preserve">. </w:t>
      </w:r>
    </w:p>
    <w:p w14:paraId="0A51BBDB" w14:textId="77777777" w:rsidR="00C65D1A" w:rsidRPr="00471761" w:rsidRDefault="00C65D1A" w:rsidP="00D7771C">
      <w:pPr>
        <w:rPr>
          <w:rFonts w:ascii="Times" w:eastAsia="Times New Roman" w:hAnsi="Times" w:cs="Times New Roman"/>
        </w:rPr>
      </w:pPr>
    </w:p>
    <w:p w14:paraId="130FAC35" w14:textId="5741248E" w:rsidR="00623568" w:rsidRPr="00471761" w:rsidRDefault="00F347F2" w:rsidP="00B71A70">
      <w:pPr>
        <w:spacing w:line="360" w:lineRule="auto"/>
        <w:jc w:val="both"/>
        <w:rPr>
          <w:rFonts w:ascii="Calibri" w:hAnsi="Calibri"/>
        </w:rPr>
      </w:pPr>
      <w:r w:rsidRPr="00471761">
        <w:rPr>
          <w:rFonts w:ascii="Calibri" w:hAnsi="Calibri"/>
        </w:rPr>
        <w:t xml:space="preserve">The Committee’s </w:t>
      </w:r>
      <w:r w:rsidR="007B54BE" w:rsidRPr="00471761">
        <w:rPr>
          <w:rFonts w:ascii="Calibri" w:hAnsi="Calibri"/>
          <w:b/>
          <w:color w:val="4F81BD" w:themeColor="accent1"/>
        </w:rPr>
        <w:t>work</w:t>
      </w:r>
      <w:r w:rsidRPr="00471761">
        <w:rPr>
          <w:rFonts w:ascii="Calibri" w:hAnsi="Calibri"/>
          <w:b/>
          <w:color w:val="4F81BD" w:themeColor="accent1"/>
        </w:rPr>
        <w:t xml:space="preserve"> with civil society </w:t>
      </w:r>
      <w:r w:rsidR="00D12FC3" w:rsidRPr="00471761">
        <w:rPr>
          <w:rFonts w:ascii="Calibri" w:hAnsi="Calibri"/>
          <w:b/>
          <w:color w:val="4F81BD" w:themeColor="accent1"/>
        </w:rPr>
        <w:t>on</w:t>
      </w:r>
      <w:r w:rsidRPr="00471761">
        <w:rPr>
          <w:rFonts w:ascii="Calibri" w:hAnsi="Calibri"/>
          <w:b/>
          <w:color w:val="4F81BD" w:themeColor="accent1"/>
        </w:rPr>
        <w:t xml:space="preserve"> </w:t>
      </w:r>
      <w:r w:rsidR="006A0A62" w:rsidRPr="00471761">
        <w:rPr>
          <w:rFonts w:ascii="Calibri" w:hAnsi="Calibri"/>
          <w:b/>
          <w:color w:val="4F81BD" w:themeColor="accent1"/>
        </w:rPr>
        <w:t>implement</w:t>
      </w:r>
      <w:r w:rsidR="00D12FC3" w:rsidRPr="00471761">
        <w:rPr>
          <w:rFonts w:ascii="Calibri" w:hAnsi="Calibri"/>
          <w:b/>
          <w:color w:val="4F81BD" w:themeColor="accent1"/>
        </w:rPr>
        <w:t>ing</w:t>
      </w:r>
      <w:r w:rsidR="006A0A62" w:rsidRPr="00471761">
        <w:rPr>
          <w:rFonts w:ascii="Calibri" w:hAnsi="Calibri"/>
          <w:b/>
          <w:color w:val="4F81BD" w:themeColor="accent1"/>
        </w:rPr>
        <w:t xml:space="preserve"> the CEDAW GR No. 30</w:t>
      </w:r>
      <w:r w:rsidR="006A0A62" w:rsidRPr="00471761">
        <w:rPr>
          <w:rFonts w:ascii="Calibri" w:hAnsi="Calibri"/>
        </w:rPr>
        <w:t xml:space="preserve"> as a “complementary accountability mechanism”</w:t>
      </w:r>
      <w:r w:rsidR="00DD28E7" w:rsidRPr="00471761">
        <w:rPr>
          <w:rStyle w:val="FootnoteReference"/>
          <w:rFonts w:ascii="Calibri" w:hAnsi="Calibri"/>
        </w:rPr>
        <w:footnoteReference w:id="288"/>
      </w:r>
      <w:r w:rsidR="006A0A62" w:rsidRPr="00471761">
        <w:rPr>
          <w:rFonts w:ascii="Calibri" w:hAnsi="Calibri"/>
        </w:rPr>
        <w:t xml:space="preserve"> to SCR 1325 </w:t>
      </w:r>
      <w:r w:rsidR="00D12FC3" w:rsidRPr="00471761">
        <w:rPr>
          <w:rFonts w:ascii="Calibri" w:hAnsi="Calibri"/>
        </w:rPr>
        <w:t>and the legal framework should be strengthened</w:t>
      </w:r>
      <w:r w:rsidRPr="00471761">
        <w:rPr>
          <w:rFonts w:ascii="Calibri" w:hAnsi="Calibri"/>
        </w:rPr>
        <w:t xml:space="preserve">. </w:t>
      </w:r>
      <w:r w:rsidR="00AC418B" w:rsidRPr="00471761">
        <w:rPr>
          <w:rFonts w:ascii="Calibri" w:hAnsi="Calibri"/>
        </w:rPr>
        <w:t>The growth of well-organized transnational NGO net</w:t>
      </w:r>
      <w:r w:rsidR="004849D9" w:rsidRPr="00471761">
        <w:rPr>
          <w:rFonts w:ascii="Calibri" w:hAnsi="Calibri"/>
        </w:rPr>
        <w:t>works around CEDAW and SCR 1325</w:t>
      </w:r>
      <w:r w:rsidR="00AC418B" w:rsidRPr="00471761">
        <w:rPr>
          <w:rFonts w:ascii="Calibri" w:hAnsi="Calibri"/>
        </w:rPr>
        <w:t xml:space="preserve"> </w:t>
      </w:r>
      <w:r w:rsidR="004849D9" w:rsidRPr="00471761">
        <w:rPr>
          <w:rFonts w:ascii="Calibri" w:hAnsi="Calibri"/>
        </w:rPr>
        <w:t>is an opportunity for</w:t>
      </w:r>
      <w:r w:rsidR="00AC418B" w:rsidRPr="00471761">
        <w:rPr>
          <w:rFonts w:ascii="Calibri" w:hAnsi="Calibri"/>
        </w:rPr>
        <w:t xml:space="preserve"> local groups to strategically use the legal framework to achieve substantive and transformative justice.</w:t>
      </w:r>
      <w:r w:rsidR="00AC418B" w:rsidRPr="00471761">
        <w:rPr>
          <w:rStyle w:val="FootnoteReference"/>
          <w:rFonts w:ascii="Calibri" w:hAnsi="Calibri"/>
        </w:rPr>
        <w:footnoteReference w:id="289"/>
      </w:r>
      <w:r w:rsidR="004849D9" w:rsidRPr="00471761">
        <w:rPr>
          <w:rFonts w:ascii="Calibri" w:hAnsi="Calibri"/>
        </w:rPr>
        <w:t xml:space="preserve"> Like the CSW, CEDAW proces</w:t>
      </w:r>
      <w:r w:rsidR="008D6448" w:rsidRPr="00471761">
        <w:rPr>
          <w:rFonts w:ascii="Calibri" w:hAnsi="Calibri"/>
        </w:rPr>
        <w:t xml:space="preserve">ses attract </w:t>
      </w:r>
      <w:r w:rsidR="001E0A2A" w:rsidRPr="00471761">
        <w:rPr>
          <w:rFonts w:ascii="Calibri" w:hAnsi="Calibri"/>
        </w:rPr>
        <w:t xml:space="preserve">the </w:t>
      </w:r>
      <w:r w:rsidR="001E0A2A" w:rsidRPr="00471761">
        <w:rPr>
          <w:rFonts w:ascii="Calibri" w:hAnsi="Calibri"/>
          <w:b/>
          <w:color w:val="4F81BD" w:themeColor="accent1"/>
        </w:rPr>
        <w:t xml:space="preserve">intensive </w:t>
      </w:r>
      <w:r w:rsidR="00623568" w:rsidRPr="00471761">
        <w:rPr>
          <w:rFonts w:ascii="Calibri" w:hAnsi="Calibri"/>
          <w:b/>
          <w:color w:val="4F81BD" w:themeColor="accent1"/>
        </w:rPr>
        <w:t>involv</w:t>
      </w:r>
      <w:r w:rsidR="001E0A2A" w:rsidRPr="00471761">
        <w:rPr>
          <w:rFonts w:ascii="Calibri" w:hAnsi="Calibri"/>
          <w:b/>
          <w:color w:val="4F81BD" w:themeColor="accent1"/>
        </w:rPr>
        <w:t>ement of</w:t>
      </w:r>
      <w:r w:rsidR="00AC418B" w:rsidRPr="00471761">
        <w:rPr>
          <w:rFonts w:ascii="Calibri" w:hAnsi="Calibri"/>
          <w:b/>
          <w:color w:val="4F81BD" w:themeColor="accent1"/>
        </w:rPr>
        <w:t xml:space="preserve"> </w:t>
      </w:r>
      <w:r w:rsidR="00623568" w:rsidRPr="00471761">
        <w:rPr>
          <w:rFonts w:ascii="Calibri" w:hAnsi="Calibri"/>
          <w:b/>
          <w:color w:val="4F81BD" w:themeColor="accent1"/>
        </w:rPr>
        <w:t xml:space="preserve">transnational women’s </w:t>
      </w:r>
      <w:r w:rsidR="008D6448" w:rsidRPr="00471761">
        <w:rPr>
          <w:rFonts w:ascii="Calibri" w:hAnsi="Calibri"/>
          <w:b/>
          <w:color w:val="4F81BD" w:themeColor="accent1"/>
        </w:rPr>
        <w:t>groups</w:t>
      </w:r>
      <w:r w:rsidR="00623568" w:rsidRPr="00471761">
        <w:rPr>
          <w:rFonts w:ascii="Calibri" w:hAnsi="Calibri"/>
          <w:b/>
          <w:color w:val="4F81BD" w:themeColor="accent1"/>
        </w:rPr>
        <w:t>, which dedicate significant attention and resources to engaging with CEDAW</w:t>
      </w:r>
      <w:r w:rsidR="00623568" w:rsidRPr="00471761">
        <w:rPr>
          <w:rFonts w:ascii="Calibri" w:hAnsi="Calibri"/>
        </w:rPr>
        <w:t xml:space="preserve">. </w:t>
      </w:r>
      <w:r w:rsidR="004849D9" w:rsidRPr="00471761">
        <w:rPr>
          <w:rFonts w:ascii="Calibri" w:hAnsi="Calibri"/>
        </w:rPr>
        <w:t>The</w:t>
      </w:r>
      <w:r w:rsidR="006A0A62" w:rsidRPr="00471761">
        <w:rPr>
          <w:rFonts w:ascii="Calibri" w:hAnsi="Calibri"/>
        </w:rPr>
        <w:t xml:space="preserve"> Committee</w:t>
      </w:r>
      <w:r w:rsidR="00D12FC3" w:rsidRPr="00471761">
        <w:rPr>
          <w:rFonts w:ascii="Calibri" w:hAnsi="Calibri"/>
        </w:rPr>
        <w:t xml:space="preserve"> and the Global Network for Women Peacebuilders</w:t>
      </w:r>
      <w:r w:rsidR="006A0A62" w:rsidRPr="00471761">
        <w:rPr>
          <w:rFonts w:ascii="Calibri" w:hAnsi="Calibri"/>
        </w:rPr>
        <w:t xml:space="preserve"> recently </w:t>
      </w:r>
      <w:r w:rsidR="00D12FC3" w:rsidRPr="00471761">
        <w:rPr>
          <w:rFonts w:ascii="Calibri" w:hAnsi="Calibri"/>
        </w:rPr>
        <w:t xml:space="preserve">trained women peacebuilders from Asia </w:t>
      </w:r>
      <w:r w:rsidR="004849D9" w:rsidRPr="00471761">
        <w:rPr>
          <w:rFonts w:ascii="Calibri" w:hAnsi="Calibri"/>
        </w:rPr>
        <w:t>to utilise SCR 1325 and the CEDAW GR No. 30</w:t>
      </w:r>
      <w:r w:rsidR="006A0A62" w:rsidRPr="00471761">
        <w:rPr>
          <w:rFonts w:ascii="Calibri" w:hAnsi="Calibri"/>
        </w:rPr>
        <w:t>.</w:t>
      </w:r>
      <w:r w:rsidR="006A0A62" w:rsidRPr="00471761">
        <w:rPr>
          <w:rStyle w:val="FootnoteReference"/>
          <w:rFonts w:ascii="Calibri" w:hAnsi="Calibri"/>
        </w:rPr>
        <w:footnoteReference w:id="290"/>
      </w:r>
      <w:r w:rsidR="008D6448" w:rsidRPr="00471761">
        <w:rPr>
          <w:rFonts w:ascii="Calibri" w:hAnsi="Calibri"/>
        </w:rPr>
        <w:t xml:space="preserve"> </w:t>
      </w:r>
      <w:r w:rsidR="008D6448" w:rsidRPr="00471761">
        <w:rPr>
          <w:rFonts w:ascii="Calibri" w:hAnsi="Calibri"/>
          <w:b/>
          <w:color w:val="4F81BD" w:themeColor="accent1"/>
        </w:rPr>
        <w:t>F</w:t>
      </w:r>
      <w:r w:rsidR="006A0A62" w:rsidRPr="00471761">
        <w:rPr>
          <w:rFonts w:ascii="Calibri" w:hAnsi="Calibri"/>
          <w:b/>
          <w:color w:val="4F81BD" w:themeColor="accent1"/>
        </w:rPr>
        <w:t>inancial and human re</w:t>
      </w:r>
      <w:r w:rsidR="00D12FC3" w:rsidRPr="00471761">
        <w:rPr>
          <w:rFonts w:ascii="Calibri" w:hAnsi="Calibri"/>
          <w:b/>
          <w:color w:val="4F81BD" w:themeColor="accent1"/>
        </w:rPr>
        <w:t>so</w:t>
      </w:r>
      <w:r w:rsidR="006A0A62" w:rsidRPr="00471761">
        <w:rPr>
          <w:rFonts w:ascii="Calibri" w:hAnsi="Calibri"/>
          <w:b/>
          <w:color w:val="4F81BD" w:themeColor="accent1"/>
        </w:rPr>
        <w:t>urces</w:t>
      </w:r>
      <w:r w:rsidR="006A0A62" w:rsidRPr="00471761">
        <w:rPr>
          <w:rFonts w:ascii="Calibri" w:hAnsi="Calibri"/>
        </w:rPr>
        <w:t xml:space="preserve"> should be </w:t>
      </w:r>
      <w:r w:rsidR="00D12FC3" w:rsidRPr="00471761">
        <w:rPr>
          <w:rFonts w:ascii="Calibri" w:hAnsi="Calibri"/>
        </w:rPr>
        <w:t xml:space="preserve">allocated </w:t>
      </w:r>
      <w:r w:rsidR="00D12FC3" w:rsidRPr="00471761">
        <w:rPr>
          <w:rFonts w:ascii="Calibri" w:hAnsi="Calibri"/>
          <w:b/>
          <w:color w:val="4F81BD" w:themeColor="accent1"/>
        </w:rPr>
        <w:t xml:space="preserve">to the Committee and </w:t>
      </w:r>
      <w:r w:rsidR="007B54BE" w:rsidRPr="00471761">
        <w:rPr>
          <w:rFonts w:ascii="Calibri" w:hAnsi="Calibri"/>
          <w:b/>
          <w:color w:val="4F81BD" w:themeColor="accent1"/>
        </w:rPr>
        <w:t>organizations</w:t>
      </w:r>
      <w:r w:rsidR="007B54BE" w:rsidRPr="00471761">
        <w:rPr>
          <w:rFonts w:ascii="Calibri" w:hAnsi="Calibri"/>
        </w:rPr>
        <w:t xml:space="preserve"> that build the capacity of women and girls to hold states accountable </w:t>
      </w:r>
      <w:r w:rsidR="008D6448" w:rsidRPr="00471761">
        <w:rPr>
          <w:rFonts w:ascii="Calibri" w:hAnsi="Calibri"/>
        </w:rPr>
        <w:t>under the legal framework</w:t>
      </w:r>
      <w:r w:rsidR="007B54BE" w:rsidRPr="00471761">
        <w:rPr>
          <w:rFonts w:ascii="Calibri" w:hAnsi="Calibri"/>
        </w:rPr>
        <w:t>.</w:t>
      </w:r>
    </w:p>
    <w:p w14:paraId="3E0B6C29" w14:textId="76B4D945" w:rsidR="00471761" w:rsidRDefault="00471761">
      <w:pPr>
        <w:rPr>
          <w:rFonts w:ascii="Calibri" w:hAnsi="Calibri"/>
        </w:rPr>
      </w:pPr>
      <w:r>
        <w:rPr>
          <w:rFonts w:ascii="Calibri" w:hAnsi="Calibri"/>
        </w:rPr>
        <w:br w:type="page"/>
      </w:r>
    </w:p>
    <w:p w14:paraId="708A3C79" w14:textId="1E961F33" w:rsidR="003330F3" w:rsidRPr="00471761" w:rsidRDefault="003330F3" w:rsidP="003330F3">
      <w:pPr>
        <w:pStyle w:val="Heading3"/>
        <w:keepLines/>
        <w:spacing w:before="20" w:after="0"/>
        <w:jc w:val="center"/>
        <w:rPr>
          <w:b w:val="0"/>
          <w:color w:val="1F497D" w:themeColor="text2"/>
          <w:spacing w:val="14"/>
          <w:sz w:val="32"/>
          <w:szCs w:val="32"/>
          <w:lang w:val="en-GB"/>
        </w:rPr>
      </w:pPr>
      <w:bookmarkStart w:id="24" w:name="_Toc416867102"/>
      <w:r>
        <w:rPr>
          <w:b w:val="0"/>
          <w:color w:val="1F497D" w:themeColor="text2"/>
          <w:spacing w:val="14"/>
          <w:sz w:val="32"/>
          <w:szCs w:val="32"/>
          <w:lang w:val="en-GB"/>
        </w:rPr>
        <w:lastRenderedPageBreak/>
        <w:t>SCR 1325 AND TRANSFORMATIVE REMEDIES FOR VICTIMS OF RIGHTS VIOLATIONS</w:t>
      </w:r>
      <w:bookmarkEnd w:id="24"/>
    </w:p>
    <w:p w14:paraId="159266DC" w14:textId="141F910D" w:rsidR="00D61EB4" w:rsidRPr="003B622B" w:rsidRDefault="00E054BC" w:rsidP="00905B20">
      <w:pPr>
        <w:spacing w:before="100" w:beforeAutospacing="1" w:after="100" w:afterAutospacing="1" w:line="360" w:lineRule="auto"/>
        <w:jc w:val="both"/>
        <w:rPr>
          <w:rFonts w:ascii="Calibri" w:hAnsi="Calibri"/>
        </w:rPr>
      </w:pPr>
      <w:r>
        <w:rPr>
          <w:rFonts w:ascii="Calibri" w:hAnsi="Calibri"/>
        </w:rPr>
        <w:t xml:space="preserve">There are strong indications from SCR 1325 that the right to a remedy exists, despite the absence of the </w:t>
      </w:r>
      <w:r w:rsidR="00C566AF">
        <w:rPr>
          <w:rFonts w:ascii="Calibri" w:hAnsi="Calibri"/>
        </w:rPr>
        <w:t>words “remedy” or “reparations”</w:t>
      </w:r>
      <w:r w:rsidR="00D61EB4" w:rsidRPr="003B622B">
        <w:rPr>
          <w:rFonts w:ascii="Calibri" w:hAnsi="Calibri"/>
        </w:rPr>
        <w:t xml:space="preserve"> </w:t>
      </w:r>
      <w:r>
        <w:rPr>
          <w:rFonts w:ascii="Calibri" w:hAnsi="Calibri"/>
        </w:rPr>
        <w:t>in its text</w:t>
      </w:r>
      <w:r w:rsidR="00D61EB4" w:rsidRPr="003B622B">
        <w:rPr>
          <w:rFonts w:ascii="Calibri" w:hAnsi="Calibri"/>
        </w:rPr>
        <w:t xml:space="preserve">. </w:t>
      </w:r>
      <w:r w:rsidR="00C17AD7">
        <w:rPr>
          <w:rFonts w:ascii="Calibri" w:hAnsi="Calibri"/>
        </w:rPr>
        <w:t>SCR 1325</w:t>
      </w:r>
      <w:r w:rsidR="00D61EB4" w:rsidRPr="003B622B">
        <w:rPr>
          <w:rFonts w:ascii="Calibri" w:hAnsi="Calibri"/>
        </w:rPr>
        <w:t xml:space="preserve"> reaffirms the need to implement fully international humanitarian and human rights law that protect the rights of women and girls during and after conflicts.</w:t>
      </w:r>
      <w:r>
        <w:rPr>
          <w:rStyle w:val="FootnoteReference"/>
          <w:rFonts w:ascii="Calibri" w:hAnsi="Calibri"/>
        </w:rPr>
        <w:footnoteReference w:id="291"/>
      </w:r>
      <w:r w:rsidR="00D61EB4" w:rsidRPr="003B622B">
        <w:rPr>
          <w:rFonts w:ascii="Calibri" w:hAnsi="Calibri"/>
        </w:rPr>
        <w:t xml:space="preserve"> The right to remedy in human rights law has been widely acknowledged, particularly by the </w:t>
      </w:r>
      <w:r w:rsidR="009C7F2E">
        <w:rPr>
          <w:rFonts w:ascii="Calibri" w:hAnsi="Calibri"/>
        </w:rPr>
        <w:t>UN General Assembly</w:t>
      </w:r>
      <w:r w:rsidR="00D61EB4" w:rsidRPr="003B622B">
        <w:rPr>
          <w:rFonts w:ascii="Calibri" w:hAnsi="Calibri"/>
        </w:rPr>
        <w:t>’s adoptio</w:t>
      </w:r>
      <w:r w:rsidR="00C566AF">
        <w:rPr>
          <w:rFonts w:ascii="Calibri" w:hAnsi="Calibri"/>
        </w:rPr>
        <w:t>n of the “</w:t>
      </w:r>
      <w:r w:rsidR="00D61EB4" w:rsidRPr="003B622B">
        <w:rPr>
          <w:rFonts w:ascii="Calibri" w:hAnsi="Calibri"/>
        </w:rPr>
        <w:t>Basic Principles and Guidelines on the Right to a Remedy and Reparation for Victims of Gross Violations of International Human Rights Law and Serious Violations of</w:t>
      </w:r>
      <w:r w:rsidR="00C566AF">
        <w:rPr>
          <w:rFonts w:ascii="Calibri" w:hAnsi="Calibri"/>
        </w:rPr>
        <w:t xml:space="preserve"> International Humanitarian Law”</w:t>
      </w:r>
      <w:r>
        <w:rPr>
          <w:rFonts w:ascii="Calibri" w:hAnsi="Calibri"/>
        </w:rPr>
        <w:t xml:space="preserve"> (the Principles)</w:t>
      </w:r>
      <w:r w:rsidR="00D61EB4" w:rsidRPr="003B622B">
        <w:rPr>
          <w:rFonts w:ascii="Calibri" w:hAnsi="Calibri"/>
        </w:rPr>
        <w:t>.</w:t>
      </w:r>
      <w:r w:rsidR="00D61EB4" w:rsidRPr="003B622B">
        <w:rPr>
          <w:rStyle w:val="FootnoteReference"/>
          <w:rFonts w:ascii="Calibri" w:hAnsi="Calibri"/>
        </w:rPr>
        <w:footnoteReference w:id="292"/>
      </w:r>
      <w:r>
        <w:rPr>
          <w:rFonts w:ascii="Calibri" w:hAnsi="Calibri"/>
        </w:rPr>
        <w:t xml:space="preserve"> The P</w:t>
      </w:r>
      <w:r w:rsidR="00D61EB4" w:rsidRPr="003B622B">
        <w:rPr>
          <w:rFonts w:ascii="Calibri" w:hAnsi="Calibri"/>
        </w:rPr>
        <w:t>rinciples require the adoption of a ‘victim-oriented’ approach and set out the importance of accessible and meaningful remedies</w:t>
      </w:r>
      <w:r w:rsidR="00D61EB4" w:rsidRPr="00905B20">
        <w:rPr>
          <w:rFonts w:ascii="Calibri" w:hAnsi="Calibri"/>
          <w:b/>
          <w:color w:val="4F81BD" w:themeColor="accent1"/>
        </w:rPr>
        <w:t>, including transformative remedies</w:t>
      </w:r>
      <w:r w:rsidR="00D61EB4" w:rsidRPr="003B622B">
        <w:rPr>
          <w:rFonts w:ascii="Calibri" w:hAnsi="Calibri"/>
        </w:rPr>
        <w:t>.</w:t>
      </w:r>
      <w:r w:rsidR="00D61EB4">
        <w:rPr>
          <w:rFonts w:ascii="Calibri" w:hAnsi="Calibri"/>
        </w:rPr>
        <w:t xml:space="preserve"> </w:t>
      </w:r>
      <w:r w:rsidR="00004951">
        <w:rPr>
          <w:rFonts w:ascii="Calibri" w:hAnsi="Calibri"/>
        </w:rPr>
        <w:t>SCR 1325 requires that all</w:t>
      </w:r>
      <w:r w:rsidR="00D61EB4" w:rsidRPr="003B622B">
        <w:rPr>
          <w:rFonts w:ascii="Calibri" w:hAnsi="Calibri"/>
        </w:rPr>
        <w:t xml:space="preserve"> actors that conclude peace agreements must adopt a gender perspective regarding the special needs of women and girls during repatriation and resettlement, rehabilitation, reintegration and post-conflict reconstruction.</w:t>
      </w:r>
      <w:r>
        <w:rPr>
          <w:rStyle w:val="FootnoteReference"/>
          <w:rFonts w:ascii="Calibri" w:hAnsi="Calibri"/>
        </w:rPr>
        <w:footnoteReference w:id="293"/>
      </w:r>
      <w:r w:rsidR="00D61EB4" w:rsidRPr="003B622B">
        <w:rPr>
          <w:rFonts w:ascii="Calibri" w:hAnsi="Calibri"/>
        </w:rPr>
        <w:t xml:space="preserve"> Arguably, transformative remedies are an essential component in effectively addressing this requirement. This is also further supported by calls</w:t>
      </w:r>
      <w:r>
        <w:rPr>
          <w:rFonts w:ascii="Calibri" w:hAnsi="Calibri"/>
        </w:rPr>
        <w:t xml:space="preserve"> to “</w:t>
      </w:r>
      <w:r w:rsidR="00D61EB4" w:rsidRPr="003B622B">
        <w:rPr>
          <w:rFonts w:ascii="Calibri" w:hAnsi="Calibri"/>
        </w:rPr>
        <w:t>respect fully international law applicable to the rights and protection of women and girls’</w:t>
      </w:r>
      <w:r>
        <w:rPr>
          <w:rFonts w:ascii="Calibri" w:hAnsi="Calibri"/>
        </w:rPr>
        <w:t>”</w:t>
      </w:r>
      <w:r w:rsidR="00D61EB4" w:rsidRPr="003B622B">
        <w:rPr>
          <w:rFonts w:ascii="Calibri" w:hAnsi="Calibri"/>
        </w:rPr>
        <w:t xml:space="preserve"> in SCR 1325,</w:t>
      </w:r>
      <w:r>
        <w:rPr>
          <w:rStyle w:val="FootnoteReference"/>
          <w:rFonts w:ascii="Calibri" w:hAnsi="Calibri"/>
        </w:rPr>
        <w:footnoteReference w:id="294"/>
      </w:r>
      <w:r w:rsidR="00D61EB4" w:rsidRPr="003B622B">
        <w:rPr>
          <w:rFonts w:ascii="Calibri" w:hAnsi="Calibri"/>
        </w:rPr>
        <w:t xml:space="preserve"> and the emphasis on the responsibility of States to end impunity in the context of international wrongs committed against women and girls.</w:t>
      </w:r>
      <w:r>
        <w:rPr>
          <w:rStyle w:val="FootnoteReference"/>
          <w:rFonts w:ascii="Calibri" w:hAnsi="Calibri"/>
        </w:rPr>
        <w:footnoteReference w:id="295"/>
      </w:r>
      <w:r>
        <w:rPr>
          <w:rFonts w:ascii="Calibri" w:hAnsi="Calibri"/>
        </w:rPr>
        <w:t xml:space="preserve"> As </w:t>
      </w:r>
      <w:r w:rsidR="00772635">
        <w:rPr>
          <w:rFonts w:ascii="Calibri" w:hAnsi="Calibri"/>
        </w:rPr>
        <w:t>elaborated</w:t>
      </w:r>
      <w:r>
        <w:rPr>
          <w:rFonts w:ascii="Calibri" w:hAnsi="Calibri"/>
        </w:rPr>
        <w:t xml:space="preserve"> in Section 1, the following resolutions on WPS, CEDAW and its GR No. 30, and the broader legal framework, reinforce the right to a remedy. </w:t>
      </w:r>
    </w:p>
    <w:p w14:paraId="36889602" w14:textId="77777777" w:rsidR="00004951" w:rsidRDefault="006F35AD" w:rsidP="00905B20">
      <w:pPr>
        <w:spacing w:before="100" w:beforeAutospacing="1" w:after="100" w:afterAutospacing="1" w:line="360" w:lineRule="auto"/>
        <w:jc w:val="both"/>
        <w:rPr>
          <w:rFonts w:ascii="Calibri" w:hAnsi="Calibri"/>
        </w:rPr>
      </w:pPr>
      <w:r w:rsidRPr="003B622B">
        <w:rPr>
          <w:rFonts w:ascii="Calibri" w:hAnsi="Calibri"/>
        </w:rPr>
        <w:t>Transformative remedies strive to break down existing inequalities and discrimination against women, in addition to providing reparations for violations of their rights.</w:t>
      </w:r>
      <w:r w:rsidRPr="003B622B">
        <w:rPr>
          <w:rStyle w:val="FootnoteReference"/>
          <w:rFonts w:ascii="Calibri" w:hAnsi="Calibri"/>
        </w:rPr>
        <w:footnoteReference w:id="296"/>
      </w:r>
      <w:r w:rsidRPr="003B622B">
        <w:rPr>
          <w:rFonts w:ascii="Calibri" w:hAnsi="Calibri"/>
        </w:rPr>
        <w:t xml:space="preserve"> Reparations can include monetary compensation or restitution, other material compensation, an apology, infrastructure, education, the enactment of new laws, increased cultural awareness through film or other media, employment, rehabilitation, or any other measures that are directed towards repairing the harm suffered by the victims. They can be collective (for example, skills training or building infrastructure in a particular community) or individual in nature, where the remedy can be granted either through a voluntary, administrative or judicial process. Remedies can also be layered, allowing for individual violations to be adjudicated in </w:t>
      </w:r>
      <w:r w:rsidRPr="003B622B">
        <w:rPr>
          <w:rFonts w:ascii="Calibri" w:hAnsi="Calibri"/>
        </w:rPr>
        <w:lastRenderedPageBreak/>
        <w:t>accordance with due process as well as having the effect of apologising to a community as a whole for the wrongs endured in times of conflict.</w:t>
      </w:r>
      <w:r w:rsidR="00772635">
        <w:rPr>
          <w:rFonts w:ascii="Calibri" w:hAnsi="Calibri"/>
        </w:rPr>
        <w:t xml:space="preserve"> </w:t>
      </w:r>
    </w:p>
    <w:p w14:paraId="5CFB6A57" w14:textId="7C633FD3" w:rsidR="006F35AD" w:rsidRPr="003B622B" w:rsidRDefault="00772635" w:rsidP="00905B20">
      <w:pPr>
        <w:spacing w:before="100" w:beforeAutospacing="1" w:after="100" w:afterAutospacing="1" w:line="360" w:lineRule="auto"/>
        <w:jc w:val="both"/>
        <w:rPr>
          <w:rFonts w:ascii="Calibri" w:hAnsi="Calibri"/>
        </w:rPr>
      </w:pPr>
      <w:r>
        <w:rPr>
          <w:rFonts w:ascii="Calibri" w:hAnsi="Calibri"/>
        </w:rPr>
        <w:t xml:space="preserve">In the context of SCR 1325, transformative remedies </w:t>
      </w:r>
      <w:r w:rsidR="00004951">
        <w:rPr>
          <w:rFonts w:ascii="Calibri" w:hAnsi="Calibri"/>
        </w:rPr>
        <w:t xml:space="preserve">have the potential to guarantee transformative equality, </w:t>
      </w:r>
      <w:r w:rsidR="00AE57C8">
        <w:rPr>
          <w:rFonts w:ascii="Calibri" w:hAnsi="Calibri"/>
        </w:rPr>
        <w:t>especially for victims of conflict-related violence and other grave human rights abuses</w:t>
      </w:r>
      <w:r w:rsidR="00004951">
        <w:rPr>
          <w:rFonts w:ascii="Calibri" w:hAnsi="Calibri"/>
        </w:rPr>
        <w:t xml:space="preserve">. </w:t>
      </w:r>
      <w:r w:rsidR="00AE57C8" w:rsidRPr="00C00CBB">
        <w:rPr>
          <w:rFonts w:ascii="Calibri" w:hAnsi="Calibri"/>
        </w:rPr>
        <w:t xml:space="preserve">Transformative </w:t>
      </w:r>
      <w:r w:rsidR="00AE57C8">
        <w:rPr>
          <w:rFonts w:ascii="Calibri" w:hAnsi="Calibri"/>
        </w:rPr>
        <w:t xml:space="preserve">remedies </w:t>
      </w:r>
      <w:r w:rsidR="00AE57C8" w:rsidRPr="00C00CBB">
        <w:rPr>
          <w:rFonts w:ascii="Calibri" w:hAnsi="Calibri"/>
        </w:rPr>
        <w:t>are those best suited to</w:t>
      </w:r>
      <w:r w:rsidR="00AE57C8">
        <w:rPr>
          <w:rFonts w:ascii="Calibri" w:hAnsi="Calibri"/>
        </w:rPr>
        <w:t xml:space="preserve"> ensuring women and girls are not returned to the same subordinate positions in patriarchal structures which allow rights violations to happen in the first place</w:t>
      </w:r>
      <w:r w:rsidR="00004951">
        <w:rPr>
          <w:rFonts w:ascii="Calibri" w:hAnsi="Calibri"/>
        </w:rPr>
        <w:t xml:space="preserve">. </w:t>
      </w:r>
      <w:r w:rsidR="006F35AD" w:rsidRPr="003B622B">
        <w:rPr>
          <w:rFonts w:ascii="Calibri" w:hAnsi="Calibri"/>
        </w:rPr>
        <w:t xml:space="preserve">Reparations can be made by individual perpetrators of crimes, by non-state actors, or by states that have failed in their obligations under CEDAW or SCR 1325. </w:t>
      </w:r>
      <w:r w:rsidR="003B2F09">
        <w:rPr>
          <w:rFonts w:ascii="Calibri" w:hAnsi="Calibri"/>
        </w:rPr>
        <w:t>To ensure</w:t>
      </w:r>
      <w:r w:rsidR="006F35AD" w:rsidRPr="003B622B">
        <w:rPr>
          <w:rFonts w:ascii="Calibri" w:hAnsi="Calibri"/>
        </w:rPr>
        <w:t xml:space="preserve"> their effectiveness in a transformative </w:t>
      </w:r>
      <w:r w:rsidR="003B2F09">
        <w:rPr>
          <w:rFonts w:ascii="Calibri" w:hAnsi="Calibri"/>
        </w:rPr>
        <w:t>way</w:t>
      </w:r>
      <w:r w:rsidR="006F35AD" w:rsidRPr="003B622B">
        <w:rPr>
          <w:rFonts w:ascii="Calibri" w:hAnsi="Calibri"/>
        </w:rPr>
        <w:t>, victims must be enabled with access to remedies in a manner that is suitable in the context of their community and religion.</w:t>
      </w:r>
      <w:r w:rsidR="006F35AD" w:rsidRPr="003B622B">
        <w:rPr>
          <w:rStyle w:val="FootnoteReference"/>
          <w:rFonts w:ascii="Calibri" w:hAnsi="Calibri"/>
        </w:rPr>
        <w:footnoteReference w:id="297"/>
      </w:r>
      <w:r w:rsidR="006F35AD" w:rsidRPr="003B622B">
        <w:rPr>
          <w:rFonts w:ascii="Calibri" w:hAnsi="Calibri"/>
        </w:rPr>
        <w:t xml:space="preserve"> </w:t>
      </w:r>
    </w:p>
    <w:p w14:paraId="030753C0" w14:textId="3CF580B0" w:rsidR="006F35AD" w:rsidRPr="00905B20" w:rsidRDefault="006F35AD" w:rsidP="00772635">
      <w:pPr>
        <w:spacing w:before="100" w:beforeAutospacing="1" w:after="100" w:afterAutospacing="1"/>
        <w:jc w:val="both"/>
        <w:rPr>
          <w:rFonts w:ascii="Calibri" w:hAnsi="Calibri"/>
          <w:b/>
          <w:color w:val="1F497D" w:themeColor="text2"/>
          <w:u w:val="single"/>
        </w:rPr>
      </w:pPr>
      <w:r w:rsidRPr="00905B20">
        <w:rPr>
          <w:rFonts w:ascii="Calibri" w:hAnsi="Calibri"/>
          <w:b/>
          <w:color w:val="1F497D" w:themeColor="text2"/>
          <w:u w:val="single"/>
        </w:rPr>
        <w:t>Cotton Fields Case</w:t>
      </w:r>
      <w:r w:rsidR="00004951" w:rsidRPr="00905B20">
        <w:rPr>
          <w:rFonts w:ascii="Calibri" w:hAnsi="Calibri"/>
          <w:b/>
          <w:color w:val="1F497D" w:themeColor="text2"/>
          <w:u w:val="single"/>
        </w:rPr>
        <w:t xml:space="preserve"> of the Inter-American Court of Human Rights</w:t>
      </w:r>
    </w:p>
    <w:p w14:paraId="4B2498A8" w14:textId="12973B2C" w:rsidR="006F35AD" w:rsidRPr="003B2F09" w:rsidRDefault="006F35AD" w:rsidP="00905B20">
      <w:pPr>
        <w:spacing w:line="360" w:lineRule="auto"/>
        <w:jc w:val="both"/>
        <w:rPr>
          <w:rFonts w:ascii="Times" w:eastAsia="Times New Roman" w:hAnsi="Times" w:cs="Times New Roman"/>
          <w:color w:val="000000" w:themeColor="text1"/>
          <w:sz w:val="20"/>
          <w:szCs w:val="20"/>
        </w:rPr>
      </w:pPr>
      <w:r w:rsidRPr="003B2F09">
        <w:rPr>
          <w:rFonts w:ascii="Calibri" w:hAnsi="Calibri"/>
          <w:color w:val="000000" w:themeColor="text1"/>
        </w:rPr>
        <w:t xml:space="preserve">The Inter-American Court of Human Rights has issued important guidance on the need for reparations in cases concerning women, peace and security. </w:t>
      </w:r>
      <w:r w:rsidRPr="003B2F09">
        <w:rPr>
          <w:rFonts w:ascii="Calibri" w:hAnsi="Calibri"/>
          <w:i/>
          <w:color w:val="000000" w:themeColor="text1"/>
        </w:rPr>
        <w:t>Gonzalez et al (‘Cotton Field’) v Mexico</w:t>
      </w:r>
      <w:r w:rsidRPr="003B2F09">
        <w:rPr>
          <w:rFonts w:ascii="Calibri" w:hAnsi="Calibri"/>
          <w:color w:val="000000" w:themeColor="text1"/>
        </w:rPr>
        <w:t xml:space="preserve"> concerned the disappearances and deaths of a number of women and girls in a cotton field in Ciudad </w:t>
      </w:r>
      <w:r w:rsidR="003B2F09" w:rsidRPr="003B2F09">
        <w:rPr>
          <w:rFonts w:ascii="Calibri" w:eastAsia="Times New Roman" w:hAnsi="Calibri" w:cs="Arial"/>
          <w:bCs/>
          <w:color w:val="000000" w:themeColor="text1"/>
          <w:shd w:val="clear" w:color="auto" w:fill="FFFFFF"/>
        </w:rPr>
        <w:t>Juárez,</w:t>
      </w:r>
      <w:r w:rsidR="003B2F09" w:rsidRPr="003B2F09">
        <w:rPr>
          <w:rFonts w:ascii="Arial" w:eastAsia="Times New Roman" w:hAnsi="Arial" w:cs="Arial"/>
          <w:b/>
          <w:bCs/>
          <w:color w:val="000000" w:themeColor="text1"/>
          <w:sz w:val="20"/>
          <w:szCs w:val="20"/>
          <w:shd w:val="clear" w:color="auto" w:fill="FFFFFF"/>
        </w:rPr>
        <w:t xml:space="preserve"> </w:t>
      </w:r>
      <w:r w:rsidRPr="003B2F09">
        <w:rPr>
          <w:rFonts w:ascii="Calibri" w:hAnsi="Calibri"/>
          <w:color w:val="000000" w:themeColor="text1"/>
        </w:rPr>
        <w:t>Mexico. A number of incidents had been reported over a long period of time, and there was evidence of extreme violence, rape and torture in many incidents. The Court found that the violations were especially addressed against women.</w:t>
      </w:r>
      <w:r w:rsidRPr="003B2F09">
        <w:rPr>
          <w:rStyle w:val="FootnoteReference"/>
          <w:rFonts w:ascii="Calibri" w:hAnsi="Calibri"/>
          <w:color w:val="000000" w:themeColor="text1"/>
        </w:rPr>
        <w:footnoteReference w:id="298"/>
      </w:r>
      <w:r w:rsidRPr="003B2F09">
        <w:rPr>
          <w:rFonts w:ascii="Calibri" w:hAnsi="Calibri"/>
          <w:color w:val="000000" w:themeColor="text1"/>
        </w:rPr>
        <w:t xml:space="preserve"> </w:t>
      </w:r>
    </w:p>
    <w:p w14:paraId="56014FCE" w14:textId="585CC5D9" w:rsidR="006F35AD" w:rsidRPr="003B622B" w:rsidRDefault="006F35AD" w:rsidP="00905B20">
      <w:pPr>
        <w:spacing w:before="100" w:beforeAutospacing="1" w:after="100" w:afterAutospacing="1" w:line="360" w:lineRule="auto"/>
        <w:jc w:val="both"/>
        <w:rPr>
          <w:rFonts w:ascii="Calibri" w:hAnsi="Calibri"/>
        </w:rPr>
      </w:pPr>
      <w:r w:rsidRPr="003B622B">
        <w:rPr>
          <w:rFonts w:ascii="Calibri" w:hAnsi="Calibri"/>
        </w:rPr>
        <w:t>An important aspect of the case was Mexico’s failure to comply with its international obligations to provide adequate reparations. The Court held that Mexico was required to provide adequate reparations for the victims and their next of kin, and the reparations ordered were transformative in nature. The Court concluded that the violations had resulted from structural discrimination. Theref</w:t>
      </w:r>
      <w:r w:rsidR="00004951">
        <w:rPr>
          <w:rFonts w:ascii="Calibri" w:hAnsi="Calibri"/>
        </w:rPr>
        <w:t>ore, the reparations had to be “</w:t>
      </w:r>
      <w:r w:rsidRPr="003B622B">
        <w:rPr>
          <w:rFonts w:ascii="Calibri" w:hAnsi="Calibri"/>
        </w:rPr>
        <w:t>designed to change this situation, so that their effect is not only of restitu</w:t>
      </w:r>
      <w:r w:rsidR="00004951">
        <w:rPr>
          <w:rFonts w:ascii="Calibri" w:hAnsi="Calibri"/>
        </w:rPr>
        <w:t>tion, but also of rectification”</w:t>
      </w:r>
      <w:r w:rsidRPr="003B622B">
        <w:rPr>
          <w:rFonts w:ascii="Calibri" w:hAnsi="Calibri"/>
        </w:rPr>
        <w:t>.</w:t>
      </w:r>
      <w:r w:rsidRPr="003B622B">
        <w:rPr>
          <w:rStyle w:val="FootnoteReference"/>
          <w:rFonts w:ascii="Calibri" w:hAnsi="Calibri"/>
        </w:rPr>
        <w:footnoteReference w:id="299"/>
      </w:r>
      <w:r w:rsidRPr="003B622B">
        <w:rPr>
          <w:rFonts w:ascii="Calibri" w:hAnsi="Calibri"/>
        </w:rPr>
        <w:t xml:space="preserve">  As a result, the Court ordered monetary, non-pecuniary and structural reparations to be made, as adopted from a gender perspective. This was the first time in which transformative reparations had been ordered by an International Court directly as a result of a breach of international obligations towards women.</w:t>
      </w:r>
      <w:r w:rsidRPr="003B622B">
        <w:rPr>
          <w:rStyle w:val="FootnoteReference"/>
          <w:rFonts w:ascii="Calibri" w:hAnsi="Calibri"/>
        </w:rPr>
        <w:footnoteReference w:id="300"/>
      </w:r>
    </w:p>
    <w:p w14:paraId="0B5F7C76" w14:textId="77777777" w:rsidR="006F35AD" w:rsidRPr="00905B20" w:rsidRDefault="006F35AD" w:rsidP="00772635">
      <w:pPr>
        <w:spacing w:before="100" w:beforeAutospacing="1" w:after="100" w:afterAutospacing="1"/>
        <w:jc w:val="both"/>
        <w:rPr>
          <w:rFonts w:ascii="Calibri" w:hAnsi="Calibri"/>
          <w:b/>
          <w:color w:val="1F497D" w:themeColor="text2"/>
          <w:u w:val="single"/>
        </w:rPr>
      </w:pPr>
      <w:r w:rsidRPr="00905B20">
        <w:rPr>
          <w:rFonts w:ascii="Calibri" w:hAnsi="Calibri"/>
          <w:b/>
          <w:color w:val="1F497D" w:themeColor="text2"/>
          <w:u w:val="single"/>
        </w:rPr>
        <w:lastRenderedPageBreak/>
        <w:t>Sierra Leone’s Truth and Reconciliation Commission</w:t>
      </w:r>
    </w:p>
    <w:p w14:paraId="6AEE7836" w14:textId="63F71760" w:rsidR="006F35AD" w:rsidRPr="003B622B" w:rsidRDefault="006F35AD" w:rsidP="00905B20">
      <w:pPr>
        <w:spacing w:before="100" w:beforeAutospacing="1" w:after="100" w:afterAutospacing="1" w:line="360" w:lineRule="auto"/>
        <w:jc w:val="both"/>
        <w:rPr>
          <w:rFonts w:ascii="Calibri" w:hAnsi="Calibri"/>
        </w:rPr>
      </w:pPr>
      <w:r w:rsidRPr="003B622B">
        <w:rPr>
          <w:rFonts w:ascii="Calibri" w:hAnsi="Calibri"/>
        </w:rPr>
        <w:t>Following the conflict in Sierra Leone, the Truth and Reconciliation Commission has recommended a number of measures for the purposes of transforming the place of women and girls in the cultural life of the country. The measures have included the provision of free healthcare, educational support, provision of skills and training, provision of housing, symbolic reparations and urgent reparations for those in greatest need of an effective outcome (for example, victims of sexual violence or widows). Further, more progressive legislation on issues relating to women was recommended. The report resulted in three bills being passed in Sierra Leone on gender inequality issues, as well as a public apology for a failure to protect women during the armed conflict and promises to prevent the recurrence of such wrongs.</w:t>
      </w:r>
      <w:r w:rsidRPr="003B622B">
        <w:rPr>
          <w:rStyle w:val="FootnoteReference"/>
          <w:rFonts w:ascii="Calibri" w:hAnsi="Calibri"/>
        </w:rPr>
        <w:footnoteReference w:id="301"/>
      </w:r>
    </w:p>
    <w:p w14:paraId="363B6E7C" w14:textId="15C52D8E" w:rsidR="00464F1A" w:rsidRDefault="007F364C" w:rsidP="00905B20">
      <w:pPr>
        <w:spacing w:line="360" w:lineRule="auto"/>
        <w:jc w:val="both"/>
        <w:rPr>
          <w:rFonts w:ascii="Calibri" w:hAnsi="Calibri"/>
        </w:rPr>
      </w:pPr>
      <w:r>
        <w:rPr>
          <w:rFonts w:ascii="Calibri" w:hAnsi="Calibri"/>
        </w:rPr>
        <w:t xml:space="preserve">The examples above indicate the crucial role played by transformative remedies in </w:t>
      </w:r>
      <w:r w:rsidR="003B2F09">
        <w:rPr>
          <w:rFonts w:ascii="Calibri" w:hAnsi="Calibri"/>
        </w:rPr>
        <w:t>guaranteeing</w:t>
      </w:r>
      <w:r>
        <w:rPr>
          <w:rFonts w:ascii="Calibri" w:hAnsi="Calibri"/>
        </w:rPr>
        <w:t xml:space="preserve"> that women and girls actually achieve access to justice and meaningful redress for rights violations. It is essential that transformative remedies are available under SCR 1325 and the legal framework, to guarantee the transformative equality that the framework provides. </w:t>
      </w:r>
      <w:r w:rsidR="00AE57C8">
        <w:rPr>
          <w:rFonts w:ascii="Calibri" w:hAnsi="Calibri"/>
        </w:rPr>
        <w:t xml:space="preserve">The </w:t>
      </w:r>
      <w:r w:rsidR="00AE57C8" w:rsidRPr="00905B20">
        <w:rPr>
          <w:rFonts w:ascii="Calibri" w:hAnsi="Calibri"/>
          <w:b/>
          <w:color w:val="4F81BD" w:themeColor="accent1"/>
        </w:rPr>
        <w:t>existing UN monitoring and accountability processes, even if improved, do not provide transformative equality</w:t>
      </w:r>
      <w:r w:rsidR="00AE57C8">
        <w:rPr>
          <w:rFonts w:ascii="Calibri" w:hAnsi="Calibri"/>
        </w:rPr>
        <w:t>.</w:t>
      </w:r>
      <w:r>
        <w:rPr>
          <w:rFonts w:ascii="Calibri" w:hAnsi="Calibri"/>
        </w:rPr>
        <w:t xml:space="preserve"> </w:t>
      </w:r>
      <w:r w:rsidR="00464F1A">
        <w:rPr>
          <w:rFonts w:ascii="Calibri" w:hAnsi="Calibri"/>
        </w:rPr>
        <w:br w:type="page"/>
      </w:r>
    </w:p>
    <w:p w14:paraId="66ADED95" w14:textId="1807AD87" w:rsidR="00E50113" w:rsidRPr="00471761" w:rsidRDefault="00E50113" w:rsidP="00471761">
      <w:pPr>
        <w:pStyle w:val="Heading3"/>
        <w:keepLines/>
        <w:spacing w:before="20" w:after="0"/>
        <w:jc w:val="center"/>
        <w:rPr>
          <w:b w:val="0"/>
          <w:color w:val="1F497D" w:themeColor="text2"/>
          <w:spacing w:val="14"/>
          <w:sz w:val="32"/>
          <w:szCs w:val="32"/>
          <w:lang w:val="en-GB"/>
        </w:rPr>
      </w:pPr>
      <w:bookmarkStart w:id="25" w:name="_Toc416867103"/>
      <w:r w:rsidRPr="00471761">
        <w:rPr>
          <w:b w:val="0"/>
          <w:color w:val="1F497D" w:themeColor="text2"/>
          <w:spacing w:val="14"/>
          <w:sz w:val="32"/>
          <w:szCs w:val="32"/>
          <w:lang w:val="en-GB"/>
        </w:rPr>
        <w:lastRenderedPageBreak/>
        <w:t>SECTION 3 CONCLUSIONS AND RECOMMENDATIONS</w:t>
      </w:r>
      <w:bookmarkEnd w:id="25"/>
    </w:p>
    <w:p w14:paraId="39804C10" w14:textId="77777777" w:rsidR="00E50113" w:rsidRDefault="00E50113" w:rsidP="00E50113"/>
    <w:p w14:paraId="4A620E32" w14:textId="5AAED890" w:rsidR="005E0CA5" w:rsidRPr="00471761" w:rsidRDefault="00E50113" w:rsidP="00905B20">
      <w:pPr>
        <w:spacing w:line="360" w:lineRule="auto"/>
        <w:rPr>
          <w:rFonts w:ascii="Calibri" w:hAnsi="Calibri"/>
        </w:rPr>
      </w:pPr>
      <w:r w:rsidRPr="00471761">
        <w:rPr>
          <w:rFonts w:ascii="Calibri" w:hAnsi="Calibri"/>
        </w:rPr>
        <w:t xml:space="preserve">Section 3 of this submission </w:t>
      </w:r>
      <w:r w:rsidR="003742A9">
        <w:rPr>
          <w:rFonts w:ascii="Calibri" w:hAnsi="Calibri"/>
        </w:rPr>
        <w:t xml:space="preserve">makes the following conclusions and recommendations. </w:t>
      </w:r>
    </w:p>
    <w:p w14:paraId="35BEEEA2" w14:textId="7998D1C8" w:rsidR="00CA5BBE" w:rsidRPr="00471761" w:rsidRDefault="00772635" w:rsidP="00905B20">
      <w:pPr>
        <w:spacing w:before="100" w:beforeAutospacing="1" w:after="100" w:afterAutospacing="1" w:line="360" w:lineRule="auto"/>
        <w:jc w:val="both"/>
        <w:rPr>
          <w:rFonts w:ascii="Calibri" w:hAnsi="Calibri"/>
        </w:rPr>
      </w:pPr>
      <w:r w:rsidRPr="00471761">
        <w:rPr>
          <w:rFonts w:ascii="Calibri" w:hAnsi="Calibri"/>
        </w:rPr>
        <w:t xml:space="preserve">The reporting on states’ implementation of SCR 1325 is </w:t>
      </w:r>
      <w:r w:rsidRPr="00471761">
        <w:rPr>
          <w:rFonts w:ascii="Calibri" w:hAnsi="Calibri"/>
          <w:b/>
          <w:color w:val="4F81BD" w:themeColor="accent1"/>
        </w:rPr>
        <w:t>fragmented</w:t>
      </w:r>
      <w:r w:rsidRPr="00471761">
        <w:rPr>
          <w:rFonts w:ascii="Calibri" w:hAnsi="Calibri"/>
        </w:rPr>
        <w:t>, given that SCR 1325 lacks a mandatory</w:t>
      </w:r>
      <w:r w:rsidR="003B2F09" w:rsidRPr="00471761">
        <w:rPr>
          <w:rFonts w:ascii="Calibri" w:hAnsi="Calibri"/>
        </w:rPr>
        <w:t xml:space="preserve"> </w:t>
      </w:r>
      <w:r w:rsidRPr="00471761">
        <w:rPr>
          <w:rFonts w:ascii="Calibri" w:hAnsi="Calibri"/>
        </w:rPr>
        <w:t>monitoring or accountability mechanism.  The UPR and CSW processes provide</w:t>
      </w:r>
      <w:r w:rsidR="003B2F09" w:rsidRPr="00471761">
        <w:rPr>
          <w:rFonts w:ascii="Calibri" w:hAnsi="Calibri"/>
        </w:rPr>
        <w:t xml:space="preserve"> opportunities to address this fragmentation,</w:t>
      </w:r>
      <w:r w:rsidRPr="00471761">
        <w:rPr>
          <w:rFonts w:ascii="Calibri" w:hAnsi="Calibri"/>
        </w:rPr>
        <w:t xml:space="preserve"> </w:t>
      </w:r>
      <w:r w:rsidR="003B2F09" w:rsidRPr="00471761">
        <w:rPr>
          <w:rFonts w:ascii="Calibri" w:hAnsi="Calibri"/>
        </w:rPr>
        <w:t>and better</w:t>
      </w:r>
      <w:r w:rsidRPr="00471761">
        <w:rPr>
          <w:rFonts w:ascii="Calibri" w:hAnsi="Calibri"/>
        </w:rPr>
        <w:t xml:space="preserve"> track states’ progress on fulfilling their obliga</w:t>
      </w:r>
      <w:r w:rsidR="003B2F09" w:rsidRPr="00471761">
        <w:rPr>
          <w:rFonts w:ascii="Calibri" w:hAnsi="Calibri"/>
        </w:rPr>
        <w:t>tions under the legal framework</w:t>
      </w:r>
      <w:r w:rsidRPr="00471761">
        <w:rPr>
          <w:rFonts w:ascii="Calibri" w:hAnsi="Calibri"/>
        </w:rPr>
        <w:t xml:space="preserve">. Having a </w:t>
      </w:r>
      <w:r w:rsidRPr="00471761">
        <w:rPr>
          <w:rFonts w:ascii="Calibri" w:hAnsi="Calibri"/>
          <w:b/>
          <w:color w:val="4F81BD" w:themeColor="accent1"/>
        </w:rPr>
        <w:t xml:space="preserve">dedicated “Women, Peace and Security Section” in key </w:t>
      </w:r>
      <w:r w:rsidR="00471761">
        <w:rPr>
          <w:rFonts w:ascii="Calibri" w:hAnsi="Calibri"/>
          <w:b/>
          <w:color w:val="4F81BD" w:themeColor="accent1"/>
        </w:rPr>
        <w:t xml:space="preserve">outcome </w:t>
      </w:r>
      <w:r w:rsidRPr="00471761">
        <w:rPr>
          <w:rFonts w:ascii="Calibri" w:hAnsi="Calibri"/>
          <w:b/>
          <w:color w:val="4F81BD" w:themeColor="accent1"/>
        </w:rPr>
        <w:t>documents of the UPR and CSW processes</w:t>
      </w:r>
      <w:r w:rsidRPr="00471761">
        <w:rPr>
          <w:rFonts w:ascii="Calibri" w:hAnsi="Calibri"/>
        </w:rPr>
        <w:t xml:space="preserve"> </w:t>
      </w:r>
      <w:r w:rsidR="003B2F09" w:rsidRPr="00471761">
        <w:rPr>
          <w:rFonts w:ascii="Calibri" w:hAnsi="Calibri"/>
        </w:rPr>
        <w:t>would ensure</w:t>
      </w:r>
      <w:r w:rsidRPr="00471761">
        <w:rPr>
          <w:rFonts w:ascii="Calibri" w:hAnsi="Calibri"/>
        </w:rPr>
        <w:t xml:space="preserve"> that conflict-affected women’s and girls’ voices and experiences are meaningfully incorporated into state and NGO reporting. Focusing attention on WPS in these processes </w:t>
      </w:r>
      <w:r w:rsidR="003B2F09" w:rsidRPr="00471761">
        <w:rPr>
          <w:rFonts w:ascii="Calibri" w:hAnsi="Calibri"/>
        </w:rPr>
        <w:t>would also sustain</w:t>
      </w:r>
      <w:r w:rsidRPr="00471761">
        <w:rPr>
          <w:rFonts w:ascii="Calibri" w:hAnsi="Calibri"/>
        </w:rPr>
        <w:t xml:space="preserve"> a spotlight on the legal framework, sustaining the political will that is necessary to compel g</w:t>
      </w:r>
      <w:r w:rsidR="003B2F09" w:rsidRPr="00471761">
        <w:rPr>
          <w:rFonts w:ascii="Calibri" w:hAnsi="Calibri"/>
        </w:rPr>
        <w:t>overnments, development agencies, civil society</w:t>
      </w:r>
      <w:r w:rsidRPr="00471761">
        <w:rPr>
          <w:rFonts w:ascii="Calibri" w:hAnsi="Calibri"/>
        </w:rPr>
        <w:t xml:space="preserve"> and other decision-makers to act to protect the human rights of women and girls. </w:t>
      </w:r>
    </w:p>
    <w:p w14:paraId="5E8562D8" w14:textId="3B241CE4" w:rsidR="00772635" w:rsidRPr="00471761" w:rsidRDefault="00772635" w:rsidP="00905B20">
      <w:pPr>
        <w:spacing w:before="100" w:beforeAutospacing="1" w:after="100" w:afterAutospacing="1" w:line="360" w:lineRule="auto"/>
        <w:jc w:val="both"/>
        <w:rPr>
          <w:rFonts w:ascii="Calibri" w:hAnsi="Calibri"/>
        </w:rPr>
      </w:pPr>
      <w:r w:rsidRPr="00471761">
        <w:rPr>
          <w:rFonts w:ascii="Calibri" w:hAnsi="Calibri"/>
        </w:rPr>
        <w:t xml:space="preserve">Improving </w:t>
      </w:r>
      <w:r w:rsidR="00004951" w:rsidRPr="00471761">
        <w:rPr>
          <w:rFonts w:ascii="Calibri" w:hAnsi="Calibri"/>
        </w:rPr>
        <w:t xml:space="preserve">CEDAW’s monitoring and reporting </w:t>
      </w:r>
      <w:r w:rsidRPr="00471761">
        <w:rPr>
          <w:rFonts w:ascii="Calibri" w:hAnsi="Calibri"/>
        </w:rPr>
        <w:t xml:space="preserve">processes would </w:t>
      </w:r>
      <w:r w:rsidR="003B2F09" w:rsidRPr="00471761">
        <w:rPr>
          <w:rFonts w:ascii="Calibri" w:hAnsi="Calibri"/>
        </w:rPr>
        <w:t xml:space="preserve">also </w:t>
      </w:r>
      <w:r w:rsidRPr="00471761">
        <w:rPr>
          <w:rFonts w:ascii="Calibri" w:hAnsi="Calibri"/>
        </w:rPr>
        <w:t xml:space="preserve">prevent fragmented </w:t>
      </w:r>
      <w:r w:rsidR="0096133E">
        <w:rPr>
          <w:rFonts w:ascii="Calibri" w:hAnsi="Calibri"/>
        </w:rPr>
        <w:t>tracking</w:t>
      </w:r>
      <w:r w:rsidRPr="00471761">
        <w:rPr>
          <w:rFonts w:ascii="Calibri" w:hAnsi="Calibri"/>
        </w:rPr>
        <w:t xml:space="preserve"> of </w:t>
      </w:r>
      <w:r w:rsidR="0096133E">
        <w:rPr>
          <w:rFonts w:ascii="Calibri" w:hAnsi="Calibri"/>
        </w:rPr>
        <w:t>progress on the enforcement of</w:t>
      </w:r>
      <w:r w:rsidRPr="00471761">
        <w:rPr>
          <w:rFonts w:ascii="Calibri" w:hAnsi="Calibri"/>
        </w:rPr>
        <w:t xml:space="preserve"> SCR 1325</w:t>
      </w:r>
      <w:r w:rsidR="0096133E">
        <w:rPr>
          <w:rFonts w:ascii="Calibri" w:hAnsi="Calibri"/>
        </w:rPr>
        <w:t xml:space="preserve"> obligations</w:t>
      </w:r>
      <w:r w:rsidRPr="00471761">
        <w:rPr>
          <w:rFonts w:ascii="Calibri" w:hAnsi="Calibri"/>
        </w:rPr>
        <w:t xml:space="preserve">.  </w:t>
      </w:r>
      <w:r w:rsidR="0096133E">
        <w:rPr>
          <w:rFonts w:ascii="Calibri" w:hAnsi="Calibri"/>
        </w:rPr>
        <w:t>These</w:t>
      </w:r>
      <w:r w:rsidR="00004951" w:rsidRPr="00471761">
        <w:rPr>
          <w:rFonts w:ascii="Calibri" w:hAnsi="Calibri"/>
        </w:rPr>
        <w:t xml:space="preserve"> processes face </w:t>
      </w:r>
      <w:r w:rsidRPr="00471761">
        <w:rPr>
          <w:rFonts w:ascii="Calibri" w:hAnsi="Calibri"/>
        </w:rPr>
        <w:t xml:space="preserve">problems of </w:t>
      </w:r>
      <w:r w:rsidRPr="00471761">
        <w:rPr>
          <w:rFonts w:ascii="Calibri" w:hAnsi="Calibri"/>
          <w:b/>
          <w:color w:val="4F81BD" w:themeColor="accent1"/>
        </w:rPr>
        <w:t>inadequate state compliance</w:t>
      </w:r>
      <w:r w:rsidRPr="00471761">
        <w:rPr>
          <w:rFonts w:ascii="Calibri" w:hAnsi="Calibri"/>
          <w:color w:val="4F81BD" w:themeColor="accent1"/>
        </w:rPr>
        <w:t xml:space="preserve">, </w:t>
      </w:r>
      <w:r w:rsidRPr="00471761">
        <w:rPr>
          <w:rFonts w:ascii="Calibri" w:hAnsi="Calibri"/>
          <w:b/>
          <w:color w:val="4F81BD" w:themeColor="accent1"/>
        </w:rPr>
        <w:t>information-related and procedural barriers</w:t>
      </w:r>
      <w:r w:rsidRPr="00471761">
        <w:rPr>
          <w:rFonts w:ascii="Calibri" w:hAnsi="Calibri"/>
          <w:color w:val="4F81BD" w:themeColor="accent1"/>
        </w:rPr>
        <w:t xml:space="preserve"> </w:t>
      </w:r>
      <w:r w:rsidRPr="00471761">
        <w:rPr>
          <w:rFonts w:ascii="Calibri" w:hAnsi="Calibri"/>
          <w:b/>
          <w:color w:val="4F81BD" w:themeColor="accent1"/>
        </w:rPr>
        <w:t>preventing access to justice</w:t>
      </w:r>
      <w:r w:rsidR="0096133E">
        <w:rPr>
          <w:rFonts w:ascii="Calibri" w:hAnsi="Calibri"/>
          <w:b/>
          <w:color w:val="4F81BD" w:themeColor="accent1"/>
        </w:rPr>
        <w:t xml:space="preserve"> for victims of rights violations</w:t>
      </w:r>
      <w:r w:rsidRPr="00471761">
        <w:rPr>
          <w:rFonts w:ascii="Calibri" w:hAnsi="Calibri"/>
        </w:rPr>
        <w:t xml:space="preserve">, and </w:t>
      </w:r>
      <w:r w:rsidRPr="00471761">
        <w:rPr>
          <w:rFonts w:ascii="Calibri" w:hAnsi="Calibri"/>
          <w:b/>
          <w:color w:val="4F81BD" w:themeColor="accent1"/>
        </w:rPr>
        <w:t>inadequate resources</w:t>
      </w:r>
      <w:r w:rsidRPr="00471761">
        <w:rPr>
          <w:rFonts w:ascii="Calibri" w:hAnsi="Calibri"/>
        </w:rPr>
        <w:t xml:space="preserve"> to support </w:t>
      </w:r>
      <w:r w:rsidR="00004951" w:rsidRPr="00471761">
        <w:rPr>
          <w:rFonts w:ascii="Calibri" w:hAnsi="Calibri"/>
        </w:rPr>
        <w:t>the Committee’s work</w:t>
      </w:r>
      <w:r w:rsidRPr="00471761">
        <w:rPr>
          <w:rFonts w:ascii="Calibri" w:hAnsi="Calibri"/>
        </w:rPr>
        <w:t xml:space="preserve">, especially capacity-building for conflict-affected states and civil society. </w:t>
      </w:r>
      <w:r w:rsidR="00004951" w:rsidRPr="00471761">
        <w:rPr>
          <w:rFonts w:ascii="Calibri" w:hAnsi="Calibri"/>
        </w:rPr>
        <w:t>It is clear that</w:t>
      </w:r>
      <w:r w:rsidRPr="00471761">
        <w:rPr>
          <w:rFonts w:ascii="Calibri" w:hAnsi="Calibri"/>
        </w:rPr>
        <w:t xml:space="preserve"> </w:t>
      </w:r>
      <w:r w:rsidRPr="00471761">
        <w:rPr>
          <w:rFonts w:ascii="Calibri" w:hAnsi="Calibri"/>
          <w:b/>
          <w:color w:val="4F81BD" w:themeColor="accent1"/>
        </w:rPr>
        <w:t>capacity-building</w:t>
      </w:r>
      <w:r w:rsidR="00004951" w:rsidRPr="00471761">
        <w:rPr>
          <w:rFonts w:ascii="Calibri" w:hAnsi="Calibri"/>
          <w:b/>
          <w:color w:val="4F81BD" w:themeColor="accent1"/>
        </w:rPr>
        <w:t xml:space="preserve"> is needed</w:t>
      </w:r>
      <w:r w:rsidRPr="00471761">
        <w:rPr>
          <w:rFonts w:ascii="Calibri" w:hAnsi="Calibri"/>
          <w:b/>
          <w:color w:val="4F81BD" w:themeColor="accent1"/>
        </w:rPr>
        <w:t xml:space="preserve"> for governments’ compliance with state reports and</w:t>
      </w:r>
      <w:r w:rsidRPr="00471761">
        <w:rPr>
          <w:rFonts w:ascii="Calibri" w:hAnsi="Calibri"/>
          <w:color w:val="4F81BD" w:themeColor="accent1"/>
        </w:rPr>
        <w:t xml:space="preserve"> </w:t>
      </w:r>
      <w:r w:rsidRPr="00471761">
        <w:rPr>
          <w:rFonts w:ascii="Calibri" w:hAnsi="Calibri"/>
          <w:b/>
          <w:color w:val="4F81BD" w:themeColor="accent1"/>
        </w:rPr>
        <w:t>civil society contributions via shadow reports</w:t>
      </w:r>
      <w:r w:rsidRPr="00471761">
        <w:rPr>
          <w:rFonts w:ascii="Calibri" w:hAnsi="Calibri"/>
        </w:rPr>
        <w:t xml:space="preserve">. Access to justice to </w:t>
      </w:r>
      <w:r w:rsidR="007114F0">
        <w:rPr>
          <w:rFonts w:ascii="Calibri" w:hAnsi="Calibri"/>
        </w:rPr>
        <w:t>the communication procedure</w:t>
      </w:r>
      <w:r w:rsidRPr="00471761">
        <w:rPr>
          <w:rFonts w:ascii="Calibri" w:hAnsi="Calibri"/>
        </w:rPr>
        <w:t xml:space="preserve"> could also be improved via </w:t>
      </w:r>
      <w:r w:rsidR="005B3F8A">
        <w:rPr>
          <w:rFonts w:ascii="Calibri" w:hAnsi="Calibri"/>
        </w:rPr>
        <w:t xml:space="preserve">providing </w:t>
      </w:r>
      <w:r w:rsidRPr="00471761">
        <w:rPr>
          <w:rFonts w:ascii="Calibri" w:hAnsi="Calibri"/>
        </w:rPr>
        <w:t xml:space="preserve">public information services, </w:t>
      </w:r>
      <w:r w:rsidR="005B3F8A">
        <w:rPr>
          <w:rFonts w:ascii="Calibri" w:hAnsi="Calibri"/>
        </w:rPr>
        <w:t xml:space="preserve">removing procedural barriers to the procedure, </w:t>
      </w:r>
      <w:r w:rsidR="003F0DFF">
        <w:rPr>
          <w:rFonts w:ascii="Calibri" w:hAnsi="Calibri"/>
        </w:rPr>
        <w:t xml:space="preserve">providing </w:t>
      </w:r>
      <w:r w:rsidR="005B3F8A">
        <w:rPr>
          <w:rFonts w:ascii="Calibri" w:hAnsi="Calibri"/>
        </w:rPr>
        <w:t xml:space="preserve">legal aid </w:t>
      </w:r>
      <w:r w:rsidRPr="00471761">
        <w:rPr>
          <w:rFonts w:ascii="Calibri" w:hAnsi="Calibri"/>
        </w:rPr>
        <w:t>and publicising outcomes in cases.</w:t>
      </w:r>
    </w:p>
    <w:p w14:paraId="38AB9938" w14:textId="1A5BAEB6" w:rsidR="007F364C" w:rsidRPr="00471761" w:rsidRDefault="007F364C" w:rsidP="00905B20">
      <w:pPr>
        <w:spacing w:before="100" w:beforeAutospacing="1" w:after="100" w:afterAutospacing="1" w:line="360" w:lineRule="auto"/>
        <w:jc w:val="both"/>
        <w:rPr>
          <w:rFonts w:ascii="Calibri" w:hAnsi="Calibri"/>
        </w:rPr>
      </w:pPr>
      <w:r w:rsidRPr="00471761">
        <w:rPr>
          <w:rFonts w:ascii="Calibri" w:hAnsi="Calibri"/>
        </w:rPr>
        <w:t>Gender-re</w:t>
      </w:r>
      <w:r w:rsidR="00AE57C8" w:rsidRPr="00471761">
        <w:rPr>
          <w:rFonts w:ascii="Calibri" w:hAnsi="Calibri"/>
        </w:rPr>
        <w:t>s</w:t>
      </w:r>
      <w:r w:rsidRPr="00471761">
        <w:rPr>
          <w:rFonts w:ascii="Calibri" w:hAnsi="Calibri"/>
        </w:rPr>
        <w:t>ponsive, victim-oriented reparations</w:t>
      </w:r>
      <w:r w:rsidR="00AE57C8" w:rsidRPr="00471761">
        <w:rPr>
          <w:rFonts w:ascii="Calibri" w:hAnsi="Calibri"/>
        </w:rPr>
        <w:t xml:space="preserve"> for rights violations</w:t>
      </w:r>
      <w:r w:rsidRPr="00471761">
        <w:rPr>
          <w:rFonts w:ascii="Calibri" w:hAnsi="Calibri"/>
        </w:rPr>
        <w:t xml:space="preserve"> are an essential complement to the UN’s existing monitoring and accountability mechanisms. The ability of transformative reparations to challenge structural discrimination </w:t>
      </w:r>
      <w:r w:rsidR="00AE57C8" w:rsidRPr="00471761">
        <w:rPr>
          <w:rFonts w:ascii="Calibri" w:hAnsi="Calibri"/>
        </w:rPr>
        <w:t>helps achieve</w:t>
      </w:r>
      <w:r w:rsidRPr="00471761">
        <w:rPr>
          <w:rFonts w:ascii="Calibri" w:hAnsi="Calibri"/>
        </w:rPr>
        <w:t xml:space="preserve"> </w:t>
      </w:r>
      <w:r w:rsidR="00AE57C8" w:rsidRPr="00471761">
        <w:rPr>
          <w:rFonts w:ascii="Calibri" w:hAnsi="Calibri"/>
        </w:rPr>
        <w:t>the overarching aims</w:t>
      </w:r>
      <w:r w:rsidRPr="00471761">
        <w:rPr>
          <w:rFonts w:ascii="Calibri" w:hAnsi="Calibri"/>
        </w:rPr>
        <w:t xml:space="preserve"> of SCR 1325 and the legal framework. As Rashida Manjoo notes in her Report as Special Rapporteur on violence against women, “violence against individual women generally feeds into patterns of pre-existing and often cross-cutting structural subordination and systemic marginalisation”.</w:t>
      </w:r>
      <w:r w:rsidRPr="00471761">
        <w:rPr>
          <w:rStyle w:val="FootnoteReference"/>
          <w:rFonts w:ascii="Calibri" w:hAnsi="Calibri"/>
        </w:rPr>
        <w:footnoteReference w:id="302"/>
      </w:r>
      <w:r w:rsidRPr="00471761">
        <w:rPr>
          <w:rFonts w:ascii="Calibri" w:hAnsi="Calibri"/>
        </w:rPr>
        <w:t xml:space="preserve"> To achieve </w:t>
      </w:r>
      <w:r w:rsidRPr="00471761">
        <w:rPr>
          <w:rFonts w:ascii="Calibri" w:hAnsi="Calibri"/>
          <w:b/>
          <w:color w:val="4F81BD" w:themeColor="accent1"/>
        </w:rPr>
        <w:t xml:space="preserve">transformative equality in a meaningful way </w:t>
      </w:r>
      <w:r w:rsidR="00AE57C8" w:rsidRPr="00471761">
        <w:rPr>
          <w:rFonts w:ascii="Calibri" w:hAnsi="Calibri"/>
          <w:b/>
          <w:color w:val="4F81BD" w:themeColor="accent1"/>
        </w:rPr>
        <w:t>requires</w:t>
      </w:r>
      <w:r w:rsidRPr="00471761">
        <w:rPr>
          <w:rFonts w:ascii="Calibri" w:hAnsi="Calibri"/>
          <w:b/>
          <w:color w:val="4F81BD" w:themeColor="accent1"/>
        </w:rPr>
        <w:t xml:space="preserve"> the long lasting effect of preventing future rights violations</w:t>
      </w:r>
      <w:r w:rsidRPr="00471761">
        <w:rPr>
          <w:rFonts w:ascii="Calibri" w:hAnsi="Calibri"/>
        </w:rPr>
        <w:t>, including acts of sexual violence in conflict</w:t>
      </w:r>
      <w:r w:rsidR="00AE57C8" w:rsidRPr="00471761">
        <w:rPr>
          <w:rFonts w:ascii="Calibri" w:hAnsi="Calibri"/>
        </w:rPr>
        <w:t xml:space="preserve"> and other grave human rights abuses against women and girls</w:t>
      </w:r>
      <w:r w:rsidRPr="00471761">
        <w:rPr>
          <w:rFonts w:ascii="Calibri" w:hAnsi="Calibri"/>
        </w:rPr>
        <w:t xml:space="preserve">. </w:t>
      </w:r>
      <w:r w:rsidR="00AE57C8" w:rsidRPr="00471761">
        <w:rPr>
          <w:rFonts w:ascii="Calibri" w:hAnsi="Calibri"/>
        </w:rPr>
        <w:t>Existing UN processes must</w:t>
      </w:r>
      <w:r w:rsidRPr="00471761">
        <w:rPr>
          <w:rFonts w:ascii="Calibri" w:hAnsi="Calibri"/>
        </w:rPr>
        <w:t xml:space="preserve"> be combined with transformative remedies to produce transformative gender equality in situations of conflict. </w:t>
      </w:r>
    </w:p>
    <w:p w14:paraId="30C81AFE" w14:textId="2E3140ED" w:rsidR="00736345" w:rsidRPr="00CF4DA2" w:rsidRDefault="008932CA" w:rsidP="00736345">
      <w:pPr>
        <w:pStyle w:val="ListParagraph"/>
        <w:spacing w:after="180"/>
        <w:ind w:left="0"/>
        <w:jc w:val="both"/>
        <w:rPr>
          <w:rFonts w:ascii="Calibri" w:eastAsiaTheme="minorHAnsi" w:hAnsi="Calibri" w:cs="Times New Roman"/>
          <w:b/>
          <w:color w:val="1F497D" w:themeColor="text2"/>
          <w:u w:val="single"/>
        </w:rPr>
      </w:pPr>
      <w:r>
        <w:rPr>
          <w:rFonts w:ascii="Calibri" w:eastAsiaTheme="minorHAnsi" w:hAnsi="Calibri" w:cs="Times New Roman"/>
          <w:b/>
          <w:color w:val="1F497D" w:themeColor="text2"/>
          <w:u w:val="single"/>
        </w:rPr>
        <w:lastRenderedPageBreak/>
        <w:t>Recommendation 4: T</w:t>
      </w:r>
      <w:r w:rsidR="00736345" w:rsidRPr="00CF4DA2">
        <w:rPr>
          <w:rFonts w:ascii="Calibri" w:eastAsiaTheme="minorHAnsi" w:hAnsi="Calibri" w:cs="Times New Roman"/>
          <w:b/>
          <w:color w:val="1F497D" w:themeColor="text2"/>
          <w:u w:val="single"/>
        </w:rPr>
        <w:t xml:space="preserve">o guarantee substantive equality, </w:t>
      </w:r>
      <w:proofErr w:type="gramStart"/>
      <w:r w:rsidR="00736345" w:rsidRPr="00CF4DA2">
        <w:rPr>
          <w:rFonts w:ascii="Calibri" w:eastAsiaTheme="minorHAnsi" w:hAnsi="Calibri" w:cs="Times New Roman"/>
          <w:b/>
          <w:color w:val="1F497D" w:themeColor="text2"/>
          <w:u w:val="single"/>
        </w:rPr>
        <w:t>which is a minimum protection under the legal framework on women, peace and security</w:t>
      </w:r>
      <w:proofErr w:type="gramEnd"/>
      <w:r w:rsidR="00736345" w:rsidRPr="00CF4DA2">
        <w:rPr>
          <w:rFonts w:ascii="Calibri" w:eastAsiaTheme="minorHAnsi" w:hAnsi="Calibri" w:cs="Times New Roman"/>
          <w:b/>
          <w:color w:val="1F497D" w:themeColor="text2"/>
          <w:u w:val="single"/>
        </w:rPr>
        <w:t xml:space="preserve"> </w:t>
      </w:r>
    </w:p>
    <w:p w14:paraId="07C052C0" w14:textId="77777777" w:rsidR="00736345" w:rsidRPr="00C268C1" w:rsidRDefault="00736345" w:rsidP="00736345">
      <w:pPr>
        <w:pStyle w:val="ListParagraph"/>
        <w:ind w:left="0"/>
        <w:jc w:val="both"/>
        <w:rPr>
          <w:rFonts w:ascii="Calibri" w:hAnsi="Calibri" w:cs="Times New Roman"/>
          <w:b/>
          <w:i/>
        </w:rPr>
      </w:pPr>
    </w:p>
    <w:p w14:paraId="7833465F" w14:textId="77777777" w:rsidR="00736345" w:rsidRDefault="00736345" w:rsidP="00736345">
      <w:pPr>
        <w:pStyle w:val="ListParagraph"/>
        <w:numPr>
          <w:ilvl w:val="0"/>
          <w:numId w:val="9"/>
        </w:numPr>
        <w:spacing w:line="360" w:lineRule="auto"/>
        <w:jc w:val="both"/>
        <w:rPr>
          <w:rFonts w:ascii="Calibri" w:hAnsi="Calibri" w:cs="Times New Roman"/>
        </w:rPr>
      </w:pPr>
      <w:r>
        <w:rPr>
          <w:rFonts w:ascii="Calibri" w:hAnsi="Calibri" w:cs="Times New Roman"/>
        </w:rPr>
        <w:t xml:space="preserve">To guarantee </w:t>
      </w:r>
      <w:r w:rsidRPr="0007733F">
        <w:rPr>
          <w:rFonts w:ascii="Calibri" w:hAnsi="Calibri" w:cs="Times New Roman"/>
          <w:i/>
        </w:rPr>
        <w:t>substantive equality</w:t>
      </w:r>
      <w:r>
        <w:rPr>
          <w:rFonts w:ascii="Calibri" w:hAnsi="Calibri" w:cs="Times New Roman"/>
        </w:rPr>
        <w:t>, the UN’s existing monitoring and accountability processes must be accessible to women and girls and their organizations and advocates, to ensure access to justice, and provide effective monitoring and reporting on state compliance with the legal framework, including by:</w:t>
      </w:r>
    </w:p>
    <w:p w14:paraId="621F944F" w14:textId="77777777" w:rsidR="00736345" w:rsidRPr="00AA5083" w:rsidRDefault="00736345" w:rsidP="00736345">
      <w:pPr>
        <w:pStyle w:val="ListParagraph"/>
        <w:jc w:val="both"/>
        <w:rPr>
          <w:rFonts w:ascii="Calibri" w:hAnsi="Calibri" w:cs="Times New Roman"/>
        </w:rPr>
      </w:pPr>
    </w:p>
    <w:p w14:paraId="708986D1" w14:textId="77777777" w:rsidR="00736345" w:rsidRDefault="00736345" w:rsidP="00736345">
      <w:pPr>
        <w:pStyle w:val="ListParagraph"/>
        <w:numPr>
          <w:ilvl w:val="1"/>
          <w:numId w:val="9"/>
        </w:numPr>
        <w:spacing w:line="360" w:lineRule="auto"/>
        <w:jc w:val="both"/>
        <w:rPr>
          <w:rFonts w:ascii="Calibri" w:hAnsi="Calibri" w:cs="Times New Roman"/>
        </w:rPr>
      </w:pPr>
      <w:r>
        <w:rPr>
          <w:rFonts w:ascii="Calibri" w:hAnsi="Calibri" w:cs="Times New Roman"/>
        </w:rPr>
        <w:t>Creating a dedicated “Women, Peace and Security” section in key Universal Periodic Review (UPR) and CSW reports and outcome documents,</w:t>
      </w:r>
      <w:r w:rsidRPr="00F62D05">
        <w:rPr>
          <w:rFonts w:ascii="Calibri" w:hAnsi="Calibri" w:cs="Times New Roman"/>
        </w:rPr>
        <w:t xml:space="preserve"> and </w:t>
      </w:r>
      <w:r>
        <w:rPr>
          <w:rFonts w:ascii="Calibri" w:hAnsi="Calibri" w:cs="Times New Roman"/>
        </w:rPr>
        <w:t>building the capacity of government officials and civil society, especially women’s and girls’ organizations, for gender-responsive reporting on conflict;</w:t>
      </w:r>
      <w:r w:rsidRPr="00F62D05">
        <w:rPr>
          <w:rFonts w:ascii="Calibri" w:hAnsi="Calibri" w:cs="Times New Roman"/>
        </w:rPr>
        <w:t xml:space="preserve"> </w:t>
      </w:r>
    </w:p>
    <w:p w14:paraId="6706043F" w14:textId="77777777" w:rsidR="00736345" w:rsidRDefault="00736345" w:rsidP="00736345">
      <w:pPr>
        <w:pStyle w:val="ListParagraph"/>
        <w:ind w:left="1440"/>
        <w:jc w:val="both"/>
        <w:rPr>
          <w:rFonts w:ascii="Calibri" w:hAnsi="Calibri" w:cs="Times New Roman"/>
        </w:rPr>
      </w:pPr>
    </w:p>
    <w:p w14:paraId="6CDDDC8B" w14:textId="77777777" w:rsidR="00736345" w:rsidRDefault="00736345" w:rsidP="00736345">
      <w:pPr>
        <w:pStyle w:val="ListParagraph"/>
        <w:numPr>
          <w:ilvl w:val="1"/>
          <w:numId w:val="9"/>
        </w:numPr>
        <w:spacing w:line="360" w:lineRule="auto"/>
        <w:jc w:val="both"/>
        <w:rPr>
          <w:rFonts w:ascii="Calibri" w:hAnsi="Calibri" w:cs="Times New Roman"/>
        </w:rPr>
      </w:pPr>
      <w:r>
        <w:rPr>
          <w:rFonts w:ascii="Calibri" w:hAnsi="Calibri" w:cs="Times New Roman"/>
        </w:rPr>
        <w:t>Mainstreaming the CEDAW GR No. 30 into CEDAW country and shadow reporting, and budgeting for adequate financial and human resources to the CEDAW Committee, governments, women’s and girls’ organizations and others to provide capacity-building training on implementing the SCR 1325 and the CEDAW GR. No 30 in the context of the overarching legal framework on women, peace and security.</w:t>
      </w:r>
    </w:p>
    <w:p w14:paraId="1662C3C6" w14:textId="77777777" w:rsidR="00736345" w:rsidRPr="00B2494C" w:rsidRDefault="00736345" w:rsidP="00736345">
      <w:pPr>
        <w:pStyle w:val="ListParagraph"/>
        <w:rPr>
          <w:rFonts w:ascii="Calibri" w:hAnsi="Calibri" w:cs="Times New Roman"/>
        </w:rPr>
      </w:pPr>
    </w:p>
    <w:p w14:paraId="65FD3F65" w14:textId="68A12063" w:rsidR="00736345" w:rsidRPr="007B54BE" w:rsidRDefault="00736345" w:rsidP="00736345">
      <w:pPr>
        <w:pStyle w:val="ListParagraph"/>
        <w:numPr>
          <w:ilvl w:val="1"/>
          <w:numId w:val="9"/>
        </w:numPr>
        <w:spacing w:line="360" w:lineRule="auto"/>
        <w:jc w:val="both"/>
        <w:rPr>
          <w:rFonts w:ascii="Calibri" w:hAnsi="Calibri" w:cs="Times New Roman"/>
        </w:rPr>
      </w:pPr>
      <w:r>
        <w:rPr>
          <w:rFonts w:ascii="Calibri" w:hAnsi="Calibri" w:cs="Times New Roman"/>
        </w:rPr>
        <w:t>Improving the CEDAW communication procedure by publicising its availability and enabling women and girls to meaningfully ac</w:t>
      </w:r>
      <w:r w:rsidR="002C5F5F">
        <w:rPr>
          <w:rFonts w:ascii="Calibri" w:hAnsi="Calibri" w:cs="Times New Roman"/>
        </w:rPr>
        <w:t xml:space="preserve">cess </w:t>
      </w:r>
      <w:r w:rsidR="008932CA">
        <w:rPr>
          <w:rFonts w:ascii="Calibri" w:hAnsi="Calibri" w:cs="Times New Roman"/>
        </w:rPr>
        <w:t>the procedure, including by</w:t>
      </w:r>
      <w:r w:rsidR="002C5F5F">
        <w:rPr>
          <w:rFonts w:ascii="Calibri" w:hAnsi="Calibri" w:cs="Times New Roman"/>
        </w:rPr>
        <w:t xml:space="preserve"> </w:t>
      </w:r>
      <w:r w:rsidR="003F0DFF" w:rsidRPr="00471761">
        <w:rPr>
          <w:rFonts w:ascii="Calibri" w:hAnsi="Calibri"/>
        </w:rPr>
        <w:t xml:space="preserve">removing the requirement to exhaust domestic remedies, providing legal aid, and publicising </w:t>
      </w:r>
      <w:r w:rsidR="008932CA">
        <w:rPr>
          <w:rFonts w:ascii="Calibri" w:hAnsi="Calibri"/>
        </w:rPr>
        <w:t>all decisions.</w:t>
      </w:r>
    </w:p>
    <w:p w14:paraId="62BAA896" w14:textId="77777777" w:rsidR="00340738" w:rsidRPr="00471761" w:rsidRDefault="00340738" w:rsidP="00340738">
      <w:pPr>
        <w:jc w:val="both"/>
        <w:rPr>
          <w:rFonts w:ascii="Calibri" w:hAnsi="Calibri" w:cs="Times New Roman"/>
        </w:rPr>
      </w:pPr>
    </w:p>
    <w:p w14:paraId="29BA8B67" w14:textId="77777777" w:rsidR="001E1E14" w:rsidRPr="00CF4DA2" w:rsidRDefault="001E1E14" w:rsidP="001E1E14">
      <w:pPr>
        <w:pStyle w:val="ListParagraph"/>
        <w:spacing w:after="180"/>
        <w:ind w:left="0"/>
        <w:jc w:val="both"/>
        <w:rPr>
          <w:rFonts w:ascii="Calibri" w:eastAsiaTheme="minorHAnsi" w:hAnsi="Calibri" w:cs="Times New Roman"/>
          <w:b/>
          <w:color w:val="1F497D" w:themeColor="text2"/>
          <w:u w:val="single"/>
        </w:rPr>
      </w:pPr>
      <w:r w:rsidRPr="00CF4DA2">
        <w:rPr>
          <w:rFonts w:ascii="Calibri" w:eastAsiaTheme="minorHAnsi" w:hAnsi="Calibri" w:cs="Times New Roman"/>
          <w:b/>
          <w:color w:val="1F497D" w:themeColor="text2"/>
          <w:u w:val="single"/>
        </w:rPr>
        <w:t xml:space="preserve">Recommendation 5: To allow for transformative equality, which is provided for in the legal framework, especially under CEDAW, including by providing transformative remedies for women and girl victims of rights violations </w:t>
      </w:r>
    </w:p>
    <w:p w14:paraId="612ACCF8" w14:textId="77777777" w:rsidR="00340738" w:rsidRPr="00471761" w:rsidRDefault="00340738" w:rsidP="00340738">
      <w:pPr>
        <w:jc w:val="both"/>
        <w:rPr>
          <w:rFonts w:ascii="Calibri" w:hAnsi="Calibri" w:cs="Times New Roman"/>
        </w:rPr>
      </w:pPr>
    </w:p>
    <w:p w14:paraId="3B228C7A" w14:textId="1966421F" w:rsidR="006F304B" w:rsidRDefault="00340738" w:rsidP="006F304B">
      <w:pPr>
        <w:pStyle w:val="ListParagraph"/>
        <w:numPr>
          <w:ilvl w:val="0"/>
          <w:numId w:val="9"/>
        </w:numPr>
        <w:spacing w:line="360" w:lineRule="auto"/>
        <w:jc w:val="both"/>
        <w:rPr>
          <w:rFonts w:ascii="Calibri" w:hAnsi="Calibri" w:cs="Times New Roman"/>
        </w:rPr>
      </w:pPr>
      <w:r w:rsidRPr="00471761">
        <w:rPr>
          <w:rFonts w:ascii="Calibri" w:hAnsi="Calibri" w:cs="Times New Roman"/>
        </w:rPr>
        <w:t xml:space="preserve">To guarantee </w:t>
      </w:r>
      <w:r w:rsidRPr="00471761">
        <w:rPr>
          <w:rFonts w:ascii="Calibri" w:hAnsi="Calibri" w:cs="Times New Roman"/>
          <w:i/>
        </w:rPr>
        <w:t>transformative equality</w:t>
      </w:r>
      <w:r w:rsidRPr="00471761">
        <w:rPr>
          <w:rFonts w:ascii="Calibri" w:hAnsi="Calibri" w:cs="Times New Roman"/>
        </w:rPr>
        <w:t>, international, regional and national courts, judicial and quasi-judicial bodies, informal justice mechanisms and all relevant bodies with the power to provide remedies to victims of rights violations, including those in transitional justice situations, should apply transformative remedies that both provide meaningful redress for victims and survivors, and hold perpetrators fully accountable for their actions.</w:t>
      </w:r>
      <w:r>
        <w:rPr>
          <w:rFonts w:ascii="Calibri" w:hAnsi="Calibri" w:cs="Times New Roman"/>
        </w:rPr>
        <w:t xml:space="preserve"> </w:t>
      </w:r>
      <w:r w:rsidR="006F304B">
        <w:rPr>
          <w:rFonts w:ascii="Calibri" w:hAnsi="Calibri" w:cs="Times New Roman"/>
        </w:rPr>
        <w:br w:type="page"/>
      </w:r>
    </w:p>
    <w:p w14:paraId="03036373" w14:textId="5BF535EA" w:rsidR="00CA3C56" w:rsidRPr="006F304B" w:rsidRDefault="006F304B" w:rsidP="006F304B">
      <w:pPr>
        <w:pStyle w:val="ListParagraph"/>
        <w:spacing w:line="360" w:lineRule="auto"/>
        <w:jc w:val="both"/>
        <w:rPr>
          <w:rFonts w:ascii="Calibri" w:hAnsi="Calibri" w:cs="Times New Roman"/>
        </w:rPr>
      </w:pPr>
      <w:r>
        <w:rPr>
          <w:noProof/>
          <w:lang w:eastAsia="en-GB"/>
        </w:rPr>
        <w:lastRenderedPageBreak/>
        <w:drawing>
          <wp:anchor distT="0" distB="0" distL="114300" distR="114300" simplePos="0" relativeHeight="251670528" behindDoc="0" locked="0" layoutInCell="1" allowOverlap="1" wp14:anchorId="692239B5" wp14:editId="61C23BF3">
            <wp:simplePos x="0" y="0"/>
            <wp:positionH relativeFrom="margin">
              <wp:align>center</wp:align>
            </wp:positionH>
            <wp:positionV relativeFrom="margin">
              <wp:align>center</wp:align>
            </wp:positionV>
            <wp:extent cx="4984750" cy="373380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750" cy="3733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A3C56" w:rsidRPr="006F304B" w:rsidSect="00F54047">
      <w:footerReference w:type="even" r:id="rId13"/>
      <w:footerReference w:type="default" r:id="rId14"/>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A2C98" w14:textId="77777777" w:rsidR="00D75A79" w:rsidRDefault="00D75A79" w:rsidP="004E5EBC">
      <w:r>
        <w:separator/>
      </w:r>
    </w:p>
  </w:endnote>
  <w:endnote w:type="continuationSeparator" w:id="0">
    <w:p w14:paraId="303EAE4C" w14:textId="77777777" w:rsidR="00D75A79" w:rsidRDefault="00D75A79" w:rsidP="004E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ˆø◊WÁ">
    <w:altName w:val="Cambria"/>
    <w:panose1 w:val="00000000000000000000"/>
    <w:charset w:val="4D"/>
    <w:family w:val="auto"/>
    <w:notTrueType/>
    <w:pitch w:val="default"/>
    <w:sig w:usb0="00000003" w:usb1="00000000" w:usb2="00000000" w:usb3="00000000" w:csb0="00000001" w:csb1="00000000"/>
  </w:font>
  <w:font w:name="Scala Offc">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10676"/>
    </w:tblGrid>
    <w:tr w:rsidR="00D75A79" w14:paraId="065F42BA" w14:textId="77777777" w:rsidTr="002837F4">
      <w:tc>
        <w:tcPr>
          <w:tcW w:w="5000" w:type="pct"/>
          <w:shd w:val="clear" w:color="auto" w:fill="DBE5F1" w:themeFill="accent1" w:themeFillTint="33"/>
        </w:tcPr>
        <w:p w14:paraId="6CB211BC" w14:textId="77777777" w:rsidR="00D75A79" w:rsidRDefault="00D75A79">
          <w:r>
            <w:rPr>
              <w:rFonts w:ascii="Calibri" w:hAnsi="Calibri"/>
              <w:b/>
            </w:rPr>
            <w:fldChar w:fldCharType="begin"/>
          </w:r>
          <w:r>
            <w:rPr>
              <w:rFonts w:ascii="Calibri" w:hAnsi="Calibri"/>
              <w:b/>
              <w:sz w:val="24"/>
              <w:szCs w:val="24"/>
            </w:rPr>
            <w:instrText>PAGE   \* MERGEFORMAT</w:instrText>
          </w:r>
          <w:r>
            <w:rPr>
              <w:rFonts w:ascii="Calibri" w:hAnsi="Calibri"/>
              <w:b/>
            </w:rPr>
            <w:fldChar w:fldCharType="separate"/>
          </w:r>
          <w:r w:rsidR="005F20A5" w:rsidRPr="005F20A5">
            <w:rPr>
              <w:rFonts w:ascii="Calibri" w:hAnsi="Calibri"/>
              <w:b/>
              <w:noProof/>
              <w:lang w:val="nb-NO"/>
            </w:rPr>
            <w:t>6</w:t>
          </w:r>
          <w:r>
            <w:rPr>
              <w:rFonts w:ascii="Calibri" w:hAnsi="Calibri"/>
              <w:b/>
            </w:rPr>
            <w:fldChar w:fldCharType="end"/>
          </w:r>
        </w:p>
      </w:tc>
    </w:tr>
  </w:tbl>
  <w:p w14:paraId="54ECF422" w14:textId="77777777" w:rsidR="00D75A79" w:rsidRDefault="00D75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10676"/>
    </w:tblGrid>
    <w:tr w:rsidR="00D75A79" w14:paraId="04D55940" w14:textId="77777777" w:rsidTr="00F54047">
      <w:tc>
        <w:tcPr>
          <w:tcW w:w="5000" w:type="pct"/>
          <w:shd w:val="clear" w:color="auto" w:fill="DBE5F1" w:themeFill="accent1" w:themeFillTint="33"/>
        </w:tcPr>
        <w:p w14:paraId="3EF2D4AA" w14:textId="77777777" w:rsidR="00D75A79" w:rsidRDefault="00D75A79">
          <w:pPr>
            <w:jc w:val="right"/>
          </w:pPr>
          <w:r>
            <w:rPr>
              <w:rFonts w:ascii="Calibri" w:hAnsi="Calibri"/>
              <w:b/>
            </w:rPr>
            <w:fldChar w:fldCharType="begin"/>
          </w:r>
          <w:r>
            <w:rPr>
              <w:rFonts w:ascii="Calibri" w:hAnsi="Calibri"/>
              <w:b/>
              <w:sz w:val="24"/>
              <w:szCs w:val="24"/>
            </w:rPr>
            <w:instrText>PAGE   \* MERGEFORMAT</w:instrText>
          </w:r>
          <w:r>
            <w:rPr>
              <w:rFonts w:ascii="Calibri" w:hAnsi="Calibri"/>
              <w:b/>
            </w:rPr>
            <w:fldChar w:fldCharType="separate"/>
          </w:r>
          <w:r w:rsidR="005F20A5" w:rsidRPr="005F20A5">
            <w:rPr>
              <w:rFonts w:ascii="Calibri" w:hAnsi="Calibri"/>
              <w:b/>
              <w:noProof/>
              <w:lang w:val="nb-NO"/>
            </w:rPr>
            <w:t>7</w:t>
          </w:r>
          <w:r>
            <w:rPr>
              <w:rFonts w:ascii="Calibri" w:hAnsi="Calibri"/>
              <w:b/>
            </w:rPr>
            <w:fldChar w:fldCharType="end"/>
          </w:r>
        </w:p>
      </w:tc>
    </w:tr>
  </w:tbl>
  <w:p w14:paraId="7CAE105F" w14:textId="77777777" w:rsidR="00D75A79" w:rsidRDefault="00D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3FB63" w14:textId="77777777" w:rsidR="00D75A79" w:rsidRDefault="00D75A79" w:rsidP="004E5EBC">
      <w:r>
        <w:separator/>
      </w:r>
    </w:p>
  </w:footnote>
  <w:footnote w:type="continuationSeparator" w:id="0">
    <w:p w14:paraId="7FF5121B" w14:textId="77777777" w:rsidR="00D75A79" w:rsidRDefault="00D75A79" w:rsidP="004E5EBC">
      <w:r>
        <w:continuationSeparator/>
      </w:r>
    </w:p>
  </w:footnote>
  <w:footnote w:id="1">
    <w:p w14:paraId="40BDC4D8" w14:textId="71AE0DCC" w:rsidR="00D75A79" w:rsidRPr="004A7A4C" w:rsidRDefault="00D75A79">
      <w:pPr>
        <w:pStyle w:val="FootnoteText"/>
        <w:rPr>
          <w:rFonts w:ascii="Calibri" w:hAnsi="Calibri"/>
        </w:rPr>
      </w:pPr>
      <w:r w:rsidRPr="004A7A4C">
        <w:rPr>
          <w:rStyle w:val="FootnoteReference"/>
          <w:rFonts w:ascii="Calibri" w:hAnsi="Calibri"/>
        </w:rPr>
        <w:footnoteRef/>
      </w:r>
      <w:r w:rsidRPr="004A7A4C">
        <w:rPr>
          <w:rFonts w:ascii="Calibri" w:hAnsi="Calibri"/>
        </w:rPr>
        <w:t xml:space="preserve"> In this submission, the human rights of women refer to the rights of both women and girls. </w:t>
      </w:r>
    </w:p>
  </w:footnote>
  <w:footnote w:id="2">
    <w:p w14:paraId="242044A4" w14:textId="0B66D944" w:rsidR="00D75A79" w:rsidRPr="000378E1" w:rsidRDefault="00D75A79" w:rsidP="000A5153">
      <w:pPr>
        <w:widowControl w:val="0"/>
        <w:autoSpaceDE w:val="0"/>
        <w:autoSpaceDN w:val="0"/>
        <w:adjustRightInd w:val="0"/>
        <w:ind w:right="57"/>
        <w:contextualSpacing/>
        <w:rPr>
          <w:rFonts w:ascii="Times New Roman" w:hAnsi="Times New Roman" w:cs="Times New Roman"/>
          <w:sz w:val="20"/>
          <w:szCs w:val="20"/>
          <w:lang w:val="en-US"/>
        </w:rPr>
      </w:pPr>
      <w:r w:rsidRPr="00A83890">
        <w:rPr>
          <w:rStyle w:val="FootnoteReference"/>
          <w:rFonts w:ascii="Calibri" w:hAnsi="Calibri"/>
        </w:rPr>
        <w:footnoteRef/>
      </w:r>
      <w:r w:rsidRPr="00A83890">
        <w:rPr>
          <w:rFonts w:ascii="Calibri" w:hAnsi="Calibri"/>
        </w:rPr>
        <w:t xml:space="preserve"> </w:t>
      </w:r>
      <w:r w:rsidRPr="000378E1">
        <w:rPr>
          <w:rFonts w:ascii="Calibri" w:hAnsi="Calibri"/>
          <w:sz w:val="20"/>
          <w:szCs w:val="20"/>
        </w:rPr>
        <w:t>See Christin</w:t>
      </w:r>
      <w:r>
        <w:rPr>
          <w:rFonts w:ascii="Calibri" w:hAnsi="Calibri"/>
          <w:sz w:val="20"/>
          <w:szCs w:val="20"/>
        </w:rPr>
        <w:t>e</w:t>
      </w:r>
      <w:r w:rsidRPr="000378E1">
        <w:rPr>
          <w:rFonts w:ascii="Calibri" w:hAnsi="Calibri"/>
          <w:sz w:val="20"/>
          <w:szCs w:val="20"/>
        </w:rPr>
        <w:t xml:space="preserve"> Chinkin and Hilary Charlesworth, </w:t>
      </w:r>
      <w:r>
        <w:rPr>
          <w:rFonts w:ascii="Calibri" w:hAnsi="Calibri" w:cs="Times New Roman"/>
          <w:sz w:val="20"/>
          <w:szCs w:val="20"/>
          <w:lang w:val="en-US"/>
        </w:rPr>
        <w:t>‘</w:t>
      </w:r>
      <w:r w:rsidRPr="000378E1">
        <w:rPr>
          <w:rFonts w:ascii="Calibri" w:hAnsi="Calibri" w:cs="Times New Roman"/>
          <w:sz w:val="20"/>
          <w:szCs w:val="20"/>
          <w:lang w:val="en-US"/>
        </w:rPr>
        <w:t>Building Women into Peace: the</w:t>
      </w:r>
      <w:r>
        <w:rPr>
          <w:rFonts w:ascii="Calibri" w:hAnsi="Calibri" w:cs="Times New Roman"/>
          <w:sz w:val="20"/>
          <w:szCs w:val="20"/>
          <w:lang w:val="en-US"/>
        </w:rPr>
        <w:t xml:space="preserve"> international legal framework’ (2006) 27(5) </w:t>
      </w:r>
      <w:r w:rsidRPr="00DC0E2B">
        <w:rPr>
          <w:rFonts w:ascii="Calibri" w:hAnsi="Calibri" w:cs="Times New Roman"/>
          <w:i/>
          <w:sz w:val="20"/>
          <w:szCs w:val="20"/>
          <w:lang w:val="en-US"/>
        </w:rPr>
        <w:t>Third World Quarterly</w:t>
      </w:r>
      <w:r>
        <w:rPr>
          <w:rFonts w:ascii="Calibri" w:hAnsi="Calibri" w:cs="Times New Roman"/>
          <w:sz w:val="20"/>
          <w:szCs w:val="20"/>
          <w:lang w:val="en-US"/>
        </w:rPr>
        <w:t xml:space="preserve">, pp. 937-57.   </w:t>
      </w:r>
    </w:p>
  </w:footnote>
  <w:footnote w:id="3">
    <w:p w14:paraId="04F615BB" w14:textId="4AD93DFC" w:rsidR="00D75A79" w:rsidRPr="0008680C" w:rsidRDefault="00D75A79" w:rsidP="000A5153">
      <w:pPr>
        <w:pStyle w:val="FootnoteText"/>
        <w:ind w:right="57"/>
        <w:rPr>
          <w:rFonts w:ascii="Calibri" w:hAnsi="Calibri"/>
        </w:rPr>
      </w:pPr>
      <w:r w:rsidRPr="0008680C">
        <w:rPr>
          <w:rStyle w:val="FootnoteReference"/>
          <w:rFonts w:ascii="Calibri" w:hAnsi="Calibri"/>
        </w:rPr>
        <w:footnoteRef/>
      </w:r>
      <w:r w:rsidRPr="0008680C">
        <w:rPr>
          <w:rFonts w:ascii="Calibri" w:hAnsi="Calibri"/>
        </w:rPr>
        <w:t xml:space="preserve"> </w:t>
      </w:r>
      <w:r>
        <w:rPr>
          <w:rFonts w:ascii="Calibri" w:hAnsi="Calibri" w:cs="Times New Roman"/>
        </w:rPr>
        <w:t>Committee on the Elimination of Discrimination against Women (CEDAW Committee) ‘General Recommendation No. 30 on women in conflict prevention, conflict and post-conflict situations’ (adopted on 18 October 2013) CEDAW/C/GC/30 (CEDAW GR No. 30)</w:t>
      </w:r>
      <w:r w:rsidRPr="0008680C">
        <w:rPr>
          <w:rFonts w:ascii="Calibri" w:hAnsi="Calibri"/>
        </w:rPr>
        <w:t xml:space="preserve">. See also Security Council Report, </w:t>
      </w:r>
      <w:r w:rsidRPr="0008680C">
        <w:rPr>
          <w:rFonts w:ascii="Calibri" w:hAnsi="Calibri"/>
          <w:i/>
        </w:rPr>
        <w:t>Cross Cutting Report on Women, Peace and Security</w:t>
      </w:r>
      <w:r>
        <w:rPr>
          <w:rFonts w:ascii="Calibri" w:hAnsi="Calibri"/>
        </w:rPr>
        <w:t xml:space="preserve"> (New York, October 2010).</w:t>
      </w:r>
    </w:p>
  </w:footnote>
  <w:footnote w:id="4">
    <w:p w14:paraId="629CFF46" w14:textId="06ED7D45" w:rsidR="00D75A79" w:rsidRPr="00361A2D" w:rsidRDefault="00D75A79" w:rsidP="00DC0E2B">
      <w:pPr>
        <w:pStyle w:val="FootnoteText"/>
        <w:ind w:right="57"/>
        <w:rPr>
          <w:rFonts w:ascii="Calibri" w:hAnsi="Calibri"/>
        </w:rPr>
      </w:pPr>
      <w:r w:rsidRPr="00361A2D">
        <w:rPr>
          <w:rStyle w:val="FootnoteReference"/>
          <w:rFonts w:ascii="Calibri" w:hAnsi="Calibri"/>
        </w:rPr>
        <w:footnoteRef/>
      </w:r>
      <w:r>
        <w:rPr>
          <w:rFonts w:ascii="Calibri" w:hAnsi="Calibri" w:cs="Times New Roman"/>
        </w:rPr>
        <w:t xml:space="preserve"> Convention on the Elimination of All Forms of Discrimination against Women (adopted on 18 December 1979, entered into force 3 September 1981) 1249 UNTS 13 (CEDAW); CEDAW GR No. 30; </w:t>
      </w:r>
      <w:r w:rsidRPr="00361A2D">
        <w:rPr>
          <w:rFonts w:ascii="Calibri" w:hAnsi="Calibri" w:cs="Times New Roman"/>
        </w:rPr>
        <w:t xml:space="preserve">United Nations, </w:t>
      </w:r>
      <w:r w:rsidRPr="00361A2D">
        <w:rPr>
          <w:rFonts w:ascii="Calibri" w:hAnsi="Calibri" w:cs="Times New Roman"/>
          <w:i/>
          <w:iCs/>
        </w:rPr>
        <w:t>Beijing Declaration and Platform of Action, adopted at the Fourth World Conference on Women</w:t>
      </w:r>
      <w:r w:rsidRPr="00361A2D">
        <w:rPr>
          <w:rFonts w:ascii="Calibri" w:hAnsi="Calibri" w:cs="Times New Roman"/>
        </w:rPr>
        <w:t>, 27 October 1995</w:t>
      </w:r>
      <w:r>
        <w:rPr>
          <w:rFonts w:ascii="Calibri" w:hAnsi="Calibri" w:cs="Times New Roman"/>
        </w:rPr>
        <w:t xml:space="preserve"> (BPfA); UNGA, </w:t>
      </w:r>
      <w:r>
        <w:rPr>
          <w:rFonts w:ascii="Calibri" w:hAnsi="Calibri" w:cs="Times New Roman"/>
          <w:i/>
        </w:rPr>
        <w:t>Further actions and initiatives to implement the Beijing Declaration and Platform for Action</w:t>
      </w:r>
      <w:r>
        <w:rPr>
          <w:rFonts w:ascii="Calibri" w:hAnsi="Calibri" w:cs="Times New Roman"/>
        </w:rPr>
        <w:t xml:space="preserve">, 16 November 2000, A/RES/S-23-3 (UNGA Outcome Document); and UN Commission on the Status of Women, </w:t>
      </w:r>
      <w:r w:rsidRPr="00AF0B63">
        <w:rPr>
          <w:rFonts w:ascii="Calibri" w:hAnsi="Calibri" w:cs="Times New Roman"/>
          <w:i/>
        </w:rPr>
        <w:t>Agreed Conclusions on the prevention and elimination of violence against women and girls,</w:t>
      </w:r>
      <w:r>
        <w:rPr>
          <w:rFonts w:ascii="Calibri" w:hAnsi="Calibri" w:cs="Times New Roman"/>
        </w:rPr>
        <w:t xml:space="preserve"> 15 March 2013, E/CN/6/2013/11 (CSW Agreed Conclusions 2013). </w:t>
      </w:r>
    </w:p>
  </w:footnote>
  <w:footnote w:id="5">
    <w:p w14:paraId="4F89CE9D" w14:textId="1F984AE7" w:rsidR="00D75A79" w:rsidRPr="001337B4" w:rsidRDefault="00D75A79" w:rsidP="009D1B43">
      <w:pPr>
        <w:rPr>
          <w:rFonts w:ascii="Times" w:eastAsia="Times New Roman" w:hAnsi="Times" w:cs="Times New Roman"/>
          <w:sz w:val="20"/>
          <w:szCs w:val="20"/>
        </w:rPr>
      </w:pPr>
      <w:r w:rsidRPr="001337B4">
        <w:rPr>
          <w:rStyle w:val="FootnoteReference"/>
          <w:rFonts w:ascii="Calibri" w:hAnsi="Calibri"/>
          <w:sz w:val="20"/>
          <w:szCs w:val="20"/>
        </w:rPr>
        <w:footnoteRef/>
      </w:r>
      <w:r w:rsidRPr="001337B4">
        <w:rPr>
          <w:rFonts w:ascii="Calibri" w:hAnsi="Calibri"/>
          <w:sz w:val="20"/>
          <w:szCs w:val="20"/>
        </w:rPr>
        <w:t xml:space="preserve"> </w:t>
      </w:r>
      <w:r w:rsidRPr="001337B4">
        <w:rPr>
          <w:rFonts w:ascii="Calibri" w:eastAsia="Times New Roman" w:hAnsi="Calibri" w:cs="Times New Roman"/>
          <w:sz w:val="20"/>
          <w:szCs w:val="20"/>
        </w:rPr>
        <w:t xml:space="preserve">Dianne Otto (2010) </w:t>
      </w:r>
      <w:r>
        <w:rPr>
          <w:rFonts w:ascii="Calibri" w:eastAsia="Times New Roman" w:hAnsi="Calibri" w:cs="Times New Roman"/>
          <w:sz w:val="20"/>
          <w:szCs w:val="20"/>
        </w:rPr>
        <w:t>‘</w:t>
      </w:r>
      <w:r w:rsidRPr="001337B4">
        <w:rPr>
          <w:rFonts w:ascii="Calibri" w:eastAsia="Times New Roman" w:hAnsi="Calibri" w:cs="Times New Roman"/>
          <w:sz w:val="20"/>
          <w:szCs w:val="20"/>
        </w:rPr>
        <w:t xml:space="preserve">Power and Danger: Feminist Engagement with International Law </w:t>
      </w:r>
      <w:r>
        <w:rPr>
          <w:rFonts w:ascii="Calibri" w:eastAsia="Times New Roman" w:hAnsi="Calibri" w:cs="Times New Roman"/>
          <w:sz w:val="20"/>
          <w:szCs w:val="20"/>
        </w:rPr>
        <w:t>through the UN Security Council’ 32(1)</w:t>
      </w:r>
      <w:r w:rsidRPr="001337B4">
        <w:rPr>
          <w:rFonts w:ascii="Calibri" w:eastAsia="Times New Roman" w:hAnsi="Calibri" w:cs="Times New Roman"/>
          <w:sz w:val="20"/>
          <w:szCs w:val="20"/>
        </w:rPr>
        <w:t xml:space="preserve"> </w:t>
      </w:r>
      <w:r w:rsidRPr="00D84097">
        <w:rPr>
          <w:rFonts w:ascii="Calibri" w:eastAsia="Times New Roman" w:hAnsi="Calibri" w:cs="Times New Roman"/>
          <w:i/>
          <w:sz w:val="20"/>
          <w:szCs w:val="20"/>
        </w:rPr>
        <w:t>Australian Feminist Law Journal</w:t>
      </w:r>
      <w:r>
        <w:rPr>
          <w:rFonts w:ascii="Calibri" w:eastAsia="Times New Roman" w:hAnsi="Calibri" w:cs="Times New Roman"/>
          <w:sz w:val="20"/>
          <w:szCs w:val="20"/>
        </w:rPr>
        <w:t>, pp.</w:t>
      </w:r>
      <w:r w:rsidRPr="001337B4">
        <w:rPr>
          <w:rFonts w:ascii="Calibri" w:eastAsia="Times New Roman" w:hAnsi="Calibri" w:cs="Times New Roman"/>
          <w:sz w:val="20"/>
          <w:szCs w:val="20"/>
        </w:rPr>
        <w:t xml:space="preserve"> 97-121, p. 100.</w:t>
      </w:r>
      <w:r>
        <w:rPr>
          <w:rFonts w:ascii="Times" w:eastAsia="Times New Roman" w:hAnsi="Times" w:cs="Times New Roman"/>
          <w:sz w:val="20"/>
          <w:szCs w:val="20"/>
        </w:rPr>
        <w:t xml:space="preserve"> </w:t>
      </w:r>
    </w:p>
  </w:footnote>
  <w:footnote w:id="6">
    <w:p w14:paraId="0F8C336C" w14:textId="2312A2B5" w:rsidR="00D75A79" w:rsidRPr="000B516A" w:rsidRDefault="00D75A79" w:rsidP="000B516A">
      <w:pPr>
        <w:rPr>
          <w:rFonts w:ascii="Calibri" w:eastAsia="Times New Roman" w:hAnsi="Calibri" w:cs="Times New Roman"/>
          <w:sz w:val="20"/>
          <w:szCs w:val="20"/>
        </w:rPr>
      </w:pPr>
      <w:r w:rsidRPr="000B516A">
        <w:rPr>
          <w:rStyle w:val="FootnoteReference"/>
          <w:rFonts w:ascii="Calibri" w:hAnsi="Calibri"/>
          <w:sz w:val="20"/>
          <w:szCs w:val="20"/>
        </w:rPr>
        <w:footnoteRef/>
      </w:r>
      <w:r w:rsidRPr="000B516A">
        <w:rPr>
          <w:rFonts w:ascii="Calibri" w:hAnsi="Calibri"/>
          <w:sz w:val="20"/>
          <w:szCs w:val="20"/>
        </w:rPr>
        <w:t xml:space="preserve"> </w:t>
      </w:r>
      <w:r w:rsidRPr="00421C5E">
        <w:rPr>
          <w:rFonts w:ascii="Calibri" w:hAnsi="Calibri" w:cs="Times New Roman"/>
          <w:sz w:val="20"/>
          <w:szCs w:val="20"/>
        </w:rPr>
        <w:t>Convention on the Elimination of All Forms of Discrimination against Women (adopted on 18 December 1979, entered into force 3 September 1981) 1249 UNTS 13 (CEDAW).</w:t>
      </w:r>
    </w:p>
  </w:footnote>
  <w:footnote w:id="7">
    <w:p w14:paraId="7C349BDC" w14:textId="2FDB0849" w:rsidR="00D75A79" w:rsidRPr="00361A2D" w:rsidRDefault="00D75A79" w:rsidP="000D6C7D">
      <w:pPr>
        <w:pStyle w:val="FootnoteText"/>
        <w:rPr>
          <w:rFonts w:ascii="Calibri" w:hAnsi="Calibri"/>
        </w:rPr>
      </w:pPr>
      <w:r w:rsidRPr="00361A2D">
        <w:rPr>
          <w:rStyle w:val="FootnoteReference"/>
          <w:rFonts w:ascii="Calibri" w:hAnsi="Calibri"/>
        </w:rPr>
        <w:footnoteRef/>
      </w:r>
      <w:r w:rsidRPr="00361A2D">
        <w:rPr>
          <w:rFonts w:ascii="Calibri" w:hAnsi="Calibri"/>
        </w:rPr>
        <w:t xml:space="preserve"> In this section, “women’s rights” refers to the rights of both women and girls.  </w:t>
      </w:r>
      <w:r>
        <w:rPr>
          <w:rFonts w:ascii="Calibri" w:hAnsi="Calibri"/>
        </w:rPr>
        <w:t>As of April 2015, 188 states have ratified CEDAW or acceded to it.</w:t>
      </w:r>
    </w:p>
  </w:footnote>
  <w:footnote w:id="8">
    <w:p w14:paraId="094C3692" w14:textId="258C5FC5" w:rsidR="00D75A79" w:rsidRPr="00361A2D" w:rsidRDefault="00D75A79" w:rsidP="000D6C7D">
      <w:pPr>
        <w:pStyle w:val="FootnoteText"/>
        <w:rPr>
          <w:rFonts w:ascii="Calibri" w:hAnsi="Calibri"/>
          <w:i/>
        </w:rPr>
      </w:pPr>
      <w:r w:rsidRPr="00361A2D">
        <w:rPr>
          <w:rStyle w:val="FootnoteReference"/>
          <w:rFonts w:ascii="Calibri" w:hAnsi="Calibri"/>
        </w:rPr>
        <w:footnoteRef/>
      </w:r>
      <w:r w:rsidRPr="00361A2D">
        <w:rPr>
          <w:rFonts w:ascii="Calibri" w:hAnsi="Calibri"/>
        </w:rPr>
        <w:t xml:space="preserve"> UN Women </w:t>
      </w:r>
      <w:r w:rsidRPr="00361A2D">
        <w:rPr>
          <w:rFonts w:ascii="Calibri" w:hAnsi="Calibri"/>
          <w:i/>
        </w:rPr>
        <w:t xml:space="preserve">CEDAW and Security Council Resolution 1325: A Quick Guide </w:t>
      </w:r>
      <w:r>
        <w:rPr>
          <w:rFonts w:ascii="Calibri" w:hAnsi="Calibri"/>
        </w:rPr>
        <w:t>(New York, 2010) (CEDAW and SCR 1325 Quick Guide)</w:t>
      </w:r>
      <w:r w:rsidRPr="00361A2D">
        <w:rPr>
          <w:rFonts w:ascii="Calibri" w:hAnsi="Calibri"/>
        </w:rPr>
        <w:t xml:space="preserve"> p. 5. </w:t>
      </w:r>
    </w:p>
  </w:footnote>
  <w:footnote w:id="9">
    <w:p w14:paraId="44AD41F1" w14:textId="217AC581" w:rsidR="00D75A79" w:rsidRPr="000B516A" w:rsidRDefault="00D75A79" w:rsidP="004E5EBC">
      <w:pPr>
        <w:widowControl w:val="0"/>
        <w:autoSpaceDE w:val="0"/>
        <w:autoSpaceDN w:val="0"/>
        <w:adjustRightInd w:val="0"/>
        <w:jc w:val="both"/>
        <w:rPr>
          <w:rFonts w:ascii="Calibri" w:hAnsi="Calibri" w:cs="Times New Roman"/>
          <w:sz w:val="20"/>
          <w:szCs w:val="20"/>
          <w:lang w:val="en-US"/>
        </w:rPr>
      </w:pPr>
      <w:r w:rsidRPr="000B516A">
        <w:rPr>
          <w:rStyle w:val="FootnoteReference"/>
          <w:rFonts w:ascii="Calibri" w:hAnsi="Calibri"/>
          <w:sz w:val="20"/>
          <w:szCs w:val="20"/>
        </w:rPr>
        <w:footnoteRef/>
      </w:r>
      <w:r w:rsidRPr="000B516A">
        <w:rPr>
          <w:rFonts w:ascii="Calibri" w:hAnsi="Calibri"/>
          <w:sz w:val="20"/>
          <w:szCs w:val="20"/>
        </w:rPr>
        <w:t xml:space="preserve"> See Christ</w:t>
      </w:r>
      <w:r>
        <w:rPr>
          <w:rFonts w:ascii="Calibri" w:hAnsi="Calibri"/>
          <w:sz w:val="20"/>
          <w:szCs w:val="20"/>
        </w:rPr>
        <w:t>ine Chinkin, ‘Violence against Women’</w:t>
      </w:r>
      <w:r w:rsidRPr="000B516A">
        <w:rPr>
          <w:rFonts w:ascii="Calibri" w:hAnsi="Calibri"/>
          <w:sz w:val="20"/>
          <w:szCs w:val="20"/>
        </w:rPr>
        <w:t xml:space="preserve"> </w:t>
      </w:r>
      <w:r w:rsidRPr="000B516A">
        <w:rPr>
          <w:rFonts w:ascii="Calibri" w:hAnsi="Calibri" w:cs="Times New Roman"/>
          <w:sz w:val="20"/>
          <w:szCs w:val="20"/>
          <w:lang w:val="en-US"/>
        </w:rPr>
        <w:t>in M</w:t>
      </w:r>
      <w:r>
        <w:rPr>
          <w:rFonts w:ascii="Calibri" w:hAnsi="Calibri" w:cs="Times New Roman"/>
          <w:sz w:val="20"/>
          <w:szCs w:val="20"/>
          <w:lang w:val="en-US"/>
        </w:rPr>
        <w:t>arsha A</w:t>
      </w:r>
      <w:r w:rsidRPr="000B516A">
        <w:rPr>
          <w:rFonts w:ascii="Calibri" w:hAnsi="Calibri" w:cs="Times New Roman"/>
          <w:sz w:val="20"/>
          <w:szCs w:val="20"/>
          <w:lang w:val="en-US"/>
        </w:rPr>
        <w:t>. Freeman, C</w:t>
      </w:r>
      <w:r>
        <w:rPr>
          <w:rFonts w:ascii="Calibri" w:hAnsi="Calibri" w:cs="Times New Roman"/>
          <w:sz w:val="20"/>
          <w:szCs w:val="20"/>
          <w:lang w:val="en-US"/>
        </w:rPr>
        <w:t>hristine</w:t>
      </w:r>
      <w:r w:rsidRPr="000B516A">
        <w:rPr>
          <w:rFonts w:ascii="Calibri" w:hAnsi="Calibri" w:cs="Times New Roman"/>
          <w:sz w:val="20"/>
          <w:szCs w:val="20"/>
          <w:lang w:val="en-US"/>
        </w:rPr>
        <w:t xml:space="preserve"> Chinkin and B</w:t>
      </w:r>
      <w:r>
        <w:rPr>
          <w:rFonts w:ascii="Calibri" w:hAnsi="Calibri" w:cs="Times New Roman"/>
          <w:sz w:val="20"/>
          <w:szCs w:val="20"/>
          <w:lang w:val="en-US"/>
        </w:rPr>
        <w:t>eate</w:t>
      </w:r>
      <w:r w:rsidRPr="000B516A">
        <w:rPr>
          <w:rFonts w:ascii="Calibri" w:hAnsi="Calibri" w:cs="Times New Roman"/>
          <w:sz w:val="20"/>
          <w:szCs w:val="20"/>
          <w:lang w:val="en-US"/>
        </w:rPr>
        <w:t xml:space="preserve"> Rudolf (eds) </w:t>
      </w:r>
      <w:r w:rsidRPr="003F6C59">
        <w:rPr>
          <w:rFonts w:ascii="Calibri" w:hAnsi="Calibri" w:cs="Times New Roman"/>
          <w:i/>
          <w:sz w:val="20"/>
          <w:szCs w:val="20"/>
          <w:lang w:val="en-US"/>
        </w:rPr>
        <w:t>The UN Convention on the Elimination of All Forms of Discrimination against Women</w:t>
      </w:r>
      <w:r>
        <w:rPr>
          <w:rFonts w:ascii="Calibri" w:hAnsi="Calibri" w:cs="Times New Roman"/>
          <w:i/>
          <w:sz w:val="20"/>
          <w:szCs w:val="20"/>
          <w:lang w:val="en-US"/>
        </w:rPr>
        <w:t>:</w:t>
      </w:r>
      <w:r w:rsidRPr="003F6C59">
        <w:rPr>
          <w:rFonts w:ascii="Calibri" w:hAnsi="Calibri" w:cs="Times New Roman"/>
          <w:i/>
          <w:sz w:val="20"/>
          <w:szCs w:val="20"/>
          <w:lang w:val="en-US"/>
        </w:rPr>
        <w:t xml:space="preserve"> A Commentary</w:t>
      </w:r>
      <w:r>
        <w:rPr>
          <w:rFonts w:ascii="Calibri" w:hAnsi="Calibri" w:cs="Times New Roman"/>
          <w:sz w:val="20"/>
          <w:szCs w:val="20"/>
          <w:lang w:val="en-US"/>
        </w:rPr>
        <w:t xml:space="preserve"> (Oxford, Oxford University Press, 2012) (CEDAW Commentary)</w:t>
      </w:r>
      <w:r w:rsidRPr="000B516A">
        <w:rPr>
          <w:rFonts w:ascii="Calibri" w:hAnsi="Calibri" w:cs="Times New Roman"/>
          <w:sz w:val="20"/>
          <w:szCs w:val="20"/>
          <w:lang w:val="en-US"/>
        </w:rPr>
        <w:t xml:space="preserve"> pp. 443-73, p. 463. </w:t>
      </w:r>
    </w:p>
  </w:footnote>
  <w:footnote w:id="10">
    <w:p w14:paraId="45C79B22" w14:textId="5944965E" w:rsidR="00D75A79" w:rsidRPr="0008680C" w:rsidRDefault="00D75A79" w:rsidP="004E5EBC">
      <w:pPr>
        <w:widowControl w:val="0"/>
        <w:autoSpaceDE w:val="0"/>
        <w:autoSpaceDN w:val="0"/>
        <w:adjustRightInd w:val="0"/>
        <w:jc w:val="both"/>
        <w:rPr>
          <w:rFonts w:ascii="Calibri" w:hAnsi="Calibri" w:cs="Times New Roman"/>
          <w:sz w:val="20"/>
          <w:szCs w:val="20"/>
          <w:lang w:val="en-US"/>
        </w:rPr>
      </w:pPr>
      <w:r w:rsidRPr="000B516A">
        <w:rPr>
          <w:rStyle w:val="FootnoteReference"/>
          <w:rFonts w:ascii="Calibri" w:hAnsi="Calibri"/>
          <w:sz w:val="20"/>
          <w:szCs w:val="20"/>
        </w:rPr>
        <w:footnoteRef/>
      </w:r>
      <w:r w:rsidRPr="000B516A">
        <w:rPr>
          <w:rFonts w:ascii="Calibri" w:hAnsi="Calibri"/>
          <w:sz w:val="20"/>
          <w:szCs w:val="20"/>
        </w:rPr>
        <w:t xml:space="preserve"> </w:t>
      </w:r>
      <w:r w:rsidRPr="000B516A">
        <w:rPr>
          <w:rFonts w:ascii="Calibri" w:hAnsi="Calibri" w:cs="Times New Roman"/>
          <w:sz w:val="20"/>
          <w:szCs w:val="20"/>
          <w:lang w:val="en-US"/>
        </w:rPr>
        <w:t>Andrew Byrnes</w:t>
      </w:r>
      <w:r>
        <w:rPr>
          <w:rFonts w:ascii="Calibri" w:hAnsi="Calibri" w:cs="Times New Roman"/>
          <w:sz w:val="20"/>
          <w:szCs w:val="20"/>
          <w:lang w:val="en-US"/>
        </w:rPr>
        <w:t>, ‘Article 1’, in CEDAW Commentary (Byrnes)</w:t>
      </w:r>
      <w:r w:rsidRPr="000B516A">
        <w:rPr>
          <w:rFonts w:ascii="Calibri" w:hAnsi="Calibri" w:cs="Times New Roman"/>
          <w:sz w:val="20"/>
          <w:szCs w:val="20"/>
          <w:lang w:val="en-US"/>
        </w:rPr>
        <w:t xml:space="preserve"> pp. 52-70, p. 56.</w:t>
      </w:r>
      <w:r>
        <w:rPr>
          <w:rFonts w:ascii="Calibri" w:hAnsi="Calibri" w:cs="Times New Roman"/>
          <w:sz w:val="20"/>
          <w:szCs w:val="20"/>
          <w:lang w:val="en-US"/>
        </w:rPr>
        <w:t xml:space="preserve"> </w:t>
      </w:r>
    </w:p>
  </w:footnote>
  <w:footnote w:id="11">
    <w:p w14:paraId="1597465D" w14:textId="722FE409" w:rsidR="00D75A79" w:rsidRPr="0027716C" w:rsidRDefault="00D75A79" w:rsidP="004E5EBC">
      <w:pPr>
        <w:pStyle w:val="FootnoteText"/>
        <w:rPr>
          <w:rFonts w:ascii="Calibri" w:hAnsi="Calibri"/>
        </w:rPr>
      </w:pPr>
      <w:r w:rsidRPr="0027716C">
        <w:rPr>
          <w:rStyle w:val="FootnoteReference"/>
          <w:rFonts w:ascii="Calibri" w:hAnsi="Calibri"/>
        </w:rPr>
        <w:footnoteRef/>
      </w:r>
      <w:r w:rsidRPr="0027716C">
        <w:rPr>
          <w:rFonts w:ascii="Calibri" w:hAnsi="Calibri"/>
        </w:rPr>
        <w:t xml:space="preserve"> CEDAW and SCR 1325 Quick Guide, p. 8.</w:t>
      </w:r>
    </w:p>
  </w:footnote>
  <w:footnote w:id="12">
    <w:p w14:paraId="67731D8C" w14:textId="44675796" w:rsidR="00D75A79" w:rsidRPr="0027716C" w:rsidRDefault="00D75A79" w:rsidP="004E5EBC">
      <w:pPr>
        <w:pStyle w:val="FootnoteText"/>
        <w:rPr>
          <w:rFonts w:ascii="Calibri" w:hAnsi="Calibri"/>
        </w:rPr>
      </w:pPr>
      <w:r w:rsidRPr="0027716C">
        <w:rPr>
          <w:rStyle w:val="FootnoteReference"/>
          <w:rFonts w:ascii="Calibri" w:hAnsi="Calibri"/>
        </w:rPr>
        <w:footnoteRef/>
      </w:r>
      <w:r w:rsidRPr="0027716C">
        <w:rPr>
          <w:rFonts w:ascii="Calibri" w:hAnsi="Calibri"/>
        </w:rPr>
        <w:t xml:space="preserve"> </w:t>
      </w:r>
      <w:r w:rsidRPr="0027716C">
        <w:rPr>
          <w:rFonts w:ascii="Calibri" w:hAnsi="Calibri" w:cs="Times New Roman"/>
        </w:rPr>
        <w:t xml:space="preserve">The related UN Security Council Resolutions on women, peace and security are: </w:t>
      </w:r>
      <w:r w:rsidRPr="0027716C">
        <w:rPr>
          <w:rFonts w:ascii="Calibri" w:hAnsi="Calibri"/>
        </w:rPr>
        <w:t>UN Security Council Resolution 1820 (19 June 2008) UN Doc S/RES/1820 (SCR 1820); UN Security Council Resolution 1888 (30 September 2009) UN Doc S/RES/1888 (SCR 1888)</w:t>
      </w:r>
      <w:r w:rsidRPr="0027716C">
        <w:rPr>
          <w:rFonts w:ascii="Calibri" w:hAnsi="Calibri" w:cs="Times New Roman"/>
        </w:rPr>
        <w:t xml:space="preserve">; </w:t>
      </w:r>
      <w:r w:rsidRPr="0027716C">
        <w:rPr>
          <w:rFonts w:ascii="Calibri" w:hAnsi="Calibri"/>
        </w:rPr>
        <w:t xml:space="preserve">UN Security Council Resolution </w:t>
      </w:r>
      <w:r w:rsidRPr="0027716C">
        <w:rPr>
          <w:rFonts w:ascii="Calibri" w:hAnsi="Calibri" w:cs="Times New Roman"/>
        </w:rPr>
        <w:t xml:space="preserve">1889 (5 October 2009) UN Doc S/RES/1889 (SCR 1889); UN Security Council Resolution 1960 (16 December 2010) UN Doc S/RES/1960 (SCR 1960); UN Security Council Resolution 2106 (24 June 2013) UN Doc S/RES/2106 (SCR 2106); and UN Security Council Resolution 2122 (18 October 2013) UN Doc S/RES/2122 (SCR 2122). </w:t>
      </w:r>
    </w:p>
  </w:footnote>
  <w:footnote w:id="13">
    <w:p w14:paraId="464173CD" w14:textId="1114A0F4" w:rsidR="00D75A79" w:rsidRPr="0027716C" w:rsidRDefault="00D75A79" w:rsidP="004E5EBC">
      <w:pPr>
        <w:jc w:val="both"/>
        <w:rPr>
          <w:rFonts w:ascii="Calibri" w:hAnsi="Calibri" w:cs="Times New Roman"/>
          <w:sz w:val="20"/>
          <w:szCs w:val="20"/>
        </w:rPr>
      </w:pPr>
      <w:r w:rsidRPr="0027716C">
        <w:rPr>
          <w:rStyle w:val="FootnoteReference"/>
          <w:rFonts w:ascii="Calibri" w:hAnsi="Calibri"/>
          <w:sz w:val="20"/>
          <w:szCs w:val="20"/>
        </w:rPr>
        <w:footnoteRef/>
      </w:r>
      <w:r w:rsidRPr="0027716C">
        <w:rPr>
          <w:rFonts w:ascii="Calibri" w:hAnsi="Calibri"/>
          <w:sz w:val="20"/>
          <w:szCs w:val="20"/>
        </w:rPr>
        <w:t xml:space="preserve"> </w:t>
      </w:r>
      <w:r w:rsidRPr="0027716C">
        <w:rPr>
          <w:rFonts w:ascii="Calibri" w:hAnsi="Calibri" w:cs="Times New Roman"/>
          <w:sz w:val="20"/>
          <w:szCs w:val="20"/>
        </w:rPr>
        <w:t>Convention on the Elimination of all Forms of Discrimination against Women (adopted on 18 December 1979, entered into force 3 September 1981) 1249 UNTS 13 (CEDAW); and Committee on the Elimination of Discrimination against Women (CEDAW Committee) General Recommendation No. 30 on women in conflict prevention, conflict and post-conflict situations (adopted on 18 October 2013) CEDAW/C/GC/30 (CEDAW GR No. 30).</w:t>
      </w:r>
    </w:p>
  </w:footnote>
  <w:footnote w:id="14">
    <w:p w14:paraId="5804678C" w14:textId="03F648AC" w:rsidR="00D75A79" w:rsidRPr="0027716C" w:rsidRDefault="00D75A79" w:rsidP="004E5EBC">
      <w:pPr>
        <w:pStyle w:val="FootnoteText"/>
        <w:rPr>
          <w:rFonts w:ascii="Calibri" w:hAnsi="Calibri"/>
        </w:rPr>
      </w:pPr>
      <w:r w:rsidRPr="0027716C">
        <w:rPr>
          <w:rStyle w:val="FootnoteReference"/>
          <w:rFonts w:ascii="Calibri" w:hAnsi="Calibri"/>
        </w:rPr>
        <w:footnoteRef/>
      </w:r>
      <w:r w:rsidRPr="0027716C">
        <w:rPr>
          <w:rFonts w:ascii="Calibri" w:hAnsi="Calibri"/>
        </w:rPr>
        <w:t xml:space="preserve"> </w:t>
      </w:r>
      <w:r w:rsidRPr="0027716C">
        <w:rPr>
          <w:rFonts w:ascii="Calibri" w:hAnsi="Calibri" w:cs="Times New Roman"/>
          <w:i/>
          <w:iCs/>
        </w:rPr>
        <w:t>Beijing Declaration and Platform of Action, adopted at the Fourth World Conference on Women</w:t>
      </w:r>
      <w:r w:rsidRPr="0027716C">
        <w:rPr>
          <w:rFonts w:ascii="Calibri" w:hAnsi="Calibri" w:cs="Times New Roman"/>
        </w:rPr>
        <w:t>, 27 October 1995; referenced in SCR 1325 preparatory paragraph 2 (PP2).</w:t>
      </w:r>
    </w:p>
  </w:footnote>
  <w:footnote w:id="15">
    <w:p w14:paraId="322153EA" w14:textId="325F3CC3" w:rsidR="00D75A79" w:rsidRPr="0027716C" w:rsidRDefault="00D75A79" w:rsidP="004E5EBC">
      <w:pPr>
        <w:pStyle w:val="FootnoteText"/>
        <w:rPr>
          <w:rFonts w:ascii="Calibri" w:hAnsi="Calibri"/>
        </w:rPr>
      </w:pPr>
      <w:r w:rsidRPr="0027716C">
        <w:rPr>
          <w:rStyle w:val="FootnoteReference"/>
          <w:rFonts w:ascii="Calibri" w:hAnsi="Calibri"/>
        </w:rPr>
        <w:footnoteRef/>
      </w:r>
      <w:r w:rsidRPr="0027716C">
        <w:rPr>
          <w:rFonts w:ascii="Calibri" w:hAnsi="Calibri"/>
        </w:rPr>
        <w:t xml:space="preserve"> </w:t>
      </w:r>
      <w:r w:rsidRPr="0027716C">
        <w:rPr>
          <w:rFonts w:ascii="Calibri" w:hAnsi="Calibri" w:cs="Times New Roman"/>
        </w:rPr>
        <w:t xml:space="preserve">UNGA, </w:t>
      </w:r>
      <w:r w:rsidRPr="0027716C">
        <w:rPr>
          <w:rFonts w:ascii="Calibri" w:hAnsi="Calibri" w:cs="Times New Roman"/>
          <w:i/>
        </w:rPr>
        <w:t>Further actions and initiatives to implement the Beijing Declaration and Platform for Action</w:t>
      </w:r>
      <w:r w:rsidRPr="0027716C">
        <w:rPr>
          <w:rFonts w:ascii="Calibri" w:hAnsi="Calibri" w:cs="Times New Roman"/>
        </w:rPr>
        <w:t xml:space="preserve">, 16 November 2000, A/RES/S-23-3; referenced in SCR 1325 in PP2. </w:t>
      </w:r>
    </w:p>
  </w:footnote>
  <w:footnote w:id="16">
    <w:p w14:paraId="011F463B" w14:textId="1D917C69" w:rsidR="00D75A79" w:rsidRPr="0027716C" w:rsidRDefault="00D75A79">
      <w:pPr>
        <w:pStyle w:val="FootnoteText"/>
        <w:rPr>
          <w:rFonts w:ascii="Calibri" w:hAnsi="Calibri"/>
        </w:rPr>
      </w:pPr>
      <w:r w:rsidRPr="0027716C">
        <w:rPr>
          <w:rStyle w:val="FootnoteReference"/>
          <w:rFonts w:ascii="Calibri" w:hAnsi="Calibri"/>
        </w:rPr>
        <w:footnoteRef/>
      </w:r>
      <w:r w:rsidRPr="0027716C">
        <w:rPr>
          <w:rFonts w:ascii="Calibri" w:hAnsi="Calibri"/>
        </w:rPr>
        <w:t xml:space="preserve"> </w:t>
      </w:r>
      <w:r w:rsidRPr="0027716C">
        <w:rPr>
          <w:rFonts w:ascii="Calibri" w:hAnsi="Calibri" w:cs="Times New Roman"/>
        </w:rPr>
        <w:t xml:space="preserve">UN Commission on the Status of Women, Agreed Conclusions on the prevention and elimination of violence against women and girls, 15 March 2013, E/CN/6/2013/11 (CSW Agreed Conclusions 2013). </w:t>
      </w:r>
    </w:p>
  </w:footnote>
  <w:footnote w:id="17">
    <w:p w14:paraId="6FA84B48" w14:textId="2BF5D5B7" w:rsidR="00D75A79" w:rsidRPr="0027716C" w:rsidRDefault="00D75A79" w:rsidP="00FD7CA1">
      <w:pPr>
        <w:rPr>
          <w:rFonts w:ascii="Calibri" w:eastAsia="Times New Roman" w:hAnsi="Calibri" w:cs="Times New Roman"/>
          <w:sz w:val="20"/>
          <w:szCs w:val="20"/>
        </w:rPr>
      </w:pPr>
      <w:r w:rsidRPr="0027716C">
        <w:rPr>
          <w:rStyle w:val="FootnoteReference"/>
          <w:rFonts w:ascii="Calibri" w:hAnsi="Calibri"/>
          <w:sz w:val="20"/>
          <w:szCs w:val="20"/>
        </w:rPr>
        <w:footnoteRef/>
      </w:r>
      <w:r w:rsidRPr="0027716C">
        <w:rPr>
          <w:rFonts w:ascii="Calibri" w:hAnsi="Calibri"/>
          <w:sz w:val="20"/>
          <w:szCs w:val="20"/>
        </w:rPr>
        <w:t xml:space="preserve"> UN General Assembly, </w:t>
      </w:r>
      <w:r w:rsidRPr="0027716C">
        <w:rPr>
          <w:rFonts w:ascii="Calibri" w:hAnsi="Calibri" w:cs="Times New Roman"/>
          <w:color w:val="0D0D0D" w:themeColor="text1" w:themeTint="F2"/>
          <w:sz w:val="20"/>
          <w:szCs w:val="20"/>
        </w:rPr>
        <w:t xml:space="preserve">Optional Protocol to CEDAW, </w:t>
      </w:r>
      <w:r w:rsidRPr="0027716C">
        <w:rPr>
          <w:rFonts w:ascii="Calibri" w:eastAsia="Times New Roman" w:hAnsi="Calibri" w:cs="Arial"/>
          <w:color w:val="0D0D0D" w:themeColor="text1" w:themeTint="F2"/>
          <w:sz w:val="20"/>
          <w:szCs w:val="20"/>
          <w:shd w:val="clear" w:color="auto" w:fill="FFFFFF"/>
        </w:rPr>
        <w:t>(adopted 6 October 1999, entered into force 22 December 2000) UN Doc A/RES/54/4.</w:t>
      </w:r>
    </w:p>
  </w:footnote>
  <w:footnote w:id="18">
    <w:p w14:paraId="439D00B0" w14:textId="5F6F7174" w:rsidR="00D75A79" w:rsidRPr="0027716C" w:rsidRDefault="00D75A79" w:rsidP="00A87520">
      <w:pPr>
        <w:jc w:val="both"/>
        <w:rPr>
          <w:rFonts w:ascii="Calibri" w:eastAsia="Times New Roman" w:hAnsi="Calibri" w:cs="Times New Roman"/>
          <w:sz w:val="20"/>
          <w:szCs w:val="20"/>
        </w:rPr>
      </w:pPr>
      <w:r w:rsidRPr="0027716C">
        <w:rPr>
          <w:rStyle w:val="FootnoteReference"/>
          <w:rFonts w:ascii="Calibri" w:hAnsi="Calibri"/>
          <w:sz w:val="20"/>
          <w:szCs w:val="20"/>
        </w:rPr>
        <w:footnoteRef/>
      </w:r>
      <w:r w:rsidRPr="0027716C">
        <w:rPr>
          <w:rFonts w:ascii="Calibri" w:hAnsi="Calibri"/>
          <w:sz w:val="20"/>
          <w:szCs w:val="20"/>
        </w:rPr>
        <w:t xml:space="preserve"> </w:t>
      </w:r>
      <w:r w:rsidRPr="0027716C">
        <w:rPr>
          <w:rFonts w:ascii="Calibri" w:eastAsia="Times New Roman" w:hAnsi="Calibri" w:cs="Times New Roman"/>
          <w:sz w:val="20"/>
          <w:szCs w:val="20"/>
        </w:rPr>
        <w:t>Universal Declaration of Human Rights (adopted 10 December 1948</w:t>
      </w:r>
      <w:r>
        <w:rPr>
          <w:rFonts w:ascii="Calibri" w:eastAsia="Times New Roman" w:hAnsi="Calibri" w:cs="Times New Roman"/>
          <w:sz w:val="20"/>
          <w:szCs w:val="20"/>
        </w:rPr>
        <w:t>)</w:t>
      </w:r>
      <w:r w:rsidRPr="0027716C">
        <w:rPr>
          <w:rFonts w:ascii="Calibri" w:eastAsia="Times New Roman" w:hAnsi="Calibri" w:cs="Times New Roman"/>
          <w:sz w:val="20"/>
          <w:szCs w:val="20"/>
        </w:rPr>
        <w:t xml:space="preserve"> UNGA Res 217 A(III) (UDHR)</w:t>
      </w:r>
      <w:r w:rsidRPr="0027716C">
        <w:rPr>
          <w:rFonts w:ascii="Calibri" w:hAnsi="Calibri"/>
          <w:sz w:val="20"/>
          <w:szCs w:val="20"/>
        </w:rPr>
        <w:t xml:space="preserve">; International Covenant on Civil and Political Rights (adopted 16 December 1966, entered into force 23 March 1976) 999 UNTS 171 (ICCPR); International Covenant on Economic, Social and Cultural Rights (adopted 16 December 1966, entered into force on 3 January 1976) 999 UNTS 3.  </w:t>
      </w:r>
    </w:p>
  </w:footnote>
  <w:footnote w:id="19">
    <w:p w14:paraId="472C3AC3" w14:textId="229E8B7A" w:rsidR="00D75A79" w:rsidRPr="00241F65" w:rsidRDefault="00D75A79" w:rsidP="00731A16">
      <w:pPr>
        <w:jc w:val="both"/>
        <w:rPr>
          <w:rFonts w:ascii="Calibri" w:eastAsia="Times New Roman" w:hAnsi="Calibri" w:cs="Times New Roman"/>
          <w:sz w:val="20"/>
          <w:szCs w:val="20"/>
        </w:rPr>
      </w:pPr>
      <w:r w:rsidRPr="00241F65">
        <w:rPr>
          <w:rStyle w:val="FootnoteReference"/>
          <w:rFonts w:ascii="Calibri" w:hAnsi="Calibri"/>
          <w:sz w:val="20"/>
          <w:szCs w:val="20"/>
        </w:rPr>
        <w:footnoteRef/>
      </w:r>
      <w:r w:rsidRPr="00241F65">
        <w:rPr>
          <w:rFonts w:ascii="Calibri" w:hAnsi="Calibri"/>
          <w:sz w:val="20"/>
          <w:szCs w:val="20"/>
        </w:rPr>
        <w:t xml:space="preserve"> Convention on the Rights of the Child (adopted 11 November 1989, entered into force 2 September 1990) 1577 UNTS 3 (CRC); Optional Protocol to the Convention on the Rights of the Child on the Sale of Children, Child Prostitution and Child Pornography (adopted 25 May 2000, entered into force 18 January 2002) 2171 UNTS 227; Optional Protocol to the Convention on the Rights of the Child on the Involvement of Children in Armed Conflict (adopted 25 May 2000, entered into force 12 February 2002) 2173 UNTS 222; referenced in SCR 1325 OP9.</w:t>
      </w:r>
    </w:p>
  </w:footnote>
  <w:footnote w:id="20">
    <w:p w14:paraId="4B3F0C4A" w14:textId="43B4DB8F" w:rsidR="00D75A79" w:rsidRPr="00241F65" w:rsidRDefault="00D75A79" w:rsidP="00A87520">
      <w:pPr>
        <w:jc w:val="both"/>
        <w:rPr>
          <w:rFonts w:ascii="Calibri" w:hAnsi="Calibri"/>
          <w:sz w:val="20"/>
          <w:szCs w:val="20"/>
        </w:rPr>
      </w:pPr>
      <w:r w:rsidRPr="00241F65">
        <w:rPr>
          <w:rStyle w:val="FootnoteReference"/>
          <w:rFonts w:ascii="Calibri" w:hAnsi="Calibri"/>
          <w:sz w:val="20"/>
          <w:szCs w:val="20"/>
        </w:rPr>
        <w:footnoteRef/>
      </w:r>
      <w:r w:rsidRPr="00241F65">
        <w:rPr>
          <w:rFonts w:ascii="Calibri" w:hAnsi="Calibri"/>
          <w:sz w:val="20"/>
          <w:szCs w:val="20"/>
        </w:rPr>
        <w:t xml:space="preserve"> Convention Relating to the Status of Refugees (adopted 28 July 1951,</w:t>
      </w:r>
      <w:r>
        <w:rPr>
          <w:rFonts w:ascii="Calibri" w:hAnsi="Calibri"/>
          <w:sz w:val="20"/>
          <w:szCs w:val="20"/>
        </w:rPr>
        <w:t xml:space="preserve"> </w:t>
      </w:r>
      <w:r w:rsidRPr="00241F65">
        <w:rPr>
          <w:rFonts w:ascii="Calibri" w:hAnsi="Calibri"/>
          <w:sz w:val="20"/>
          <w:szCs w:val="20"/>
        </w:rPr>
        <w:t>entered into force 22 April 1954) 189 UNTS 137 (Refugee Convention 1951); Protocol Relating to the Status of Refugees (adopted 31 January 1967, entered into force 4 October 1967) 606 UNTS 267 (Protocol 1967) referenced in SCR 1325 OP9.</w:t>
      </w:r>
      <w:r w:rsidRPr="00241F65">
        <w:rPr>
          <w:rFonts w:ascii="Calibri" w:eastAsia="Times New Roman" w:hAnsi="Calibri" w:cs="Times New Roman"/>
          <w:sz w:val="20"/>
          <w:szCs w:val="20"/>
        </w:rPr>
        <w:t xml:space="preserve"> </w:t>
      </w:r>
      <w:r w:rsidRPr="00241F65">
        <w:rPr>
          <w:rFonts w:ascii="Calibri" w:hAnsi="Calibri"/>
          <w:sz w:val="20"/>
          <w:szCs w:val="20"/>
        </w:rPr>
        <w:t xml:space="preserve">Although SCR 1325 emphasizes the obligations under the Refugee Convention 1951 and Protocol 1967, the subsequent resolutions are silent on international refugee law. Given that the Refugee Convention does not explicitly address gender equality, this has been supplemented by references to CEDAW. </w:t>
      </w:r>
    </w:p>
  </w:footnote>
  <w:footnote w:id="21">
    <w:p w14:paraId="2012385B" w14:textId="275E6075" w:rsidR="00D75A79" w:rsidRPr="00241F65" w:rsidRDefault="00D75A79" w:rsidP="004E5EBC">
      <w:pPr>
        <w:pStyle w:val="FootnoteText"/>
        <w:rPr>
          <w:rFonts w:ascii="Calibri" w:hAnsi="Calibri"/>
        </w:rPr>
      </w:pPr>
      <w:r w:rsidRPr="00241F65">
        <w:rPr>
          <w:rStyle w:val="FootnoteReference"/>
          <w:rFonts w:ascii="Calibri" w:hAnsi="Calibri"/>
        </w:rPr>
        <w:footnoteRef/>
      </w:r>
      <w:r>
        <w:rPr>
          <w:rFonts w:ascii="Calibri" w:hAnsi="Calibri"/>
        </w:rPr>
        <w:t xml:space="preserve"> Convention against Torture </w:t>
      </w:r>
      <w:r w:rsidRPr="00241F65">
        <w:rPr>
          <w:rFonts w:ascii="Calibri" w:hAnsi="Calibri"/>
        </w:rPr>
        <w:t xml:space="preserve">(adopted 10 December 1984, entered into force 26 June 1987) 1465 UNTS 85. </w:t>
      </w:r>
    </w:p>
  </w:footnote>
  <w:footnote w:id="22">
    <w:p w14:paraId="293E8B9C" w14:textId="17C5C9B3" w:rsidR="00D75A79" w:rsidRPr="00241F65" w:rsidRDefault="00D75A79">
      <w:pPr>
        <w:pStyle w:val="FootnoteText"/>
        <w:rPr>
          <w:rFonts w:ascii="Calibri" w:hAnsi="Calibri"/>
        </w:rPr>
      </w:pPr>
      <w:r w:rsidRPr="00241F65">
        <w:rPr>
          <w:rStyle w:val="FootnoteReference"/>
          <w:rFonts w:ascii="Calibri" w:hAnsi="Calibri"/>
        </w:rPr>
        <w:footnoteRef/>
      </w:r>
      <w:r w:rsidRPr="00241F65">
        <w:rPr>
          <w:rFonts w:ascii="Calibri" w:hAnsi="Calibri"/>
        </w:rPr>
        <w:t xml:space="preserve"> Geneva Convention for the Amelioration of the Condition of the Wounded and Sick in Armed Forces in the Field (adopted 12 August 1949, entered into force 21 October 1950) 75 UNTS 31 (Geneva Convention I); Geneva Convention for the Amelioration of the Condition of the Wounded, Sick and Shipwrecked Members of Armed Forces at Sea (adopted 12 August 1949, entered into force 21 October 1950) 75 UNTS 85 (Geneva Convention II); Geneva Convention relative to the Treatment of Prisoners of War (adopted 12 August 1949, entered into force 21 October 1950) 74 UNTS 135 (Geneva Convention III); Geneva Convention relative to the Protection of Civilian Persons in Time of War (adopted 12 August 1949, entered into force 21 October 1950) 75 UNTS 287 (Geneva Convention IV); Protocol Additional to the Geneva Conventions of 12 August 1949, and relating to the Protection of Victims of International Armed Conflicts (Protocol I) (adopted 8 June 1977, entered into force 7 December 1978) 1125 UNTS 3; Protocol Additional to the Geneva Conventions of 12 August 1949, and relating to the Protection of Victims of Non-International Armed Conflicts (</w:t>
      </w:r>
      <w:r>
        <w:rPr>
          <w:rFonts w:ascii="Calibri" w:hAnsi="Calibri"/>
        </w:rPr>
        <w:t xml:space="preserve">Additional </w:t>
      </w:r>
      <w:r w:rsidRPr="00241F65">
        <w:rPr>
          <w:rFonts w:ascii="Calibri" w:hAnsi="Calibri"/>
        </w:rPr>
        <w:t>Protocol II) (adopted 8 June 1977, entered into force 7 December 1978) 1125 UNTS 609; all referenced in SCR 1325 OP9.</w:t>
      </w:r>
    </w:p>
  </w:footnote>
  <w:footnote w:id="23">
    <w:p w14:paraId="79591A93" w14:textId="3FF1F2AB" w:rsidR="00D75A79" w:rsidRPr="00241F65" w:rsidRDefault="00D75A79" w:rsidP="004E5EBC">
      <w:pPr>
        <w:pStyle w:val="FootnoteText"/>
        <w:rPr>
          <w:rFonts w:ascii="Calibri" w:hAnsi="Calibri"/>
        </w:rPr>
      </w:pPr>
      <w:r w:rsidRPr="00241F65">
        <w:rPr>
          <w:rStyle w:val="FootnoteReference"/>
          <w:rFonts w:ascii="Calibri" w:hAnsi="Calibri"/>
        </w:rPr>
        <w:footnoteRef/>
      </w:r>
      <w:r w:rsidRPr="00241F65">
        <w:rPr>
          <w:rFonts w:ascii="Calibri" w:hAnsi="Calibri"/>
        </w:rPr>
        <w:t xml:space="preserve"> Rome Statute of the International Criminal Court (adopted 17 July 1998, entered into force 1 July 2002) 2187 UNTS 3 (Rome Statute 1998); referenced in SCR 1325 OP9.</w:t>
      </w:r>
    </w:p>
  </w:footnote>
  <w:footnote w:id="24">
    <w:p w14:paraId="777FEAF0" w14:textId="0C57D422" w:rsidR="00D75A79" w:rsidRPr="00241F65" w:rsidRDefault="00D75A79" w:rsidP="00254256">
      <w:pPr>
        <w:pStyle w:val="FootnoteText"/>
        <w:rPr>
          <w:rFonts w:ascii="Calibri" w:hAnsi="Calibri"/>
        </w:rPr>
      </w:pPr>
      <w:r w:rsidRPr="00241F65">
        <w:rPr>
          <w:rStyle w:val="FootnoteReference"/>
          <w:rFonts w:ascii="Calibri" w:hAnsi="Calibri"/>
        </w:rPr>
        <w:footnoteRef/>
      </w:r>
      <w:r w:rsidRPr="00241F65">
        <w:rPr>
          <w:rFonts w:ascii="Calibri" w:hAnsi="Calibri"/>
        </w:rPr>
        <w:t xml:space="preserve"> </w:t>
      </w:r>
      <w:r w:rsidRPr="00241F65">
        <w:rPr>
          <w:rFonts w:ascii="Calibri" w:hAnsi="Calibri"/>
          <w:color w:val="000000" w:themeColor="text1"/>
        </w:rPr>
        <w:t>See for instance: Presidential Statements</w:t>
      </w:r>
      <w:r>
        <w:rPr>
          <w:rFonts w:ascii="Calibri" w:hAnsi="Calibri"/>
          <w:color w:val="000000" w:themeColor="text1"/>
        </w:rPr>
        <w:t xml:space="preserve"> of the Security Council</w:t>
      </w:r>
      <w:r w:rsidRPr="00241F65">
        <w:rPr>
          <w:rFonts w:ascii="Calibri" w:hAnsi="Calibri"/>
          <w:color w:val="000000" w:themeColor="text1"/>
        </w:rPr>
        <w:t xml:space="preserve">: </w:t>
      </w:r>
      <w:hyperlink r:id="rId1" w:tgtFrame="_blank" w:history="1">
        <w:r w:rsidRPr="00241F65">
          <w:rPr>
            <w:rStyle w:val="Hyperlink"/>
            <w:rFonts w:ascii="Calibri" w:eastAsia="Times New Roman" w:hAnsi="Calibri" w:cs="Arial"/>
            <w:color w:val="000000" w:themeColor="text1"/>
            <w:u w:val="none"/>
            <w:shd w:val="clear" w:color="auto" w:fill="FFFFFF"/>
          </w:rPr>
          <w:t>S/PRST/2004/40</w:t>
        </w:r>
      </w:hyperlink>
      <w:r w:rsidRPr="00241F65">
        <w:rPr>
          <w:rFonts w:ascii="Calibri" w:eastAsia="Times New Roman" w:hAnsi="Calibri" w:cs="Times New Roman"/>
          <w:color w:val="000000" w:themeColor="text1"/>
        </w:rPr>
        <w:t xml:space="preserve"> </w:t>
      </w:r>
      <w:r w:rsidRPr="00241F65">
        <w:rPr>
          <w:rFonts w:ascii="Calibri" w:eastAsia="Times New Roman" w:hAnsi="Calibri" w:cs="Arial"/>
          <w:color w:val="000000" w:themeColor="text1"/>
          <w:shd w:val="clear" w:color="auto" w:fill="FFFFFF"/>
        </w:rPr>
        <w:t>and</w:t>
      </w:r>
      <w:r w:rsidRPr="00241F65">
        <w:rPr>
          <w:rStyle w:val="apple-converted-space"/>
          <w:rFonts w:ascii="Calibri" w:eastAsia="Times New Roman" w:hAnsi="Calibri" w:cs="Arial"/>
          <w:color w:val="000000" w:themeColor="text1"/>
          <w:shd w:val="clear" w:color="auto" w:fill="FFFFFF"/>
        </w:rPr>
        <w:t> </w:t>
      </w:r>
      <w:hyperlink r:id="rId2" w:tgtFrame="_blank" w:history="1">
        <w:r w:rsidRPr="00241F65">
          <w:rPr>
            <w:rStyle w:val="Hyperlink"/>
            <w:rFonts w:ascii="Calibri" w:eastAsia="Times New Roman" w:hAnsi="Calibri" w:cs="Arial"/>
            <w:color w:val="000000" w:themeColor="text1"/>
            <w:u w:val="none"/>
            <w:shd w:val="clear" w:color="auto" w:fill="FFFFFF"/>
          </w:rPr>
          <w:t>S/PRST/2005/52</w:t>
        </w:r>
      </w:hyperlink>
      <w:r w:rsidRPr="00241F65">
        <w:rPr>
          <w:rFonts w:ascii="Calibri" w:eastAsia="Times New Roman" w:hAnsi="Calibri" w:cs="Times New Roman"/>
          <w:color w:val="000000" w:themeColor="text1"/>
        </w:rPr>
        <w:t>.</w:t>
      </w:r>
    </w:p>
  </w:footnote>
  <w:footnote w:id="25">
    <w:p w14:paraId="34C59D06" w14:textId="48FBFAC5" w:rsidR="00D75A79" w:rsidRPr="00FF2870" w:rsidRDefault="00D75A79" w:rsidP="00FF2870">
      <w:pPr>
        <w:pStyle w:val="HTMLPreformatted"/>
        <w:jc w:val="both"/>
        <w:rPr>
          <w:color w:val="000000"/>
        </w:rPr>
      </w:pPr>
      <w:r w:rsidRPr="00241F65">
        <w:rPr>
          <w:rStyle w:val="FootnoteReference"/>
          <w:rFonts w:ascii="Calibri" w:hAnsi="Calibri"/>
        </w:rPr>
        <w:footnoteRef/>
      </w:r>
      <w:r w:rsidRPr="00241F65">
        <w:rPr>
          <w:rFonts w:ascii="Calibri" w:hAnsi="Calibri"/>
        </w:rPr>
        <w:t xml:space="preserve"> </w:t>
      </w:r>
      <w:r w:rsidRPr="00241F65">
        <w:rPr>
          <w:rFonts w:ascii="Calibri" w:eastAsia="Times New Roman" w:hAnsi="Calibri" w:cs="Times New Roman"/>
          <w:bCs/>
          <w:color w:val="000000"/>
          <w:shd w:val="clear" w:color="auto" w:fill="FFFFFF"/>
        </w:rPr>
        <w:t>Declaration on the Protection of Women and Children in Emergency and Armed Conflict, G.A. res. 3318 (XXIX), 29 U.N. GAOR Supp. (No. 31) at 146, U.N. Doc. A/9631 (1974); Declaration on the Elimination of Violence Against Women</w:t>
      </w:r>
      <w:r>
        <w:rPr>
          <w:rFonts w:ascii="Calibri" w:eastAsia="Times New Roman" w:hAnsi="Calibri" w:cs="Times New Roman"/>
          <w:bCs/>
          <w:color w:val="000000"/>
          <w:shd w:val="clear" w:color="auto" w:fill="FFFFFF"/>
        </w:rPr>
        <w:t xml:space="preserve"> G.A. Res 48/104, A/RES/104 (20 December 1993); </w:t>
      </w:r>
      <w:r w:rsidRPr="000A3B73">
        <w:rPr>
          <w:rFonts w:ascii="Calibri" w:hAnsi="Calibri"/>
          <w:color w:val="0D0D0D" w:themeColor="text1" w:themeTint="F2"/>
        </w:rPr>
        <w:t>W</w:t>
      </w:r>
      <w:r w:rsidRPr="000A3B73">
        <w:rPr>
          <w:rFonts w:ascii="Calibri" w:eastAsia="Times New Roman" w:hAnsi="Calibri" w:cs="Times New Roman"/>
          <w:color w:val="0D0D0D" w:themeColor="text1" w:themeTint="F2"/>
          <w:shd w:val="clear" w:color="auto" w:fill="FFFFFF"/>
        </w:rPr>
        <w:t xml:space="preserve">orld </w:t>
      </w:r>
      <w:r w:rsidRPr="006121F6">
        <w:rPr>
          <w:rFonts w:ascii="Calibri" w:eastAsia="Times New Roman" w:hAnsi="Calibri" w:cs="Times New Roman"/>
          <w:color w:val="0D0D0D" w:themeColor="text1" w:themeTint="F2"/>
          <w:shd w:val="clear" w:color="auto" w:fill="FFFFFF"/>
        </w:rPr>
        <w:t xml:space="preserve">Conference on Human Rights, </w:t>
      </w:r>
      <w:r w:rsidRPr="006121F6">
        <w:rPr>
          <w:rStyle w:val="Emphasis"/>
          <w:rFonts w:ascii="Calibri" w:eastAsia="Times New Roman" w:hAnsi="Calibri" w:cs="Times New Roman"/>
          <w:color w:val="0D0D0D" w:themeColor="text1" w:themeTint="F2"/>
          <w:shd w:val="clear" w:color="auto" w:fill="FFFFFF"/>
        </w:rPr>
        <w:t>Vienna Declaration and Programme of Action</w:t>
      </w:r>
      <w:r w:rsidRPr="006121F6">
        <w:rPr>
          <w:rFonts w:ascii="Calibri" w:eastAsia="Times New Roman" w:hAnsi="Calibri" w:cs="Times New Roman"/>
          <w:color w:val="0D0D0D" w:themeColor="text1" w:themeTint="F2"/>
          <w:shd w:val="clear" w:color="auto" w:fill="FFFFFF"/>
        </w:rPr>
        <w:t>, U.N. Doc. A/CONF.157/23 (July 12, 1993)</w:t>
      </w:r>
      <w:r>
        <w:rPr>
          <w:rFonts w:ascii="Calibri" w:eastAsia="Times New Roman" w:hAnsi="Calibri" w:cs="Times New Roman"/>
          <w:color w:val="0D0D0D" w:themeColor="text1" w:themeTint="F2"/>
          <w:shd w:val="clear" w:color="auto" w:fill="FFFFFF"/>
        </w:rPr>
        <w:t>. See also Aisling Swaine, ‘</w:t>
      </w:r>
      <w:r w:rsidRPr="006121F6">
        <w:rPr>
          <w:rFonts w:ascii="Calibri" w:eastAsia="Times New Roman" w:hAnsi="Calibri" w:cs="Times New Roman"/>
          <w:color w:val="0D0D0D" w:themeColor="text1" w:themeTint="F2"/>
          <w:shd w:val="clear" w:color="auto" w:fill="FFFFFF"/>
        </w:rPr>
        <w:t>Substantive New Normative Provisions on Women and Armed Conflict Concurrently Adopted by the United Nations Security C</w:t>
      </w:r>
      <w:r>
        <w:rPr>
          <w:rFonts w:ascii="Calibri" w:eastAsia="Times New Roman" w:hAnsi="Calibri" w:cs="Times New Roman"/>
          <w:color w:val="0D0D0D" w:themeColor="text1" w:themeTint="F2"/>
          <w:shd w:val="clear" w:color="auto" w:fill="FFFFFF"/>
        </w:rPr>
        <w:t xml:space="preserve">ouncil and the CEDAW Committee’, 18(5) </w:t>
      </w:r>
      <w:r w:rsidRPr="001D05E5">
        <w:rPr>
          <w:rFonts w:ascii="Calibri" w:eastAsia="Times New Roman" w:hAnsi="Calibri" w:cs="Times New Roman"/>
          <w:i/>
          <w:color w:val="0D0D0D" w:themeColor="text1" w:themeTint="F2"/>
          <w:shd w:val="clear" w:color="auto" w:fill="FFFFFF"/>
        </w:rPr>
        <w:t>AWID Insights</w:t>
      </w:r>
      <w:r>
        <w:rPr>
          <w:rFonts w:ascii="Calibri" w:eastAsia="Times New Roman" w:hAnsi="Calibri" w:cs="Times New Roman"/>
          <w:color w:val="0D0D0D" w:themeColor="text1" w:themeTint="F2"/>
          <w:shd w:val="clear" w:color="auto" w:fill="FFFFFF"/>
        </w:rPr>
        <w:t xml:space="preserve">, </w:t>
      </w:r>
      <w:r w:rsidRPr="006121F6">
        <w:rPr>
          <w:rFonts w:ascii="Calibri" w:eastAsia="Times New Roman" w:hAnsi="Calibri" w:cs="Times New Roman"/>
          <w:color w:val="0D0D0D" w:themeColor="text1" w:themeTint="F2"/>
          <w:shd w:val="clear" w:color="auto" w:fill="FFFFFF"/>
        </w:rPr>
        <w:t>18 February 2014.</w:t>
      </w:r>
      <w:r>
        <w:rPr>
          <w:rFonts w:ascii="Calibri" w:eastAsia="Times New Roman" w:hAnsi="Calibri" w:cs="Times New Roman"/>
          <w:color w:val="0D0D0D" w:themeColor="text1" w:themeTint="F2"/>
          <w:shd w:val="clear" w:color="auto" w:fill="FFFFFF"/>
        </w:rPr>
        <w:t xml:space="preserve"> </w:t>
      </w:r>
    </w:p>
  </w:footnote>
  <w:footnote w:id="26">
    <w:p w14:paraId="64D17ABA" w14:textId="4BD91BD9" w:rsidR="00D75A79" w:rsidRPr="009F4A90" w:rsidRDefault="00D75A79">
      <w:pPr>
        <w:pStyle w:val="FootnoteText"/>
        <w:rPr>
          <w:rFonts w:ascii="Calibri" w:hAnsi="Calibri"/>
        </w:rPr>
      </w:pPr>
      <w:r w:rsidRPr="009F4A90">
        <w:rPr>
          <w:rStyle w:val="FootnoteReference"/>
          <w:rFonts w:ascii="Calibri" w:hAnsi="Calibri"/>
        </w:rPr>
        <w:footnoteRef/>
      </w:r>
      <w:r w:rsidRPr="009F4A90">
        <w:rPr>
          <w:rFonts w:ascii="Calibri" w:hAnsi="Calibri"/>
        </w:rPr>
        <w:t xml:space="preserve"> UN Security Council Resolution 1325 (30 October 2000) UN Doc S/RES/1325, preparatory paragraph 6 (PP 6) (SCR 1325).</w:t>
      </w:r>
    </w:p>
  </w:footnote>
  <w:footnote w:id="27">
    <w:p w14:paraId="78DFA44A" w14:textId="4E9F914F" w:rsidR="00D75A79" w:rsidRPr="009F4A90" w:rsidRDefault="00D75A79" w:rsidP="00CC11CF">
      <w:pPr>
        <w:pStyle w:val="FootnoteText"/>
        <w:rPr>
          <w:rFonts w:ascii="Calibri" w:hAnsi="Calibri"/>
        </w:rPr>
      </w:pPr>
      <w:r w:rsidRPr="009F4A90">
        <w:rPr>
          <w:rStyle w:val="FootnoteReference"/>
          <w:rFonts w:ascii="Calibri" w:hAnsi="Calibri"/>
        </w:rPr>
        <w:footnoteRef/>
      </w:r>
      <w:r w:rsidRPr="009F4A90">
        <w:rPr>
          <w:rFonts w:ascii="Calibri" w:hAnsi="Calibri"/>
        </w:rPr>
        <w:t xml:space="preserve"> SCR 1325, operative paragraph 9 (OP 9).</w:t>
      </w:r>
    </w:p>
  </w:footnote>
  <w:footnote w:id="28">
    <w:p w14:paraId="65A944B7" w14:textId="38DCF8DF" w:rsidR="00D75A79" w:rsidRPr="009F4A90" w:rsidRDefault="00D75A79" w:rsidP="00445830">
      <w:pPr>
        <w:widowControl w:val="0"/>
        <w:autoSpaceDE w:val="0"/>
        <w:autoSpaceDN w:val="0"/>
        <w:adjustRightInd w:val="0"/>
        <w:jc w:val="both"/>
        <w:rPr>
          <w:rFonts w:ascii="Calibri" w:hAnsi="Calibri" w:cs="Times New Roman"/>
          <w:sz w:val="20"/>
          <w:szCs w:val="20"/>
          <w:lang w:val="en-US"/>
        </w:rPr>
      </w:pPr>
      <w:r w:rsidRPr="009F4A90">
        <w:rPr>
          <w:rStyle w:val="FootnoteReference"/>
          <w:rFonts w:ascii="Calibri" w:hAnsi="Calibri"/>
          <w:sz w:val="20"/>
          <w:szCs w:val="20"/>
        </w:rPr>
        <w:footnoteRef/>
      </w:r>
      <w:r w:rsidRPr="009F4A90">
        <w:rPr>
          <w:rFonts w:ascii="Calibri" w:hAnsi="Calibri"/>
          <w:sz w:val="20"/>
          <w:szCs w:val="20"/>
        </w:rPr>
        <w:t xml:space="preserve"> </w:t>
      </w:r>
      <w:r w:rsidRPr="009F4A90">
        <w:rPr>
          <w:rFonts w:ascii="Calibri" w:hAnsi="Calibri" w:cs="Times New Roman"/>
          <w:sz w:val="20"/>
          <w:szCs w:val="20"/>
          <w:lang w:val="en-US"/>
        </w:rPr>
        <w:t>Hilary Charlesworth and Christine Chinkin, ‘The New United Nations ‘Gender Architecture’: A Room with a</w:t>
      </w:r>
    </w:p>
    <w:p w14:paraId="29BDFAB2" w14:textId="15879679" w:rsidR="00D75A79" w:rsidRPr="009F4A90" w:rsidRDefault="00D75A79" w:rsidP="00445830">
      <w:pPr>
        <w:pStyle w:val="FootnoteText"/>
        <w:rPr>
          <w:rFonts w:ascii="Calibri" w:hAnsi="Calibri"/>
        </w:rPr>
      </w:pPr>
      <w:r w:rsidRPr="009F4A90">
        <w:rPr>
          <w:rFonts w:ascii="Calibri" w:hAnsi="Calibri" w:cs="Times New Roman"/>
        </w:rPr>
        <w:t xml:space="preserve">View?’ (2013) 17 </w:t>
      </w:r>
      <w:r w:rsidRPr="009F4A90">
        <w:rPr>
          <w:rFonts w:ascii="Calibri" w:hAnsi="Calibri" w:cs="Times New Roman"/>
          <w:i/>
        </w:rPr>
        <w:t>Max Planck Yearbook of United Nations Law</w:t>
      </w:r>
      <w:r>
        <w:rPr>
          <w:rFonts w:ascii="Calibri" w:hAnsi="Calibri" w:cs="Times New Roman"/>
        </w:rPr>
        <w:t>, pp. 1-60.</w:t>
      </w:r>
    </w:p>
  </w:footnote>
  <w:footnote w:id="29">
    <w:p w14:paraId="78474CD0" w14:textId="66A5318E" w:rsidR="00D75A79" w:rsidRPr="009F4A90" w:rsidRDefault="00D75A79" w:rsidP="00445830">
      <w:pPr>
        <w:pStyle w:val="FootnoteText"/>
        <w:rPr>
          <w:rFonts w:ascii="Calibri" w:hAnsi="Calibri"/>
        </w:rPr>
      </w:pPr>
      <w:r w:rsidRPr="009F4A90">
        <w:rPr>
          <w:rStyle w:val="FootnoteReference"/>
          <w:rFonts w:ascii="Calibri" w:hAnsi="Calibri"/>
        </w:rPr>
        <w:footnoteRef/>
      </w:r>
      <w:r w:rsidRPr="009F4A90">
        <w:rPr>
          <w:rFonts w:ascii="Calibri" w:hAnsi="Calibri"/>
        </w:rPr>
        <w:t xml:space="preserve"> </w:t>
      </w:r>
      <w:r w:rsidRPr="009F4A90">
        <w:rPr>
          <w:rFonts w:ascii="Calibri" w:eastAsia="Times New Roman" w:hAnsi="Calibri" w:cs="Arial"/>
          <w:color w:val="333333"/>
          <w:shd w:val="clear" w:color="auto" w:fill="FFFFFF"/>
        </w:rPr>
        <w:t>Byrnes, p. 53.</w:t>
      </w:r>
    </w:p>
  </w:footnote>
  <w:footnote w:id="30">
    <w:p w14:paraId="625AB2B5" w14:textId="77777777" w:rsidR="00D75A79" w:rsidRPr="009F4A90" w:rsidRDefault="00D75A79" w:rsidP="00445830">
      <w:pPr>
        <w:pStyle w:val="FootnoteText"/>
        <w:rPr>
          <w:rFonts w:ascii="Calibri" w:hAnsi="Calibri"/>
        </w:rPr>
      </w:pPr>
      <w:r w:rsidRPr="009F4A90">
        <w:rPr>
          <w:rStyle w:val="FootnoteReference"/>
          <w:rFonts w:ascii="Calibri" w:hAnsi="Calibri"/>
        </w:rPr>
        <w:footnoteRef/>
      </w:r>
      <w:r w:rsidRPr="009F4A90">
        <w:rPr>
          <w:rFonts w:ascii="Calibri" w:hAnsi="Calibri"/>
        </w:rPr>
        <w:t xml:space="preserve"> </w:t>
      </w:r>
      <w:r w:rsidRPr="009F4A90">
        <w:rPr>
          <w:rFonts w:ascii="Calibri" w:eastAsia="Times New Roman" w:hAnsi="Calibri" w:cs="Arial"/>
          <w:color w:val="333333"/>
          <w:shd w:val="clear" w:color="auto" w:fill="FFFFFF"/>
        </w:rPr>
        <w:t>Ibid.</w:t>
      </w:r>
    </w:p>
  </w:footnote>
  <w:footnote w:id="31">
    <w:p w14:paraId="4C86C05D" w14:textId="77777777" w:rsidR="00D75A79" w:rsidRDefault="00D75A79" w:rsidP="00445830">
      <w:pPr>
        <w:pStyle w:val="FootnoteText"/>
      </w:pPr>
      <w:r w:rsidRPr="009F4A90">
        <w:rPr>
          <w:rStyle w:val="FootnoteReference"/>
          <w:rFonts w:ascii="Calibri" w:hAnsi="Calibri"/>
        </w:rPr>
        <w:footnoteRef/>
      </w:r>
      <w:r w:rsidRPr="009F4A90">
        <w:rPr>
          <w:rFonts w:ascii="Calibri" w:hAnsi="Calibri"/>
        </w:rPr>
        <w:t xml:space="preserve"> </w:t>
      </w:r>
      <w:r w:rsidRPr="009F4A90">
        <w:rPr>
          <w:rFonts w:ascii="Calibri" w:eastAsia="Times New Roman" w:hAnsi="Calibri" w:cs="Arial"/>
          <w:color w:val="333333"/>
          <w:shd w:val="clear" w:color="auto" w:fill="FFFFFF"/>
        </w:rPr>
        <w:t>Ibid, p. 69.</w:t>
      </w:r>
    </w:p>
  </w:footnote>
  <w:footnote w:id="32">
    <w:p w14:paraId="1971E84D" w14:textId="73182FC6" w:rsidR="00D75A79" w:rsidRPr="00A96B6F" w:rsidRDefault="00D75A79" w:rsidP="006F09A2">
      <w:pPr>
        <w:rPr>
          <w:rFonts w:ascii="Calibri" w:eastAsia="Times New Roman" w:hAnsi="Calibri" w:cs="Times New Roman"/>
          <w:sz w:val="20"/>
          <w:szCs w:val="20"/>
        </w:rPr>
      </w:pPr>
      <w:r w:rsidRPr="00A96B6F">
        <w:rPr>
          <w:rStyle w:val="FootnoteReference"/>
          <w:rFonts w:ascii="Calibri" w:hAnsi="Calibri"/>
          <w:sz w:val="20"/>
          <w:szCs w:val="20"/>
        </w:rPr>
        <w:footnoteRef/>
      </w:r>
      <w:r w:rsidRPr="00A96B6F">
        <w:rPr>
          <w:rFonts w:ascii="Calibri" w:hAnsi="Calibri"/>
          <w:sz w:val="20"/>
          <w:szCs w:val="20"/>
        </w:rPr>
        <w:t xml:space="preserve"> SCR 1325 PP 5 and OP 1; recalling: Articles 4(1), 7 and 8 of CEDAW; paras 12, 30, 39-40 and 50(a) of CEDAW General Recommendation No. 23</w:t>
      </w:r>
      <w:r>
        <w:rPr>
          <w:rFonts w:ascii="Calibri" w:hAnsi="Calibri"/>
          <w:sz w:val="20"/>
          <w:szCs w:val="20"/>
        </w:rPr>
        <w:t>, adopted at the Sixteenth Session of the CEDAW Committee A/52/38</w:t>
      </w:r>
      <w:r w:rsidRPr="00A96B6F">
        <w:rPr>
          <w:rFonts w:ascii="Calibri" w:hAnsi="Calibri"/>
          <w:sz w:val="20"/>
          <w:szCs w:val="20"/>
        </w:rPr>
        <w:t xml:space="preserve"> (GR No. 23); paras 30, 33, 42, 44 and 46(a) of </w:t>
      </w:r>
      <w:r>
        <w:rPr>
          <w:rFonts w:ascii="Calibri" w:hAnsi="Calibri"/>
          <w:sz w:val="20"/>
          <w:szCs w:val="20"/>
        </w:rPr>
        <w:t xml:space="preserve">CEDAW </w:t>
      </w:r>
      <w:r w:rsidRPr="00A96B6F">
        <w:rPr>
          <w:rFonts w:ascii="Calibri" w:hAnsi="Calibri"/>
          <w:sz w:val="20"/>
          <w:szCs w:val="20"/>
        </w:rPr>
        <w:t>GR No. 30; Article 25 ICCPR; paras 1-8 of ICCPR General Comment No. 25 (participation in public affairs and the right to vote), adopted on 12 July 1996, CCPR/C/21/Rev.1/Add.7 (ICCPR GC No. 25); para 29 of ICCPR General Comment No. 28 (the right of equality between men and women) adopted on 19 March 2000, HRI/GEN/1/Rev.9/Vol.1 (</w:t>
      </w:r>
      <w:r>
        <w:rPr>
          <w:rFonts w:ascii="Calibri" w:hAnsi="Calibri"/>
          <w:sz w:val="20"/>
          <w:szCs w:val="20"/>
        </w:rPr>
        <w:t>ICCPR</w:t>
      </w:r>
      <w:r w:rsidRPr="00A96B6F">
        <w:rPr>
          <w:rFonts w:ascii="Calibri" w:hAnsi="Calibri"/>
          <w:sz w:val="20"/>
          <w:szCs w:val="20"/>
        </w:rPr>
        <w:t xml:space="preserve">GC No. 28).  </w:t>
      </w:r>
    </w:p>
  </w:footnote>
  <w:footnote w:id="33">
    <w:p w14:paraId="55411585" w14:textId="379B976C" w:rsidR="00D75A79" w:rsidRPr="00633386" w:rsidRDefault="00D75A79" w:rsidP="00B42DB6">
      <w:pPr>
        <w:pStyle w:val="FootnoteText"/>
        <w:rPr>
          <w:rFonts w:ascii="Calibri" w:hAnsi="Calibri"/>
        </w:rPr>
      </w:pPr>
      <w:r w:rsidRPr="00A96B6F">
        <w:rPr>
          <w:rStyle w:val="FootnoteReference"/>
          <w:rFonts w:ascii="Calibri" w:hAnsi="Calibri"/>
        </w:rPr>
        <w:footnoteRef/>
      </w:r>
      <w:r w:rsidRPr="00A96B6F">
        <w:rPr>
          <w:rFonts w:ascii="Calibri" w:hAnsi="Calibri"/>
        </w:rPr>
        <w:t xml:space="preserve"> SCR 1325 PP 11 and OPs 17 and 18; Article 18 of CEDAW, all of CEDAW GRs No. 2, 9 and 12; paras 4 and 24(c) of CEDAW GR No. 19; </w:t>
      </w:r>
      <w:r>
        <w:rPr>
          <w:rFonts w:ascii="Calibri" w:hAnsi="Calibri"/>
        </w:rPr>
        <w:t xml:space="preserve">and </w:t>
      </w:r>
      <w:r w:rsidRPr="00A96B6F">
        <w:rPr>
          <w:rFonts w:ascii="Calibri" w:hAnsi="Calibri"/>
        </w:rPr>
        <w:t>para</w:t>
      </w:r>
      <w:r>
        <w:rPr>
          <w:rFonts w:ascii="Calibri" w:hAnsi="Calibri"/>
        </w:rPr>
        <w:t xml:space="preserve"> 38(d) of the CEDAW GR. No. 30. S</w:t>
      </w:r>
      <w:r w:rsidRPr="00A96B6F">
        <w:rPr>
          <w:rFonts w:ascii="Calibri" w:hAnsi="Calibri"/>
        </w:rPr>
        <w:t>ee CEDAW and SCR 1325 Quick Guide, p. 12.</w:t>
      </w:r>
      <w:r w:rsidRPr="00633386">
        <w:rPr>
          <w:rFonts w:ascii="Calibri" w:hAnsi="Calibri"/>
        </w:rPr>
        <w:t xml:space="preserve"> </w:t>
      </w:r>
    </w:p>
  </w:footnote>
  <w:footnote w:id="34">
    <w:p w14:paraId="06CC7FF7" w14:textId="5150F783" w:rsidR="00D75A79" w:rsidRPr="00ED7691" w:rsidRDefault="00D75A79" w:rsidP="00B42DB6">
      <w:pPr>
        <w:pStyle w:val="FootnoteText"/>
        <w:rPr>
          <w:rFonts w:ascii="Calibri" w:hAnsi="Calibri"/>
        </w:rPr>
      </w:pPr>
      <w:r w:rsidRPr="00ED7691">
        <w:rPr>
          <w:rStyle w:val="FootnoteReference"/>
          <w:rFonts w:ascii="Calibri" w:hAnsi="Calibri"/>
        </w:rPr>
        <w:footnoteRef/>
      </w:r>
      <w:r w:rsidRPr="00ED7691">
        <w:rPr>
          <w:rFonts w:ascii="Calibri" w:hAnsi="Calibri"/>
        </w:rPr>
        <w:t xml:space="preserve"> SCR 1325 OP1; para 50(a) of </w:t>
      </w:r>
      <w:r>
        <w:rPr>
          <w:rFonts w:ascii="Calibri" w:hAnsi="Calibri"/>
        </w:rPr>
        <w:t xml:space="preserve">the CEDAW </w:t>
      </w:r>
      <w:r w:rsidRPr="00ED7691">
        <w:rPr>
          <w:rFonts w:ascii="Calibri" w:hAnsi="Calibri"/>
        </w:rPr>
        <w:t xml:space="preserve">GR No. 23; para 46 (b) of </w:t>
      </w:r>
      <w:r>
        <w:rPr>
          <w:rFonts w:ascii="Calibri" w:hAnsi="Calibri"/>
        </w:rPr>
        <w:t>the CEDAW GR No. 30; para 29 of GC No. 28. S</w:t>
      </w:r>
      <w:r w:rsidRPr="00ED7691">
        <w:rPr>
          <w:rFonts w:ascii="Calibri" w:hAnsi="Calibri"/>
        </w:rPr>
        <w:t xml:space="preserve">ee CEDAW and SCR 1325 Quick Guide, p. 30. </w:t>
      </w:r>
    </w:p>
  </w:footnote>
  <w:footnote w:id="35">
    <w:p w14:paraId="0FC9D57B" w14:textId="738D987D" w:rsidR="00D75A79" w:rsidRPr="00ED7691" w:rsidRDefault="00D75A79" w:rsidP="00B42DB6">
      <w:pPr>
        <w:pStyle w:val="FootnoteText"/>
        <w:rPr>
          <w:rFonts w:ascii="Calibri" w:hAnsi="Calibri"/>
        </w:rPr>
      </w:pPr>
      <w:r w:rsidRPr="00ED7691">
        <w:rPr>
          <w:rStyle w:val="FootnoteReference"/>
          <w:rFonts w:ascii="Calibri" w:hAnsi="Calibri"/>
        </w:rPr>
        <w:footnoteRef/>
      </w:r>
      <w:r w:rsidRPr="00ED7691">
        <w:rPr>
          <w:rFonts w:ascii="Calibri" w:hAnsi="Calibri"/>
        </w:rPr>
        <w:t xml:space="preserve"> SCR 1325 OP 2; para 40, GR No. 23</w:t>
      </w:r>
      <w:r>
        <w:rPr>
          <w:rFonts w:ascii="Calibri" w:hAnsi="Calibri"/>
        </w:rPr>
        <w:t xml:space="preserve">; Article 8 of United Nations, </w:t>
      </w:r>
      <w:r w:rsidRPr="00ED7691">
        <w:rPr>
          <w:rFonts w:ascii="Calibri" w:hAnsi="Calibri"/>
        </w:rPr>
        <w:t xml:space="preserve">Charter of the United Nations (signed 26 June 1945, entered into force 24 October 1945) 1 UNTS 16; and above </w:t>
      </w:r>
      <w:r>
        <w:rPr>
          <w:rFonts w:ascii="Calibri" w:hAnsi="Calibri"/>
        </w:rPr>
        <w:t>n32</w:t>
      </w:r>
      <w:r w:rsidRPr="00ED7691">
        <w:rPr>
          <w:rFonts w:ascii="Calibri" w:hAnsi="Calibri"/>
        </w:rPr>
        <w:t xml:space="preserve">. </w:t>
      </w:r>
    </w:p>
  </w:footnote>
  <w:footnote w:id="36">
    <w:p w14:paraId="741D0E6D" w14:textId="0DE36710" w:rsidR="00D75A79" w:rsidRDefault="00D75A79">
      <w:pPr>
        <w:pStyle w:val="FootnoteText"/>
      </w:pPr>
      <w:r w:rsidRPr="00ED7691">
        <w:rPr>
          <w:rStyle w:val="FootnoteReference"/>
          <w:rFonts w:ascii="Calibri" w:hAnsi="Calibri"/>
        </w:rPr>
        <w:footnoteRef/>
      </w:r>
      <w:r w:rsidRPr="00ED7691">
        <w:rPr>
          <w:rFonts w:ascii="Calibri" w:hAnsi="Calibri"/>
        </w:rPr>
        <w:t xml:space="preserve"> SCR 1325 OPs 4 and 5; p</w:t>
      </w:r>
      <w:r>
        <w:rPr>
          <w:rFonts w:ascii="Calibri" w:hAnsi="Calibri"/>
        </w:rPr>
        <w:t>ara 49</w:t>
      </w:r>
      <w:r w:rsidRPr="00ED7691">
        <w:rPr>
          <w:rFonts w:ascii="Calibri" w:hAnsi="Calibri"/>
        </w:rPr>
        <w:t xml:space="preserve"> </w:t>
      </w:r>
      <w:r>
        <w:rPr>
          <w:rFonts w:ascii="Calibri" w:hAnsi="Calibri"/>
        </w:rPr>
        <w:t xml:space="preserve">of the CEDAW </w:t>
      </w:r>
      <w:r w:rsidRPr="00ED7691">
        <w:rPr>
          <w:rFonts w:ascii="Calibri" w:hAnsi="Calibri"/>
        </w:rPr>
        <w:t>GR No. 23</w:t>
      </w:r>
      <w:r>
        <w:rPr>
          <w:rFonts w:ascii="Calibri" w:hAnsi="Calibri"/>
        </w:rPr>
        <w:t>;</w:t>
      </w:r>
      <w:r w:rsidRPr="00ED7691">
        <w:rPr>
          <w:rFonts w:ascii="Calibri" w:hAnsi="Calibri"/>
        </w:rPr>
        <w:t xml:space="preserve"> para 42 of </w:t>
      </w:r>
      <w:r>
        <w:rPr>
          <w:rFonts w:ascii="Calibri" w:hAnsi="Calibri"/>
        </w:rPr>
        <w:t xml:space="preserve">the CEDAW </w:t>
      </w:r>
      <w:r w:rsidRPr="00ED7691">
        <w:rPr>
          <w:rFonts w:ascii="Calibri" w:hAnsi="Calibri"/>
        </w:rPr>
        <w:t xml:space="preserve">GR No. 30 which reiterates this provision, and </w:t>
      </w:r>
      <w:r>
        <w:rPr>
          <w:rFonts w:ascii="Calibri" w:hAnsi="Calibri"/>
        </w:rPr>
        <w:t>above n32</w:t>
      </w:r>
      <w:r w:rsidRPr="00ED7691">
        <w:rPr>
          <w:rFonts w:ascii="Calibri" w:hAnsi="Calibri"/>
        </w:rPr>
        <w:t>.</w:t>
      </w:r>
    </w:p>
  </w:footnote>
  <w:footnote w:id="37">
    <w:p w14:paraId="5AF3F39D" w14:textId="79A8D2BA" w:rsidR="00D75A79" w:rsidRPr="0056786F" w:rsidRDefault="00D75A79" w:rsidP="006E35CE">
      <w:pPr>
        <w:jc w:val="both"/>
        <w:rPr>
          <w:rFonts w:ascii="Times" w:eastAsia="Times New Roman" w:hAnsi="Times" w:cs="Times New Roman"/>
          <w:sz w:val="20"/>
          <w:szCs w:val="20"/>
        </w:rPr>
      </w:pPr>
      <w:r w:rsidRPr="0056786F">
        <w:rPr>
          <w:rStyle w:val="FootnoteReference"/>
          <w:rFonts w:ascii="Calibri" w:hAnsi="Calibri"/>
          <w:sz w:val="20"/>
          <w:szCs w:val="20"/>
        </w:rPr>
        <w:footnoteRef/>
      </w:r>
      <w:r w:rsidRPr="0056786F">
        <w:rPr>
          <w:rFonts w:ascii="Calibri" w:hAnsi="Calibri"/>
          <w:sz w:val="20"/>
          <w:szCs w:val="20"/>
        </w:rPr>
        <w:t xml:space="preserve"> Paras 46</w:t>
      </w:r>
      <w:r>
        <w:rPr>
          <w:rFonts w:ascii="Calibri" w:hAnsi="Calibri"/>
          <w:sz w:val="20"/>
          <w:szCs w:val="20"/>
        </w:rPr>
        <w:t xml:space="preserve"> (c)-</w:t>
      </w:r>
      <w:r w:rsidRPr="0056786F">
        <w:rPr>
          <w:rFonts w:ascii="Calibri" w:hAnsi="Calibri"/>
          <w:sz w:val="20"/>
          <w:szCs w:val="20"/>
        </w:rPr>
        <w:t>(d) and 47 (a)</w:t>
      </w:r>
      <w:r>
        <w:rPr>
          <w:rFonts w:ascii="Calibri" w:hAnsi="Calibri"/>
          <w:sz w:val="20"/>
          <w:szCs w:val="20"/>
        </w:rPr>
        <w:t>-</w:t>
      </w:r>
      <w:r w:rsidRPr="0056786F">
        <w:rPr>
          <w:rFonts w:ascii="Calibri" w:hAnsi="Calibri"/>
          <w:sz w:val="20"/>
          <w:szCs w:val="20"/>
        </w:rPr>
        <w:t>(b) of CEDAW GR No. 30</w:t>
      </w:r>
      <w:r>
        <w:rPr>
          <w:rFonts w:ascii="Calibri" w:hAnsi="Calibri"/>
          <w:color w:val="0D0D0D" w:themeColor="text1" w:themeTint="F2"/>
          <w:sz w:val="20"/>
          <w:szCs w:val="20"/>
        </w:rPr>
        <w:t>;</w:t>
      </w:r>
      <w:r w:rsidRPr="00875FEE">
        <w:rPr>
          <w:rFonts w:ascii="Calibri" w:hAnsi="Calibri"/>
          <w:color w:val="0D0D0D" w:themeColor="text1" w:themeTint="F2"/>
          <w:sz w:val="20"/>
          <w:szCs w:val="20"/>
        </w:rPr>
        <w:t xml:space="preserve"> Article 40 of the UN Declaration on the Rights of Indigenous Peoples</w:t>
      </w:r>
      <w:r>
        <w:rPr>
          <w:rFonts w:ascii="Calibri" w:hAnsi="Calibri"/>
          <w:color w:val="0D0D0D" w:themeColor="text1" w:themeTint="F2"/>
          <w:sz w:val="20"/>
          <w:szCs w:val="20"/>
        </w:rPr>
        <w:t xml:space="preserve">, resolution adopted by the UN General Assembly, </w:t>
      </w:r>
      <w:r w:rsidRPr="00875FEE">
        <w:rPr>
          <w:rFonts w:ascii="Calibri" w:eastAsia="Times New Roman" w:hAnsi="Calibri" w:cs="Times New Roman"/>
          <w:color w:val="0D0D0D" w:themeColor="text1" w:themeTint="F2"/>
          <w:sz w:val="20"/>
          <w:szCs w:val="20"/>
        </w:rPr>
        <w:t>2 October 2007, A/RES/61/295.</w:t>
      </w:r>
    </w:p>
  </w:footnote>
  <w:footnote w:id="38">
    <w:p w14:paraId="0E3F80E8" w14:textId="1BC161D3" w:rsidR="00D75A79" w:rsidRPr="00875FEE" w:rsidRDefault="00D75A79" w:rsidP="00BE7662">
      <w:pPr>
        <w:pStyle w:val="FootnoteText"/>
        <w:jc w:val="left"/>
        <w:rPr>
          <w:rFonts w:ascii="Calibri" w:hAnsi="Calibri"/>
        </w:rPr>
      </w:pPr>
      <w:r w:rsidRPr="00875FEE">
        <w:rPr>
          <w:rStyle w:val="FootnoteReference"/>
          <w:rFonts w:ascii="Calibri" w:hAnsi="Calibri"/>
        </w:rPr>
        <w:footnoteRef/>
      </w:r>
      <w:r w:rsidRPr="00875FEE">
        <w:rPr>
          <w:rFonts w:ascii="Calibri" w:hAnsi="Calibri"/>
        </w:rPr>
        <w:t xml:space="preserve"> SCR 1325 O</w:t>
      </w:r>
      <w:r>
        <w:rPr>
          <w:rFonts w:ascii="Calibri" w:hAnsi="Calibri"/>
        </w:rPr>
        <w:t xml:space="preserve">P 8(c); Articles 1-5(a), 7 and 15 of CEDAW; para 11 CEDAW GR No. 28; paras 70-73 of CEDAW GR No. 30, and see above n32. See also the International Committee of the Red Cross (ICRC) Customary IHL Database, Chapter 39. Other Persons Afforded Specific Protection, available from: </w:t>
      </w:r>
      <w:r w:rsidRPr="00817818">
        <w:rPr>
          <w:rFonts w:ascii="Calibri" w:hAnsi="Calibri"/>
        </w:rPr>
        <w:t>https://www.icrc.org/customary-ihl/eng/docs/v1_cha_chapter39</w:t>
      </w:r>
      <w:r>
        <w:rPr>
          <w:rFonts w:ascii="Calibri" w:hAnsi="Calibri"/>
        </w:rPr>
        <w:t xml:space="preserve">. </w:t>
      </w:r>
    </w:p>
  </w:footnote>
  <w:footnote w:id="39">
    <w:p w14:paraId="2991B467" w14:textId="45DA38F9" w:rsidR="00D75A79" w:rsidRDefault="00D75A79" w:rsidP="006E35CE">
      <w:pPr>
        <w:pStyle w:val="FootnoteText"/>
      </w:pPr>
      <w:r w:rsidRPr="00D210B7">
        <w:rPr>
          <w:rStyle w:val="FootnoteReference"/>
          <w:rFonts w:ascii="Calibri" w:hAnsi="Calibri"/>
        </w:rPr>
        <w:footnoteRef/>
      </w:r>
      <w:r w:rsidRPr="00D210B7">
        <w:rPr>
          <w:rFonts w:ascii="Calibri" w:hAnsi="Calibri"/>
        </w:rPr>
        <w:t xml:space="preserve"> </w:t>
      </w:r>
      <w:r>
        <w:rPr>
          <w:rFonts w:ascii="Calibri" w:hAnsi="Calibri"/>
        </w:rPr>
        <w:t xml:space="preserve">SCR 1325 OPs 6 and 7; Articles 1-4(1), 5(a) and 6 of CEDAW; all of the CEDAW GR No. 15; and para 31(b) of the CEDAW GR No. 24.  </w:t>
      </w:r>
    </w:p>
  </w:footnote>
  <w:footnote w:id="40">
    <w:p w14:paraId="7F180C04" w14:textId="46B71ECA" w:rsidR="00D75A79" w:rsidRPr="00361A2D" w:rsidRDefault="00D75A79" w:rsidP="006E35CE">
      <w:pPr>
        <w:pStyle w:val="FootnoteText"/>
        <w:rPr>
          <w:rFonts w:ascii="Calibri" w:hAnsi="Calibri"/>
        </w:rPr>
      </w:pPr>
      <w:r w:rsidRPr="00875FEE">
        <w:rPr>
          <w:rStyle w:val="FootnoteReference"/>
          <w:rFonts w:ascii="Calibri" w:hAnsi="Calibri"/>
        </w:rPr>
        <w:footnoteRef/>
      </w:r>
      <w:r w:rsidRPr="00875FEE">
        <w:rPr>
          <w:rFonts w:ascii="Calibri" w:hAnsi="Calibri"/>
        </w:rPr>
        <w:t xml:space="preserve"> SCR 1325 </w:t>
      </w:r>
      <w:r>
        <w:rPr>
          <w:rFonts w:ascii="Calibri" w:hAnsi="Calibri"/>
        </w:rPr>
        <w:t>OP</w:t>
      </w:r>
      <w:r w:rsidRPr="00875FEE">
        <w:rPr>
          <w:rFonts w:ascii="Calibri" w:hAnsi="Calibri"/>
        </w:rPr>
        <w:t xml:space="preserve"> 10, </w:t>
      </w:r>
      <w:r>
        <w:rPr>
          <w:rFonts w:ascii="Calibri" w:hAnsi="Calibri"/>
        </w:rPr>
        <w:t xml:space="preserve">Articles 1-4(1), 5(a) and 6 of CEDAW, Article 34 of the CRC, paras 72(g) and 76 of the Committee on the Rights of the Child General Comment No. 13 (children’s right to freedom from all forms of violence) (2011) (CRC GC No. 18); </w:t>
      </w:r>
      <w:r w:rsidRPr="00875FEE">
        <w:rPr>
          <w:rFonts w:ascii="Calibri" w:hAnsi="Calibri"/>
        </w:rPr>
        <w:t>paras 6-7</w:t>
      </w:r>
      <w:r>
        <w:rPr>
          <w:rFonts w:ascii="Calibri" w:hAnsi="Calibri"/>
        </w:rPr>
        <w:t>, 15-16 and 23</w:t>
      </w:r>
      <w:r w:rsidRPr="00875FEE">
        <w:rPr>
          <w:rFonts w:ascii="Calibri" w:hAnsi="Calibri"/>
        </w:rPr>
        <w:t xml:space="preserve"> of </w:t>
      </w:r>
      <w:r>
        <w:rPr>
          <w:rFonts w:ascii="Calibri" w:hAnsi="Calibri"/>
        </w:rPr>
        <w:t xml:space="preserve">the CEDAW GR No 19; paras  33 (c), </w:t>
      </w:r>
      <w:r w:rsidRPr="00875FEE">
        <w:rPr>
          <w:rFonts w:ascii="Calibri" w:hAnsi="Calibri"/>
        </w:rPr>
        <w:t xml:space="preserve">38, 50, 52-54, 57(d)-(g), 67, 73(f), 78, 81(c), (j) and(k) of </w:t>
      </w:r>
      <w:r>
        <w:rPr>
          <w:rFonts w:ascii="Calibri" w:hAnsi="Calibri"/>
        </w:rPr>
        <w:t>the CEDAW GR N</w:t>
      </w:r>
      <w:r w:rsidRPr="00875FEE">
        <w:rPr>
          <w:rFonts w:ascii="Calibri" w:hAnsi="Calibri"/>
        </w:rPr>
        <w:t>o. 30.</w:t>
      </w:r>
      <w:r>
        <w:rPr>
          <w:rFonts w:ascii="Calibri" w:hAnsi="Calibri"/>
        </w:rPr>
        <w:t xml:space="preserve"> </w:t>
      </w:r>
    </w:p>
  </w:footnote>
  <w:footnote w:id="41">
    <w:p w14:paraId="39807A56" w14:textId="31A2EEE5" w:rsidR="00D75A79" w:rsidRPr="00F01120" w:rsidRDefault="00D75A79" w:rsidP="00B42DB6">
      <w:pPr>
        <w:pStyle w:val="FootnoteText"/>
        <w:rPr>
          <w:rFonts w:ascii="Calibri" w:hAnsi="Calibri"/>
        </w:rPr>
      </w:pPr>
      <w:r w:rsidRPr="00F01120">
        <w:rPr>
          <w:rStyle w:val="FootnoteReference"/>
          <w:rFonts w:ascii="Calibri" w:hAnsi="Calibri"/>
        </w:rPr>
        <w:footnoteRef/>
      </w:r>
      <w:r w:rsidRPr="00F01120">
        <w:rPr>
          <w:rFonts w:ascii="Calibri" w:hAnsi="Calibri"/>
        </w:rPr>
        <w:t xml:space="preserve"> SCR 1325 OP 11</w:t>
      </w:r>
      <w:r>
        <w:rPr>
          <w:rFonts w:ascii="Calibri" w:hAnsi="Calibri"/>
        </w:rPr>
        <w:t xml:space="preserve">; </w:t>
      </w:r>
      <w:r w:rsidRPr="00F01120">
        <w:rPr>
          <w:rFonts w:ascii="Calibri" w:hAnsi="Calibri"/>
        </w:rPr>
        <w:t>Preamble, Articles 7(g)</w:t>
      </w:r>
      <w:r>
        <w:rPr>
          <w:rFonts w:ascii="Calibri" w:hAnsi="Calibri"/>
        </w:rPr>
        <w:t>,</w:t>
      </w:r>
      <w:r w:rsidRPr="00F01120">
        <w:rPr>
          <w:rFonts w:ascii="Calibri" w:hAnsi="Calibri"/>
        </w:rPr>
        <w:t xml:space="preserve"> 8</w:t>
      </w:r>
      <w:r>
        <w:rPr>
          <w:rFonts w:ascii="Calibri" w:hAnsi="Calibri"/>
        </w:rPr>
        <w:t>(2)</w:t>
      </w:r>
      <w:r w:rsidRPr="00F01120">
        <w:rPr>
          <w:rFonts w:ascii="Calibri" w:hAnsi="Calibri"/>
        </w:rPr>
        <w:t>(b)(xxii)</w:t>
      </w:r>
      <w:r>
        <w:rPr>
          <w:rFonts w:ascii="Calibri" w:hAnsi="Calibri"/>
        </w:rPr>
        <w:t xml:space="preserve"> of the Rome Statute; Common Article 3, Geneva Conventions; Article 14(1) Third Geneva Convention; Article 27(2) Fourth Geneva Convention; Article 75(2) Additional Protocol I; Article 4(2) Additional Protocol II; Article 4(e) of the Statute for the International Criminal Tribunal for Rwanda; Article 3(e) of the Statute of the Special Court for Sierra Leone;  see the section on “access to justice” in the CEDAW GR No. 30. See also ICRC Customary IHL Database, “Rule 93. Rape and Other forms of Sexual Violence”, available from: </w:t>
      </w:r>
      <w:r w:rsidRPr="00F01120">
        <w:rPr>
          <w:rFonts w:ascii="Calibri" w:hAnsi="Calibri"/>
        </w:rPr>
        <w:t>https://www.icrc.org/customary-ihl/eng/docs/v1_cha_chapter32_rule93#Fn_17_4</w:t>
      </w:r>
      <w:r>
        <w:rPr>
          <w:rFonts w:ascii="Calibri" w:hAnsi="Calibri"/>
        </w:rPr>
        <w:t>.</w:t>
      </w:r>
    </w:p>
  </w:footnote>
  <w:footnote w:id="42">
    <w:p w14:paraId="756B2A6A" w14:textId="14B0BDEC" w:rsidR="00D75A79" w:rsidRPr="00101133" w:rsidRDefault="00D75A79" w:rsidP="006E35CE">
      <w:pPr>
        <w:pStyle w:val="FootnoteText"/>
        <w:rPr>
          <w:rFonts w:ascii="Calibri" w:hAnsi="Calibri"/>
        </w:rPr>
      </w:pPr>
      <w:r w:rsidRPr="00101133">
        <w:rPr>
          <w:rStyle w:val="FootnoteReference"/>
          <w:rFonts w:ascii="Calibri" w:hAnsi="Calibri"/>
        </w:rPr>
        <w:footnoteRef/>
      </w:r>
      <w:r w:rsidRPr="00101133">
        <w:rPr>
          <w:rFonts w:ascii="Calibri" w:hAnsi="Calibri"/>
        </w:rPr>
        <w:t xml:space="preserve"> </w:t>
      </w:r>
      <w:r>
        <w:rPr>
          <w:rFonts w:ascii="Calibri" w:hAnsi="Calibri"/>
        </w:rPr>
        <w:t xml:space="preserve">SCR 1325 OP 12; Article 78, Additional Protocol I; Article 22, African Charter on the Rights and Welfare of the Child; Article 23, CRC; Article 9, </w:t>
      </w:r>
      <w:r w:rsidRPr="0058203B">
        <w:rPr>
          <w:rFonts w:ascii="Calibri" w:hAnsi="Calibri" w:cs="Times New Roman"/>
        </w:rPr>
        <w:t>Belém do Pará</w:t>
      </w:r>
      <w:r>
        <w:rPr>
          <w:rFonts w:ascii="Calibri" w:hAnsi="Calibri"/>
        </w:rPr>
        <w:t xml:space="preserve">; See ICRC Customary IHL Database, “Rule 131. Treatment of Displaced Persons”, available from: </w:t>
      </w:r>
      <w:r w:rsidRPr="00880D6D">
        <w:rPr>
          <w:rFonts w:ascii="Calibri" w:hAnsi="Calibri"/>
        </w:rPr>
        <w:t>https://www.icrc.org/customary-ihl/eng/docs/v1_cha_chapter38_rule131#Fn_6_23</w:t>
      </w:r>
      <w:r>
        <w:rPr>
          <w:rFonts w:ascii="Calibri" w:hAnsi="Calibri"/>
        </w:rPr>
        <w:t xml:space="preserve">; see also Articles 1-3 and 15 of CEDAW; </w:t>
      </w:r>
      <w:r w:rsidRPr="00101133">
        <w:rPr>
          <w:rFonts w:ascii="Calibri" w:hAnsi="Calibri"/>
        </w:rPr>
        <w:t>para</w:t>
      </w:r>
      <w:r>
        <w:rPr>
          <w:rFonts w:ascii="Calibri" w:hAnsi="Calibri"/>
        </w:rPr>
        <w:t>s</w:t>
      </w:r>
      <w:r w:rsidRPr="00101133">
        <w:rPr>
          <w:rFonts w:ascii="Calibri" w:hAnsi="Calibri"/>
        </w:rPr>
        <w:t xml:space="preserve"> 54 </w:t>
      </w:r>
      <w:r>
        <w:rPr>
          <w:rFonts w:ascii="Calibri" w:hAnsi="Calibri"/>
        </w:rPr>
        <w:t>and 57 of CEDAW GR No. 30.</w:t>
      </w:r>
    </w:p>
  </w:footnote>
  <w:footnote w:id="43">
    <w:p w14:paraId="44EAB7F5" w14:textId="18B3E4A7" w:rsidR="00D75A79" w:rsidRPr="00880D6D" w:rsidRDefault="00D75A79" w:rsidP="002D2D72">
      <w:pPr>
        <w:pStyle w:val="FootnoteText"/>
        <w:jc w:val="left"/>
        <w:rPr>
          <w:rFonts w:ascii="Calibri" w:hAnsi="Calibri"/>
        </w:rPr>
      </w:pPr>
      <w:r w:rsidRPr="00880D6D">
        <w:rPr>
          <w:rStyle w:val="FootnoteReference"/>
          <w:rFonts w:ascii="Calibri" w:hAnsi="Calibri"/>
        </w:rPr>
        <w:footnoteRef/>
      </w:r>
      <w:r w:rsidRPr="00880D6D">
        <w:rPr>
          <w:rFonts w:ascii="Calibri" w:hAnsi="Calibri"/>
        </w:rPr>
        <w:t xml:space="preserve"> </w:t>
      </w:r>
      <w:r>
        <w:rPr>
          <w:rFonts w:ascii="Calibri" w:hAnsi="Calibri"/>
        </w:rPr>
        <w:t xml:space="preserve">SCR 1325, OP 13, Articles 1-4(1), 5(a) and 6 of CEDAW; para 69 of the CEDAW GR No. 30; Article 39 of the CRC; Articles 6 and 7 of the Optional Protocol on the Involvement of Children in Armed Conflicts; Principle B(2) Refugee Convention 1951. See ICRC Customary IHL Database, “Practice Relating to Rule 135. Children. Section E: Rehabilitation and Reintegration of former child soldiers, available from: </w:t>
      </w:r>
      <w:r w:rsidRPr="00612C55">
        <w:rPr>
          <w:rFonts w:ascii="Calibri" w:hAnsi="Calibri"/>
        </w:rPr>
        <w:t>https://www.icrc.org/customary-ihl/eng/docs/v2_rul_rule135_sectione</w:t>
      </w:r>
      <w:r>
        <w:rPr>
          <w:rFonts w:ascii="Calibri" w:hAnsi="Calibri"/>
        </w:rPr>
        <w:t>.</w:t>
      </w:r>
    </w:p>
  </w:footnote>
  <w:footnote w:id="44">
    <w:p w14:paraId="3B6D542A" w14:textId="466E3849" w:rsidR="00D75A79" w:rsidRPr="004222CA" w:rsidRDefault="00D75A79" w:rsidP="006251E3">
      <w:pPr>
        <w:pStyle w:val="FootnoteText"/>
        <w:rPr>
          <w:rFonts w:ascii="Calibri" w:hAnsi="Calibri"/>
        </w:rPr>
      </w:pPr>
      <w:r w:rsidRPr="004222CA">
        <w:rPr>
          <w:rStyle w:val="FootnoteReference"/>
          <w:rFonts w:ascii="Calibri" w:hAnsi="Calibri"/>
        </w:rPr>
        <w:footnoteRef/>
      </w:r>
      <w:r>
        <w:rPr>
          <w:rFonts w:ascii="Calibri" w:hAnsi="Calibri"/>
        </w:rPr>
        <w:t xml:space="preserve"> Savitri W.E. Goonesekere, ‘</w:t>
      </w:r>
      <w:r w:rsidRPr="004222CA">
        <w:rPr>
          <w:rFonts w:ascii="Calibri" w:hAnsi="Calibri"/>
        </w:rPr>
        <w:t>Ar</w:t>
      </w:r>
      <w:r>
        <w:rPr>
          <w:rFonts w:ascii="Calibri" w:hAnsi="Calibri"/>
        </w:rPr>
        <w:t>ticle 15’</w:t>
      </w:r>
      <w:r w:rsidRPr="004222CA">
        <w:rPr>
          <w:rFonts w:ascii="Calibri" w:hAnsi="Calibri"/>
        </w:rPr>
        <w:t xml:space="preserve"> in </w:t>
      </w:r>
      <w:r>
        <w:rPr>
          <w:rFonts w:ascii="Calibri" w:hAnsi="Calibri"/>
        </w:rPr>
        <w:t>CEDAW Commentary</w:t>
      </w:r>
      <w:r w:rsidRPr="004222CA">
        <w:rPr>
          <w:rFonts w:ascii="Calibri" w:hAnsi="Calibri"/>
        </w:rPr>
        <w:t xml:space="preserve">, </w:t>
      </w:r>
      <w:r>
        <w:rPr>
          <w:rFonts w:ascii="Calibri" w:hAnsi="Calibri"/>
        </w:rPr>
        <w:t xml:space="preserve">pp. 387-408, </w:t>
      </w:r>
      <w:r w:rsidRPr="004222CA">
        <w:rPr>
          <w:rFonts w:ascii="Calibri" w:hAnsi="Calibri"/>
        </w:rPr>
        <w:t xml:space="preserve">p. 401. </w:t>
      </w:r>
    </w:p>
  </w:footnote>
  <w:footnote w:id="45">
    <w:p w14:paraId="4A79A6BA" w14:textId="2FC59136" w:rsidR="00D75A79" w:rsidRPr="004222CA" w:rsidRDefault="00D75A79" w:rsidP="00C225C7">
      <w:pPr>
        <w:pStyle w:val="FootnoteText"/>
        <w:rPr>
          <w:rFonts w:ascii="Calibri" w:hAnsi="Calibri"/>
        </w:rPr>
      </w:pPr>
      <w:r w:rsidRPr="004222CA">
        <w:rPr>
          <w:rStyle w:val="FootnoteReference"/>
          <w:rFonts w:ascii="Calibri" w:hAnsi="Calibri"/>
        </w:rPr>
        <w:footnoteRef/>
      </w:r>
      <w:r w:rsidRPr="004222CA">
        <w:rPr>
          <w:rFonts w:ascii="Calibri" w:hAnsi="Calibri"/>
        </w:rPr>
        <w:t xml:space="preserve"> SCR 1820, OP4; SCR 1888, OP 6; SCR 1889, OP 10; SCR 1960, PP 15; SCR 2106, OP 2; SCR 2122, OP 10. </w:t>
      </w:r>
    </w:p>
  </w:footnote>
  <w:footnote w:id="46">
    <w:p w14:paraId="3608A83E" w14:textId="6E12C0CA" w:rsidR="00D75A79" w:rsidRPr="004222CA" w:rsidRDefault="00D75A79" w:rsidP="00551F8F">
      <w:pPr>
        <w:pStyle w:val="FootnoteText"/>
        <w:rPr>
          <w:rFonts w:ascii="Calibri" w:hAnsi="Calibri"/>
        </w:rPr>
      </w:pPr>
      <w:r w:rsidRPr="004222CA">
        <w:rPr>
          <w:rStyle w:val="FootnoteReference"/>
          <w:rFonts w:ascii="Calibri" w:hAnsi="Calibri"/>
        </w:rPr>
        <w:footnoteRef/>
      </w:r>
      <w:r w:rsidRPr="004222CA">
        <w:rPr>
          <w:rFonts w:ascii="Calibri" w:hAnsi="Calibri"/>
        </w:rPr>
        <w:t xml:space="preserve"> See paras 74-80, CEDAW GR No. 30.  </w:t>
      </w:r>
    </w:p>
  </w:footnote>
  <w:footnote w:id="47">
    <w:p w14:paraId="6AB5BF59" w14:textId="5F4F38D7" w:rsidR="00D75A79" w:rsidRPr="004222CA" w:rsidRDefault="00D75A79">
      <w:pPr>
        <w:pStyle w:val="FootnoteText"/>
        <w:rPr>
          <w:rFonts w:ascii="Calibri" w:hAnsi="Calibri"/>
        </w:rPr>
      </w:pPr>
      <w:r w:rsidRPr="004222CA">
        <w:rPr>
          <w:rStyle w:val="FootnoteReference"/>
          <w:rFonts w:ascii="Calibri" w:hAnsi="Calibri"/>
        </w:rPr>
        <w:footnoteRef/>
      </w:r>
      <w:r w:rsidRPr="004222CA">
        <w:rPr>
          <w:rFonts w:ascii="Calibri" w:hAnsi="Calibri"/>
        </w:rPr>
        <w:t xml:space="preserve"> SCR 1820, OP4.</w:t>
      </w:r>
    </w:p>
  </w:footnote>
  <w:footnote w:id="48">
    <w:p w14:paraId="42A96E2C" w14:textId="2C9C3A56" w:rsidR="00D75A79" w:rsidRPr="003720F4" w:rsidRDefault="00D75A79">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SCR 1888, OPs 6 and 8.</w:t>
      </w:r>
    </w:p>
  </w:footnote>
  <w:footnote w:id="49">
    <w:p w14:paraId="2299A67E" w14:textId="667FD051" w:rsidR="00D75A79" w:rsidRPr="003720F4" w:rsidRDefault="00D75A79">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SCR 1889, OP 10.</w:t>
      </w:r>
    </w:p>
  </w:footnote>
  <w:footnote w:id="50">
    <w:p w14:paraId="0428B519" w14:textId="50678F5D" w:rsidR="00D75A79" w:rsidRPr="003720F4" w:rsidRDefault="00D75A79">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SCR 2122, OP 10.</w:t>
      </w:r>
    </w:p>
  </w:footnote>
  <w:footnote w:id="51">
    <w:p w14:paraId="329393D3" w14:textId="03645641" w:rsidR="00D75A79" w:rsidRPr="003720F4" w:rsidRDefault="00D75A79">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w:t>
      </w:r>
      <w:r>
        <w:rPr>
          <w:rFonts w:ascii="Calibri" w:hAnsi="Calibri"/>
        </w:rPr>
        <w:t>SCR 1888, OP 13; SCR 1889, OP 10.</w:t>
      </w:r>
    </w:p>
  </w:footnote>
  <w:footnote w:id="52">
    <w:p w14:paraId="1FCBDB36" w14:textId="7F48003B" w:rsidR="00D75A79" w:rsidRPr="003720F4" w:rsidRDefault="00D75A79">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SCR 1960, PP 13. </w:t>
      </w:r>
    </w:p>
  </w:footnote>
  <w:footnote w:id="53">
    <w:p w14:paraId="3553D5A9" w14:textId="5A6BBD91" w:rsidR="00D75A79" w:rsidRPr="003720F4" w:rsidRDefault="00D75A79" w:rsidP="003F6FD2">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SCR 1888, OP13; SCR 1889, PP 9 and OP 10; Art</w:t>
      </w:r>
      <w:r>
        <w:rPr>
          <w:rFonts w:ascii="Calibri" w:hAnsi="Calibri"/>
        </w:rPr>
        <w:t>icles 1-3, 4(1), 5(a), 10-12 and 14</w:t>
      </w:r>
      <w:r w:rsidRPr="003720F4">
        <w:rPr>
          <w:rFonts w:ascii="Calibri" w:hAnsi="Calibri"/>
        </w:rPr>
        <w:t xml:space="preserve"> of CEDAW; paras 48-52 of the CEDAW GR No. 30; Articles 1, 3, 6, 12 and 13(1) of ICESCR; paras 1, 31, 32, and 55 of the General Comment to the ICESCR No. 13 (Art 13) adopted on 12 August 1999, E/C/12/1999/10 (ICESCR GC No. 13).</w:t>
      </w:r>
    </w:p>
  </w:footnote>
  <w:footnote w:id="54">
    <w:p w14:paraId="13E271C0" w14:textId="67F79348" w:rsidR="00D75A79" w:rsidRPr="003720F4" w:rsidRDefault="00D75A79" w:rsidP="00E32684">
      <w:pPr>
        <w:jc w:val="both"/>
        <w:rPr>
          <w:rFonts w:ascii="Calibri" w:eastAsia="Times New Roman" w:hAnsi="Calibri" w:cs="Times New Roman"/>
          <w:sz w:val="20"/>
          <w:szCs w:val="20"/>
        </w:rPr>
      </w:pPr>
      <w:r w:rsidRPr="003720F4">
        <w:rPr>
          <w:rStyle w:val="FootnoteReference"/>
          <w:rFonts w:ascii="Calibri" w:hAnsi="Calibri"/>
          <w:sz w:val="20"/>
          <w:szCs w:val="20"/>
        </w:rPr>
        <w:footnoteRef/>
      </w:r>
      <w:r w:rsidRPr="003720F4">
        <w:rPr>
          <w:rFonts w:ascii="Calibri" w:hAnsi="Calibri"/>
          <w:sz w:val="20"/>
          <w:szCs w:val="20"/>
        </w:rPr>
        <w:t xml:space="preserve"> Article 10 of CEDAW; Article 13(1) of ICESCR; paras 1, 31, 32, and 55 of ICESCR GC No. 13; Article 29(1) of the CRC; para 16 of CRC General Comment No. 1, adopted on 17 April 2001, </w:t>
      </w:r>
      <w:r w:rsidRPr="003720F4">
        <w:rPr>
          <w:rFonts w:ascii="Calibri" w:eastAsia="Times New Roman" w:hAnsi="Calibri" w:cs="Times New Roman"/>
          <w:sz w:val="20"/>
          <w:szCs w:val="20"/>
        </w:rPr>
        <w:t>CRC/GC/2001/1</w:t>
      </w:r>
      <w:r>
        <w:rPr>
          <w:rFonts w:ascii="Calibri" w:eastAsia="Times New Roman" w:hAnsi="Calibri" w:cs="Times New Roman"/>
          <w:sz w:val="20"/>
          <w:szCs w:val="20"/>
        </w:rPr>
        <w:t xml:space="preserve"> (CRC GC No. 1). </w:t>
      </w:r>
    </w:p>
  </w:footnote>
  <w:footnote w:id="55">
    <w:p w14:paraId="2D072A91" w14:textId="77777777" w:rsidR="00D75A79" w:rsidRPr="00E32684" w:rsidRDefault="00D75A79" w:rsidP="00387481">
      <w:pPr>
        <w:pStyle w:val="FootnoteText"/>
        <w:rPr>
          <w:rFonts w:ascii="Calibri" w:hAnsi="Calibri"/>
        </w:rPr>
      </w:pPr>
      <w:r w:rsidRPr="003720F4">
        <w:rPr>
          <w:rStyle w:val="FootnoteReference"/>
          <w:rFonts w:ascii="Calibri" w:hAnsi="Calibri"/>
        </w:rPr>
        <w:footnoteRef/>
      </w:r>
      <w:r w:rsidRPr="003720F4">
        <w:rPr>
          <w:rFonts w:ascii="Calibri" w:hAnsi="Calibri"/>
        </w:rPr>
        <w:t xml:space="preserve"> Articles 13-14 of CEDAW and paras 48-9, 52(b) of the CEDAW GR No. 30.</w:t>
      </w:r>
      <w:r w:rsidRPr="00E32684">
        <w:rPr>
          <w:rFonts w:ascii="Calibri" w:hAnsi="Calibri"/>
        </w:rPr>
        <w:t xml:space="preserve"> </w:t>
      </w:r>
    </w:p>
  </w:footnote>
  <w:footnote w:id="56">
    <w:p w14:paraId="658F5345" w14:textId="19C8D275" w:rsidR="00D75A79" w:rsidRPr="00E32684" w:rsidRDefault="00D75A79" w:rsidP="00E32684">
      <w:pPr>
        <w:pStyle w:val="FootnoteText"/>
        <w:rPr>
          <w:rFonts w:ascii="Calibri" w:hAnsi="Calibri"/>
        </w:rPr>
      </w:pPr>
      <w:r w:rsidRPr="00E32684">
        <w:rPr>
          <w:rStyle w:val="FootnoteReference"/>
          <w:rFonts w:ascii="Calibri" w:hAnsi="Calibri"/>
        </w:rPr>
        <w:footnoteRef/>
      </w:r>
      <w:r>
        <w:rPr>
          <w:rFonts w:ascii="Calibri" w:hAnsi="Calibri"/>
        </w:rPr>
        <w:t xml:space="preserve"> </w:t>
      </w:r>
      <w:r w:rsidRPr="00AE4168">
        <w:rPr>
          <w:rFonts w:ascii="Calibri" w:hAnsi="Calibri"/>
        </w:rPr>
        <w:t xml:space="preserve">SCR 1820, OP 13; SCR 1889, OP 10; SCR 1960, </w:t>
      </w:r>
      <w:r>
        <w:rPr>
          <w:rFonts w:ascii="Calibri" w:hAnsi="Calibri"/>
        </w:rPr>
        <w:t>PP 13 and OP8; SCR 210</w:t>
      </w:r>
      <w:r w:rsidRPr="00AE4168">
        <w:rPr>
          <w:rFonts w:ascii="Calibri" w:hAnsi="Calibri"/>
        </w:rPr>
        <w:t>6 OPs 19 and 20; SCR 2122, OP</w:t>
      </w:r>
      <w:r>
        <w:rPr>
          <w:rFonts w:ascii="Calibri" w:hAnsi="Calibri"/>
        </w:rPr>
        <w:t xml:space="preserve"> 11; paras 38(e) and (h), 48, 50-51, 52 (c)-(e), 54, 57 (d) and (g) and 60 of the CEDAW GR No. 30; paras 27, 34 and 38 of CRC General Comment No. 4 on Adolescent Health and Development in the context of the Convention on the Rights of the Child, adopted on 1 July 2003, </w:t>
      </w:r>
      <w:r w:rsidRPr="003867EE">
        <w:rPr>
          <w:rFonts w:ascii="Calibri" w:hAnsi="Calibri"/>
        </w:rPr>
        <w:t>CRC/GC/2003/4</w:t>
      </w:r>
      <w:r>
        <w:rPr>
          <w:rFonts w:ascii="Calibri" w:hAnsi="Calibri"/>
        </w:rPr>
        <w:t xml:space="preserve"> (CRC GC No. 4). </w:t>
      </w:r>
    </w:p>
  </w:footnote>
  <w:footnote w:id="57">
    <w:p w14:paraId="1F3D3F9A" w14:textId="7D5A6E30" w:rsidR="00D75A79" w:rsidRPr="000852AC" w:rsidRDefault="00D75A79" w:rsidP="000852AC">
      <w:pPr>
        <w:pStyle w:val="FootnoteText"/>
        <w:rPr>
          <w:rFonts w:ascii="Calibri" w:hAnsi="Calibri"/>
        </w:rPr>
      </w:pPr>
      <w:r w:rsidRPr="00E32684">
        <w:rPr>
          <w:rStyle w:val="FootnoteReference"/>
          <w:rFonts w:ascii="Calibri" w:hAnsi="Calibri"/>
          <w:color w:val="0D0D0D" w:themeColor="text1" w:themeTint="F2"/>
        </w:rPr>
        <w:footnoteRef/>
      </w:r>
      <w:r w:rsidRPr="00E32684">
        <w:rPr>
          <w:rFonts w:ascii="Calibri" w:hAnsi="Calibri"/>
          <w:color w:val="0D0D0D" w:themeColor="text1" w:themeTint="F2"/>
        </w:rPr>
        <w:t xml:space="preserve"> </w:t>
      </w:r>
      <w:r>
        <w:rPr>
          <w:rFonts w:ascii="Calibri" w:hAnsi="Calibri"/>
        </w:rPr>
        <w:t>Geneva Convention IV.</w:t>
      </w:r>
      <w:r w:rsidRPr="004F255A">
        <w:rPr>
          <w:rFonts w:ascii="Calibri" w:hAnsi="Calibri"/>
          <w:color w:val="0D0D0D" w:themeColor="text1" w:themeTint="F2"/>
        </w:rPr>
        <w:t xml:space="preserve"> </w:t>
      </w:r>
      <w:r w:rsidRPr="00DE49AA">
        <w:rPr>
          <w:rFonts w:ascii="Calibri" w:hAnsi="Calibri"/>
        </w:rPr>
        <w:t>Practice, here, refers to the practices of states and international organizations and conferences, national military manuals, and soft law, as contained in the ICRC Customary IHL Database</w:t>
      </w:r>
      <w:r>
        <w:rPr>
          <w:rFonts w:ascii="Calibri" w:hAnsi="Calibri"/>
        </w:rPr>
        <w:t xml:space="preserve"> Rules No. 134 on Women and 135 on Children, cited earlier in Section 1. </w:t>
      </w:r>
      <w:r w:rsidRPr="00AD36FC">
        <w:rPr>
          <w:rFonts w:ascii="Calibri" w:hAnsi="Calibri"/>
          <w:color w:val="0D0D0D" w:themeColor="text1" w:themeTint="F2"/>
        </w:rPr>
        <w:t xml:space="preserve"> </w:t>
      </w:r>
    </w:p>
  </w:footnote>
  <w:footnote w:id="58">
    <w:p w14:paraId="4A136927" w14:textId="0DFC7EFD" w:rsidR="00D75A79" w:rsidRPr="00DE49AA" w:rsidRDefault="00D75A79">
      <w:pPr>
        <w:pStyle w:val="FootnoteText"/>
        <w:rPr>
          <w:rFonts w:ascii="Calibri" w:hAnsi="Calibri"/>
        </w:rPr>
      </w:pPr>
      <w:r w:rsidRPr="00DE49AA">
        <w:rPr>
          <w:rStyle w:val="FootnoteReference"/>
          <w:rFonts w:ascii="Calibri" w:hAnsi="Calibri"/>
        </w:rPr>
        <w:footnoteRef/>
      </w:r>
      <w:r w:rsidRPr="00DE49AA">
        <w:rPr>
          <w:rFonts w:ascii="Calibri" w:hAnsi="Calibri"/>
        </w:rPr>
        <w:t xml:space="preserve"> Art</w:t>
      </w:r>
      <w:r>
        <w:rPr>
          <w:rFonts w:ascii="Calibri" w:hAnsi="Calibri"/>
        </w:rPr>
        <w:t xml:space="preserve">icle 48 of the Additional Protocol I. </w:t>
      </w:r>
      <w:r w:rsidRPr="00E32684">
        <w:rPr>
          <w:rFonts w:ascii="Calibri" w:hAnsi="Calibri"/>
          <w:color w:val="0D0D0D" w:themeColor="text1" w:themeTint="F2"/>
        </w:rPr>
        <w:t xml:space="preserve">See, for instance, </w:t>
      </w:r>
      <w:r>
        <w:rPr>
          <w:rFonts w:ascii="Calibri" w:hAnsi="Calibri"/>
          <w:color w:val="0D0D0D" w:themeColor="text1" w:themeTint="F2"/>
        </w:rPr>
        <w:t>SCR 1960 PPs 5-6</w:t>
      </w:r>
      <w:r w:rsidRPr="00E32684">
        <w:rPr>
          <w:rFonts w:ascii="Calibri" w:hAnsi="Calibri"/>
          <w:color w:val="0D0D0D" w:themeColor="text1" w:themeTint="F2"/>
        </w:rPr>
        <w:t xml:space="preserve">; </w:t>
      </w:r>
      <w:r>
        <w:rPr>
          <w:rFonts w:ascii="Calibri" w:hAnsi="Calibri"/>
          <w:color w:val="0D0D0D" w:themeColor="text1" w:themeTint="F2"/>
        </w:rPr>
        <w:t>SCR 2122,</w:t>
      </w:r>
      <w:r w:rsidRPr="00E32684">
        <w:rPr>
          <w:rFonts w:ascii="Calibri" w:hAnsi="Calibri"/>
          <w:color w:val="0D0D0D" w:themeColor="text1" w:themeTint="F2"/>
        </w:rPr>
        <w:t xml:space="preserve"> PPs 6, 7, 9, 10</w:t>
      </w:r>
      <w:r>
        <w:rPr>
          <w:rFonts w:ascii="Calibri" w:hAnsi="Calibri"/>
          <w:color w:val="0D0D0D" w:themeColor="text1" w:themeTint="F2"/>
        </w:rPr>
        <w:t xml:space="preserve"> and</w:t>
      </w:r>
      <w:r w:rsidRPr="00E32684">
        <w:rPr>
          <w:rFonts w:ascii="Calibri" w:hAnsi="Calibri"/>
          <w:color w:val="0D0D0D" w:themeColor="text1" w:themeTint="F2"/>
        </w:rPr>
        <w:t xml:space="preserve"> OP3.</w:t>
      </w:r>
    </w:p>
  </w:footnote>
  <w:footnote w:id="59">
    <w:p w14:paraId="241F89F5" w14:textId="0640BF21" w:rsidR="00D75A79" w:rsidRPr="00DE49AA" w:rsidRDefault="00D75A79" w:rsidP="00263198">
      <w:pPr>
        <w:pStyle w:val="FootnoteText"/>
        <w:rPr>
          <w:rFonts w:ascii="Calibri" w:hAnsi="Calibri"/>
        </w:rPr>
      </w:pPr>
      <w:r w:rsidRPr="00DE49AA">
        <w:rPr>
          <w:rStyle w:val="FootnoteReference"/>
          <w:rFonts w:ascii="Calibri" w:hAnsi="Calibri"/>
        </w:rPr>
        <w:footnoteRef/>
      </w:r>
      <w:r w:rsidRPr="00DE49AA">
        <w:rPr>
          <w:rFonts w:ascii="Calibri" w:hAnsi="Calibri"/>
        </w:rPr>
        <w:t xml:space="preserve"> </w:t>
      </w:r>
      <w:r>
        <w:rPr>
          <w:rFonts w:ascii="Calibri" w:hAnsi="Calibri"/>
        </w:rPr>
        <w:t>See</w:t>
      </w:r>
      <w:r w:rsidRPr="00DE49AA">
        <w:rPr>
          <w:rFonts w:ascii="Calibri" w:hAnsi="Calibri"/>
        </w:rPr>
        <w:t xml:space="preserve"> the ICRC Customary IHL Database</w:t>
      </w:r>
      <w:r>
        <w:rPr>
          <w:rFonts w:ascii="Calibri" w:hAnsi="Calibri"/>
        </w:rPr>
        <w:t xml:space="preserve"> Rules No. 134 on Women and 135 on Children,</w:t>
      </w:r>
      <w:r w:rsidRPr="00DE49AA">
        <w:rPr>
          <w:rFonts w:ascii="Calibri" w:hAnsi="Calibri"/>
        </w:rPr>
        <w:t xml:space="preserve"> cited earlier in Section 1. </w:t>
      </w:r>
    </w:p>
  </w:footnote>
  <w:footnote w:id="60">
    <w:p w14:paraId="3606770B" w14:textId="2EB3CAA3" w:rsidR="00D75A79" w:rsidRPr="00DE49AA" w:rsidRDefault="00D75A79">
      <w:pPr>
        <w:pStyle w:val="FootnoteText"/>
        <w:rPr>
          <w:rFonts w:ascii="Calibri" w:hAnsi="Calibri"/>
        </w:rPr>
      </w:pPr>
      <w:r w:rsidRPr="00DE49AA">
        <w:rPr>
          <w:rStyle w:val="FootnoteReference"/>
          <w:rFonts w:ascii="Calibri" w:hAnsi="Calibri"/>
        </w:rPr>
        <w:footnoteRef/>
      </w:r>
      <w:r w:rsidRPr="00DE49AA">
        <w:rPr>
          <w:rFonts w:ascii="Calibri" w:hAnsi="Calibri"/>
        </w:rPr>
        <w:t xml:space="preserve"> SCR </w:t>
      </w:r>
      <w:r>
        <w:rPr>
          <w:rFonts w:ascii="Calibri" w:hAnsi="Calibri"/>
        </w:rPr>
        <w:t xml:space="preserve">1820 PPs 3, 6-9, 13, OPs 1-3, 6 and 7. </w:t>
      </w:r>
      <w:r w:rsidRPr="00DE49AA">
        <w:rPr>
          <w:rFonts w:ascii="Calibri" w:hAnsi="Calibri"/>
        </w:rPr>
        <w:t xml:space="preserve"> </w:t>
      </w:r>
    </w:p>
  </w:footnote>
  <w:footnote w:id="61">
    <w:p w14:paraId="552E7FC9" w14:textId="0FF6A383" w:rsidR="00D75A79" w:rsidRPr="00DE49AA" w:rsidRDefault="00D75A79">
      <w:pPr>
        <w:pStyle w:val="FootnoteText"/>
        <w:rPr>
          <w:rFonts w:ascii="Calibri" w:hAnsi="Calibri"/>
        </w:rPr>
      </w:pPr>
      <w:r w:rsidRPr="00DE49AA">
        <w:rPr>
          <w:rStyle w:val="FootnoteReference"/>
          <w:rFonts w:ascii="Calibri" w:hAnsi="Calibri"/>
        </w:rPr>
        <w:footnoteRef/>
      </w:r>
      <w:r w:rsidRPr="00DE49AA">
        <w:rPr>
          <w:rFonts w:ascii="Calibri" w:hAnsi="Calibri"/>
        </w:rPr>
        <w:t xml:space="preserve"> SCR 1889, OP 12.</w:t>
      </w:r>
    </w:p>
  </w:footnote>
  <w:footnote w:id="62">
    <w:p w14:paraId="24BDF812" w14:textId="0085A18A" w:rsidR="00D75A79" w:rsidRPr="00957E0D" w:rsidRDefault="00D75A79">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2106, OP 17.</w:t>
      </w:r>
    </w:p>
  </w:footnote>
  <w:footnote w:id="63">
    <w:p w14:paraId="09BE271A" w14:textId="66DDDC12" w:rsidR="00D75A79" w:rsidRPr="00957E0D" w:rsidRDefault="00D75A79">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1820, OP 3; SCR 1888, OP3; SCR 1960 OP 5; and SCR 2106 OP 10. See also ICRC Customary IHL Database, Rule 152. Command Responsibility for Orders to Commit War Crimes, available from: https://www.icrc.org/customary-ihl/eng/docs/v1_cha_chapter43_rule152?OpenDocument&amp;highlight=command,responsibility; and Rule 153. Command Responsibility for Failure to Prevent, Suppress or Report War Crimes, available from: https://www.icrc.org/customary-ihl/eng/docs/v1_cha_chapter43_rule153?OpenDocument&amp;highlight=command,responsibility.</w:t>
      </w:r>
    </w:p>
  </w:footnote>
  <w:footnote w:id="64">
    <w:p w14:paraId="6668D881" w14:textId="1D673455" w:rsidR="00D75A79" w:rsidRPr="00957E0D" w:rsidRDefault="00D75A79">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1888, OP 3. </w:t>
      </w:r>
    </w:p>
  </w:footnote>
  <w:footnote w:id="65">
    <w:p w14:paraId="32F752F3" w14:textId="7C0FBBA6" w:rsidR="00D75A79" w:rsidRPr="00957E0D" w:rsidRDefault="00D75A79">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1960 OP 5; SCR 2106, OP 8. </w:t>
      </w:r>
    </w:p>
  </w:footnote>
  <w:footnote w:id="66">
    <w:p w14:paraId="7C3E534A" w14:textId="012F0EDE" w:rsidR="00D75A79" w:rsidRPr="00957E0D" w:rsidRDefault="00D75A79">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w:t>
      </w:r>
      <w:r>
        <w:rPr>
          <w:rFonts w:ascii="Calibri" w:hAnsi="Calibri"/>
        </w:rPr>
        <w:t>1820, OP 7</w:t>
      </w:r>
      <w:r w:rsidRPr="00957E0D">
        <w:rPr>
          <w:rFonts w:ascii="Calibri" w:hAnsi="Calibri"/>
        </w:rPr>
        <w:t>; SCR 1888</w:t>
      </w:r>
      <w:r>
        <w:rPr>
          <w:rFonts w:ascii="Calibri" w:hAnsi="Calibri"/>
        </w:rPr>
        <w:t>,</w:t>
      </w:r>
      <w:r w:rsidRPr="00957E0D">
        <w:rPr>
          <w:rFonts w:ascii="Calibri" w:hAnsi="Calibri"/>
        </w:rPr>
        <w:t xml:space="preserve"> OP 21;</w:t>
      </w:r>
      <w:r>
        <w:rPr>
          <w:rFonts w:ascii="Calibri" w:hAnsi="Calibri"/>
        </w:rPr>
        <w:t xml:space="preserve"> SCR 1960, OP16;</w:t>
      </w:r>
      <w:r w:rsidRPr="00957E0D">
        <w:rPr>
          <w:rFonts w:ascii="Calibri" w:hAnsi="Calibri"/>
        </w:rPr>
        <w:t xml:space="preserve"> and SCR 2106, OP 15.</w:t>
      </w:r>
    </w:p>
  </w:footnote>
  <w:footnote w:id="67">
    <w:p w14:paraId="19866F16" w14:textId="18EF3074" w:rsidR="00D75A79" w:rsidRPr="00957E0D" w:rsidRDefault="00D75A79" w:rsidP="00F3615E">
      <w:pPr>
        <w:pStyle w:val="NoSpacing"/>
        <w:rPr>
          <w:rFonts w:ascii="Calibri" w:hAnsi="Calibri"/>
        </w:rPr>
      </w:pPr>
      <w:r w:rsidRPr="00957E0D">
        <w:rPr>
          <w:rStyle w:val="FootnoteReference"/>
          <w:rFonts w:ascii="Calibri" w:hAnsi="Calibri"/>
        </w:rPr>
        <w:footnoteRef/>
      </w:r>
      <w:r w:rsidRPr="00957E0D">
        <w:rPr>
          <w:rFonts w:ascii="Calibri" w:hAnsi="Calibri"/>
        </w:rPr>
        <w:t xml:space="preserve"> UN Secretary-General's Bulletin ST/SGB/1999/13, Observance By United Nations Forces Of International Humanitarian Law, Section 4. </w:t>
      </w:r>
    </w:p>
  </w:footnote>
  <w:footnote w:id="68">
    <w:p w14:paraId="5217540F" w14:textId="435298EA" w:rsidR="00D75A79" w:rsidRPr="00957E0D" w:rsidRDefault="00D75A79" w:rsidP="00AD36FC">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1889, OP 3; SCR 2106, OP 3.</w:t>
      </w:r>
    </w:p>
  </w:footnote>
  <w:footnote w:id="69">
    <w:p w14:paraId="6400A827" w14:textId="25BCB0FE" w:rsidR="00D75A79" w:rsidRPr="00957E0D" w:rsidRDefault="00D75A79" w:rsidP="00AD36FC">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1325, OP 11; SCR 2122, OP 12.</w:t>
      </w:r>
    </w:p>
  </w:footnote>
  <w:footnote w:id="70">
    <w:p w14:paraId="1087A820" w14:textId="2024EF05" w:rsidR="00D75A79" w:rsidRPr="00957E0D" w:rsidRDefault="00D75A79" w:rsidP="00AD36FC">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2106, OP 2. See Articles 6-8 of the Rome Statute 1998.</w:t>
      </w:r>
    </w:p>
  </w:footnote>
  <w:footnote w:id="71">
    <w:p w14:paraId="4A960144" w14:textId="30172A07" w:rsidR="00D75A79" w:rsidRPr="00957E0D" w:rsidRDefault="00D75A79">
      <w:pPr>
        <w:pStyle w:val="FootnoteText"/>
        <w:rPr>
          <w:rFonts w:ascii="Calibri" w:hAnsi="Calibri"/>
        </w:rPr>
      </w:pPr>
      <w:r w:rsidRPr="00957E0D">
        <w:rPr>
          <w:rStyle w:val="FootnoteReference"/>
          <w:rFonts w:ascii="Calibri" w:hAnsi="Calibri"/>
        </w:rPr>
        <w:footnoteRef/>
      </w:r>
      <w:r w:rsidRPr="00957E0D">
        <w:rPr>
          <w:rFonts w:ascii="Calibri" w:hAnsi="Calibri"/>
        </w:rPr>
        <w:t xml:space="preserve"> SCR 1820, PP 9; SCR 1888, PP 9; SCR 1960, PP 12; SCR 2106, PP 9.</w:t>
      </w:r>
    </w:p>
  </w:footnote>
  <w:footnote w:id="72">
    <w:p w14:paraId="33A7AFE1" w14:textId="3EE4EA55" w:rsidR="00D75A79" w:rsidRPr="009139C5" w:rsidRDefault="00D75A79">
      <w:pPr>
        <w:pStyle w:val="FootnoteText"/>
        <w:rPr>
          <w:rFonts w:ascii="Calibri" w:hAnsi="Calibri"/>
        </w:rPr>
      </w:pPr>
      <w:r w:rsidRPr="009139C5">
        <w:rPr>
          <w:rStyle w:val="FootnoteReference"/>
          <w:rFonts w:ascii="Calibri" w:hAnsi="Calibri"/>
        </w:rPr>
        <w:footnoteRef/>
      </w:r>
      <w:r w:rsidRPr="009139C5">
        <w:rPr>
          <w:rFonts w:ascii="Calibri" w:hAnsi="Calibri"/>
        </w:rPr>
        <w:t xml:space="preserve"> SCR 2122, OP 12. </w:t>
      </w:r>
    </w:p>
  </w:footnote>
  <w:footnote w:id="73">
    <w:p w14:paraId="6D3F784B" w14:textId="77777777" w:rsidR="00D75A79" w:rsidRPr="009139C5" w:rsidRDefault="00D75A79" w:rsidP="009139C5">
      <w:pPr>
        <w:pStyle w:val="FootnoteText"/>
        <w:rPr>
          <w:rFonts w:ascii="Calibri" w:hAnsi="Calibri"/>
          <w:sz w:val="18"/>
        </w:rPr>
      </w:pPr>
      <w:r w:rsidRPr="009139C5">
        <w:rPr>
          <w:rStyle w:val="FootnoteReference"/>
          <w:rFonts w:ascii="Calibri" w:hAnsi="Calibri"/>
        </w:rPr>
        <w:footnoteRef/>
      </w:r>
      <w:r w:rsidRPr="009139C5">
        <w:rPr>
          <w:rFonts w:ascii="Calibri" w:hAnsi="Calibri"/>
        </w:rPr>
        <w:t xml:space="preserve"> SCR 1888, OP 1; SCR 1960, OP 1; SCR 2106, OP 1.</w:t>
      </w:r>
    </w:p>
  </w:footnote>
  <w:footnote w:id="74">
    <w:p w14:paraId="2BD55172" w14:textId="0BC179BC" w:rsidR="00D75A79" w:rsidRPr="009139C5" w:rsidRDefault="00D75A79" w:rsidP="003F32C3">
      <w:pPr>
        <w:pStyle w:val="FootnoteText"/>
        <w:rPr>
          <w:rFonts w:ascii="Calibri" w:hAnsi="Calibri"/>
        </w:rPr>
      </w:pPr>
      <w:r w:rsidRPr="009139C5">
        <w:rPr>
          <w:rStyle w:val="FootnoteReference"/>
          <w:rFonts w:ascii="Calibri" w:hAnsi="Calibri"/>
        </w:rPr>
        <w:footnoteRef/>
      </w:r>
      <w:r w:rsidRPr="009139C5">
        <w:rPr>
          <w:rFonts w:ascii="Calibri" w:hAnsi="Calibri"/>
        </w:rPr>
        <w:t xml:space="preserve"> </w:t>
      </w:r>
      <w:r>
        <w:rPr>
          <w:rFonts w:ascii="Calibri" w:hAnsi="Calibri"/>
        </w:rPr>
        <w:t>SCR 1960, OPs 3 and</w:t>
      </w:r>
      <w:r w:rsidRPr="009139C5">
        <w:rPr>
          <w:rFonts w:ascii="Calibri" w:hAnsi="Calibri"/>
        </w:rPr>
        <w:t xml:space="preserve"> 5.</w:t>
      </w:r>
    </w:p>
  </w:footnote>
  <w:footnote w:id="75">
    <w:p w14:paraId="1D8F8E55" w14:textId="77777777" w:rsidR="00D75A79" w:rsidRPr="00F25CEF" w:rsidRDefault="00D75A79" w:rsidP="00957E0D">
      <w:pPr>
        <w:pStyle w:val="FootnoteText"/>
        <w:rPr>
          <w:rFonts w:ascii="Calibri" w:hAnsi="Calibri"/>
        </w:rPr>
      </w:pPr>
      <w:r w:rsidRPr="009139C5">
        <w:rPr>
          <w:rStyle w:val="FootnoteReference"/>
          <w:rFonts w:ascii="Calibri" w:hAnsi="Calibri"/>
        </w:rPr>
        <w:footnoteRef/>
      </w:r>
      <w:r w:rsidRPr="009139C5">
        <w:rPr>
          <w:rFonts w:ascii="Calibri" w:hAnsi="Calibri"/>
        </w:rPr>
        <w:t xml:space="preserve"> SCR 1820, OP 4.</w:t>
      </w:r>
      <w:r w:rsidRPr="00F25CEF">
        <w:rPr>
          <w:rFonts w:ascii="Calibri" w:hAnsi="Calibri"/>
        </w:rPr>
        <w:t xml:space="preserve"> </w:t>
      </w:r>
    </w:p>
  </w:footnote>
  <w:footnote w:id="76">
    <w:p w14:paraId="0029B7BB" w14:textId="2B0D076D" w:rsidR="00D75A79" w:rsidRPr="00361A2D" w:rsidRDefault="00D75A79" w:rsidP="004E5EBC">
      <w:pPr>
        <w:pStyle w:val="FootnoteText"/>
        <w:rPr>
          <w:rFonts w:ascii="Calibri" w:hAnsi="Calibri"/>
        </w:rPr>
      </w:pPr>
      <w:r w:rsidRPr="00361A2D">
        <w:rPr>
          <w:rStyle w:val="FootnoteReference"/>
          <w:rFonts w:ascii="Calibri" w:hAnsi="Calibri"/>
        </w:rPr>
        <w:footnoteRef/>
      </w:r>
      <w:r>
        <w:rPr>
          <w:rFonts w:ascii="Calibri" w:hAnsi="Calibri"/>
        </w:rPr>
        <w:t xml:space="preserve"> CEDAW GR No. 30, paras 26, </w:t>
      </w:r>
      <w:r w:rsidRPr="00361A2D">
        <w:rPr>
          <w:rFonts w:ascii="Calibri" w:hAnsi="Calibri"/>
        </w:rPr>
        <w:t xml:space="preserve">28, 82-3. </w:t>
      </w:r>
      <w:r>
        <w:rPr>
          <w:rFonts w:ascii="Calibri" w:hAnsi="Calibri"/>
        </w:rPr>
        <w:t xml:space="preserve">Note that the SCR 2122 was adopted by the Security Council on the same day as the CEDAW GR No. 30, and as such is not referred to in the GR, but is included in this submission as an important Security Council resolution on women, peace and security. </w:t>
      </w:r>
    </w:p>
  </w:footnote>
  <w:footnote w:id="77">
    <w:p w14:paraId="7BB200DF" w14:textId="4DD327C4" w:rsidR="00D75A79" w:rsidRPr="00361A2D" w:rsidRDefault="00D75A79" w:rsidP="004E5EBC">
      <w:pPr>
        <w:pStyle w:val="FootnoteText"/>
        <w:rPr>
          <w:rFonts w:ascii="Calibri" w:hAnsi="Calibri"/>
        </w:rPr>
      </w:pPr>
      <w:r w:rsidRPr="00361A2D">
        <w:rPr>
          <w:rStyle w:val="FootnoteReference"/>
          <w:rFonts w:ascii="Calibri" w:hAnsi="Calibri"/>
        </w:rPr>
        <w:footnoteRef/>
      </w:r>
      <w:r w:rsidRPr="00361A2D">
        <w:rPr>
          <w:rFonts w:ascii="Calibri" w:hAnsi="Calibri"/>
        </w:rPr>
        <w:t xml:space="preserve"> For a brief overview of the notable features of CEDAW GR No 30, see this analysis by Development Alternatives with Wom</w:t>
      </w:r>
      <w:r>
        <w:rPr>
          <w:rFonts w:ascii="Calibri" w:hAnsi="Calibri"/>
        </w:rPr>
        <w:t>en for a New Era ‘</w:t>
      </w:r>
      <w:r w:rsidRPr="00361A2D">
        <w:rPr>
          <w:rFonts w:ascii="Calibri" w:hAnsi="Calibri"/>
        </w:rPr>
        <w:t>CEDAW GR 30</w:t>
      </w:r>
      <w:r>
        <w:rPr>
          <w:rFonts w:ascii="Calibri" w:hAnsi="Calibri"/>
        </w:rPr>
        <w:t xml:space="preserve"> on Women in Conflict Prevention, Conflict and Post-Conflict Situations’ (2013) available from:</w:t>
      </w:r>
      <w:r w:rsidRPr="00361A2D">
        <w:rPr>
          <w:rFonts w:ascii="Calibri" w:hAnsi="Calibri"/>
        </w:rPr>
        <w:t xml:space="preserve"> http://www.dawnnet.org/feminist-resources/content/cedaw-gr-30-women-conflict-prevention-conflict-and-post-conflict-situations</w:t>
      </w:r>
      <w:r>
        <w:rPr>
          <w:rFonts w:ascii="Calibri" w:hAnsi="Calibri"/>
        </w:rPr>
        <w:t>.</w:t>
      </w:r>
    </w:p>
  </w:footnote>
  <w:footnote w:id="78">
    <w:p w14:paraId="76D87660" w14:textId="6EDB5427" w:rsidR="00D75A79" w:rsidRPr="00361A2D" w:rsidRDefault="00D75A79" w:rsidP="004E5EBC">
      <w:pPr>
        <w:pStyle w:val="FootnoteText"/>
        <w:rPr>
          <w:rFonts w:ascii="Calibri" w:hAnsi="Calibri"/>
        </w:rPr>
      </w:pPr>
      <w:r w:rsidRPr="00361A2D">
        <w:rPr>
          <w:rStyle w:val="FootnoteReference"/>
          <w:rFonts w:ascii="Calibri" w:hAnsi="Calibri"/>
        </w:rPr>
        <w:footnoteRef/>
      </w:r>
      <w:r>
        <w:rPr>
          <w:rFonts w:ascii="Calibri" w:hAnsi="Calibri"/>
        </w:rPr>
        <w:t xml:space="preserve"> </w:t>
      </w:r>
      <w:proofErr w:type="gramStart"/>
      <w:r>
        <w:rPr>
          <w:rFonts w:ascii="Calibri" w:hAnsi="Calibri"/>
        </w:rPr>
        <w:t>CEDAW GR No. 30 section 2 (drawing on Article 9 of CEDAW)</w:t>
      </w:r>
      <w:r w:rsidRPr="00361A2D">
        <w:rPr>
          <w:rFonts w:ascii="Calibri" w:hAnsi="Calibri"/>
        </w:rPr>
        <w:t>.</w:t>
      </w:r>
      <w:proofErr w:type="gramEnd"/>
    </w:p>
  </w:footnote>
  <w:footnote w:id="79">
    <w:p w14:paraId="305D4B29" w14:textId="6F38491C" w:rsidR="00D75A79" w:rsidRPr="00361A2D" w:rsidRDefault="00D75A79" w:rsidP="00985EAF">
      <w:pPr>
        <w:pStyle w:val="FootnoteText"/>
        <w:rPr>
          <w:rFonts w:ascii="Calibri" w:hAnsi="Calibri"/>
        </w:rPr>
      </w:pPr>
      <w:r w:rsidRPr="00361A2D">
        <w:rPr>
          <w:rStyle w:val="FootnoteReference"/>
          <w:rFonts w:ascii="Calibri" w:hAnsi="Calibri"/>
        </w:rPr>
        <w:footnoteRef/>
      </w:r>
      <w:r>
        <w:rPr>
          <w:rFonts w:ascii="Calibri" w:hAnsi="Calibri"/>
        </w:rPr>
        <w:t xml:space="preserve"> CEDAW GR No. 30 section 1 (drawing on Articles 8 and 10 of CEDAW). </w:t>
      </w:r>
    </w:p>
  </w:footnote>
  <w:footnote w:id="80">
    <w:p w14:paraId="2C7C7B91" w14:textId="5D59BB6B" w:rsidR="00D75A79" w:rsidRPr="003976F2" w:rsidRDefault="00D75A79" w:rsidP="002E4178">
      <w:pPr>
        <w:pStyle w:val="FootnoteText"/>
        <w:rPr>
          <w:rFonts w:ascii="Calibri" w:hAnsi="Calibri"/>
        </w:rPr>
      </w:pPr>
      <w:r w:rsidRPr="003976F2">
        <w:rPr>
          <w:rStyle w:val="FootnoteReference"/>
          <w:rFonts w:ascii="Calibri" w:hAnsi="Calibri"/>
        </w:rPr>
        <w:footnoteRef/>
      </w:r>
      <w:r>
        <w:rPr>
          <w:rFonts w:ascii="Calibri" w:hAnsi="Calibri"/>
        </w:rPr>
        <w:t xml:space="preserve"> TCEDAW GR No. 30, Part A, sections 1- 3, paras</w:t>
      </w:r>
      <w:r w:rsidRPr="003976F2">
        <w:rPr>
          <w:rFonts w:ascii="Calibri" w:hAnsi="Calibri"/>
        </w:rPr>
        <w:t xml:space="preserve"> 29-4</w:t>
      </w:r>
      <w:r>
        <w:rPr>
          <w:rFonts w:ascii="Calibri" w:hAnsi="Calibri"/>
        </w:rPr>
        <w:t xml:space="preserve">7 and 53 (which </w:t>
      </w:r>
      <w:proofErr w:type="gramStart"/>
      <w:r>
        <w:rPr>
          <w:rFonts w:ascii="Calibri" w:hAnsi="Calibri"/>
        </w:rPr>
        <w:t>draws</w:t>
      </w:r>
      <w:proofErr w:type="gramEnd"/>
      <w:r>
        <w:rPr>
          <w:rFonts w:ascii="Calibri" w:hAnsi="Calibri"/>
        </w:rPr>
        <w:t xml:space="preserve"> on Articles 1-3, 15).</w:t>
      </w:r>
    </w:p>
  </w:footnote>
  <w:footnote w:id="81">
    <w:p w14:paraId="2E6ABB79" w14:textId="3066BC5E" w:rsidR="00D75A79" w:rsidRPr="003976F2" w:rsidRDefault="00D75A79" w:rsidP="004E5EBC">
      <w:pPr>
        <w:pStyle w:val="FootnoteText"/>
        <w:rPr>
          <w:rFonts w:ascii="Calibri" w:hAnsi="Calibri"/>
        </w:rPr>
      </w:pPr>
      <w:r w:rsidRPr="003976F2">
        <w:rPr>
          <w:rStyle w:val="FootnoteReference"/>
          <w:rFonts w:ascii="Calibri" w:hAnsi="Calibri"/>
        </w:rPr>
        <w:footnoteRef/>
      </w:r>
      <w:r w:rsidRPr="003976F2">
        <w:rPr>
          <w:rFonts w:ascii="Calibri" w:hAnsi="Calibri"/>
        </w:rPr>
        <w:t xml:space="preserve"> The rights of stateless women are mentioned together with refuge</w:t>
      </w:r>
      <w:r>
        <w:rPr>
          <w:rFonts w:ascii="Calibri" w:hAnsi="Calibri"/>
        </w:rPr>
        <w:t>es, asylum seekers and IDPs in para</w:t>
      </w:r>
      <w:r w:rsidRPr="003976F2">
        <w:rPr>
          <w:rFonts w:ascii="Calibri" w:hAnsi="Calibri"/>
        </w:rPr>
        <w:t xml:space="preserve"> 8, but are ad</w:t>
      </w:r>
      <w:r>
        <w:rPr>
          <w:rFonts w:ascii="Calibri" w:hAnsi="Calibri"/>
        </w:rPr>
        <w:t xml:space="preserve">dressed separately in section 6, paras 58-61 of the CEDAW GR No. 30. </w:t>
      </w:r>
    </w:p>
  </w:footnote>
  <w:footnote w:id="82">
    <w:p w14:paraId="4FA6DC2F" w14:textId="6424B25C" w:rsidR="00D75A79" w:rsidRPr="003976F2" w:rsidRDefault="00D75A79" w:rsidP="004E5EBC">
      <w:pPr>
        <w:pStyle w:val="FootnoteText"/>
        <w:rPr>
          <w:rFonts w:ascii="Calibri" w:hAnsi="Calibri"/>
        </w:rPr>
      </w:pPr>
      <w:r w:rsidRPr="003976F2">
        <w:rPr>
          <w:rStyle w:val="FootnoteReference"/>
          <w:rFonts w:ascii="Calibri" w:hAnsi="Calibri"/>
        </w:rPr>
        <w:footnoteRef/>
      </w:r>
      <w:r w:rsidRPr="003976F2">
        <w:rPr>
          <w:rFonts w:ascii="Calibri" w:hAnsi="Calibri"/>
        </w:rPr>
        <w:t xml:space="preserve"> </w:t>
      </w:r>
      <w:proofErr w:type="gramStart"/>
      <w:r>
        <w:rPr>
          <w:rFonts w:ascii="Calibri" w:hAnsi="Calibri"/>
        </w:rPr>
        <w:t>CEDAW GR No. 30, para 42.</w:t>
      </w:r>
      <w:proofErr w:type="gramEnd"/>
      <w:r>
        <w:rPr>
          <w:rFonts w:ascii="Calibri" w:hAnsi="Calibri"/>
        </w:rPr>
        <w:t xml:space="preserve"> </w:t>
      </w:r>
      <w:r w:rsidRPr="003976F2">
        <w:rPr>
          <w:rFonts w:ascii="Calibri" w:hAnsi="Calibri"/>
        </w:rPr>
        <w:t xml:space="preserve"> </w:t>
      </w:r>
    </w:p>
  </w:footnote>
  <w:footnote w:id="83">
    <w:p w14:paraId="4F59DF00" w14:textId="119033EC" w:rsidR="00D75A79" w:rsidRPr="003976F2" w:rsidRDefault="00D75A79" w:rsidP="004E5EBC">
      <w:pPr>
        <w:pStyle w:val="FootnoteText"/>
        <w:rPr>
          <w:rFonts w:ascii="Calibri" w:hAnsi="Calibri"/>
        </w:rPr>
      </w:pPr>
      <w:r w:rsidRPr="003976F2">
        <w:rPr>
          <w:rStyle w:val="FootnoteReference"/>
          <w:rFonts w:ascii="Calibri" w:hAnsi="Calibri"/>
        </w:rPr>
        <w:footnoteRef/>
      </w:r>
      <w:r>
        <w:rPr>
          <w:rFonts w:ascii="Calibri" w:hAnsi="Calibri"/>
        </w:rPr>
        <w:t xml:space="preserve"> </w:t>
      </w:r>
      <w:proofErr w:type="gramStart"/>
      <w:r>
        <w:rPr>
          <w:rFonts w:ascii="Calibri" w:hAnsi="Calibri"/>
        </w:rPr>
        <w:t>CEDAW GR No. 30, section 5, paras 55-7 and section 9, para 73</w:t>
      </w:r>
      <w:r w:rsidRPr="003976F2">
        <w:rPr>
          <w:rFonts w:ascii="Calibri" w:hAnsi="Calibri"/>
        </w:rPr>
        <w:t>.</w:t>
      </w:r>
      <w:proofErr w:type="gramEnd"/>
    </w:p>
  </w:footnote>
  <w:footnote w:id="84">
    <w:p w14:paraId="45CCDA5E" w14:textId="35C9961A" w:rsidR="00D75A79" w:rsidRPr="003976F2" w:rsidRDefault="00D75A79" w:rsidP="004E5EBC">
      <w:pPr>
        <w:pStyle w:val="FootnoteText"/>
        <w:rPr>
          <w:rFonts w:ascii="Calibri" w:hAnsi="Calibri"/>
        </w:rPr>
      </w:pPr>
      <w:r w:rsidRPr="003976F2">
        <w:rPr>
          <w:rStyle w:val="FootnoteReference"/>
          <w:rFonts w:ascii="Calibri" w:hAnsi="Calibri"/>
        </w:rPr>
        <w:footnoteRef/>
      </w:r>
      <w:r w:rsidRPr="003976F2">
        <w:rPr>
          <w:rFonts w:ascii="Calibri" w:hAnsi="Calibri"/>
        </w:rPr>
        <w:t xml:space="preserve"> </w:t>
      </w:r>
      <w:r>
        <w:rPr>
          <w:rFonts w:ascii="Calibri" w:hAnsi="Calibri"/>
        </w:rPr>
        <w:t xml:space="preserve">See CEDAW GR No. 30 para 37. </w:t>
      </w:r>
      <w:r w:rsidRPr="003976F2">
        <w:rPr>
          <w:rFonts w:ascii="Calibri" w:hAnsi="Calibri"/>
        </w:rPr>
        <w:t xml:space="preserve">As noted above, SCR 2106 (2013) expands on the discussion of HIV/AIDS in SCR 1325.  </w:t>
      </w:r>
    </w:p>
  </w:footnote>
  <w:footnote w:id="85">
    <w:p w14:paraId="3E14C83A" w14:textId="7DB77755" w:rsidR="00D75A79" w:rsidRPr="00361A2D" w:rsidRDefault="00D75A79" w:rsidP="00C30715">
      <w:pPr>
        <w:pStyle w:val="FootnoteText"/>
        <w:rPr>
          <w:rFonts w:ascii="Calibri" w:hAnsi="Calibri"/>
        </w:rPr>
      </w:pPr>
      <w:r w:rsidRPr="003976F2">
        <w:rPr>
          <w:rStyle w:val="FootnoteReference"/>
          <w:rFonts w:ascii="Calibri" w:hAnsi="Calibri"/>
        </w:rPr>
        <w:footnoteRef/>
      </w:r>
      <w:r w:rsidRPr="003976F2">
        <w:rPr>
          <w:rFonts w:ascii="Calibri" w:hAnsi="Calibri"/>
        </w:rPr>
        <w:t xml:space="preserve"> </w:t>
      </w:r>
      <w:proofErr w:type="gramStart"/>
      <w:r>
        <w:rPr>
          <w:rFonts w:ascii="Calibri" w:hAnsi="Calibri"/>
        </w:rPr>
        <w:t xml:space="preserve">CEDAW </w:t>
      </w:r>
      <w:r w:rsidRPr="003976F2">
        <w:rPr>
          <w:rFonts w:ascii="Calibri" w:hAnsi="Calibri"/>
        </w:rPr>
        <w:t>GR No</w:t>
      </w:r>
      <w:r>
        <w:rPr>
          <w:rFonts w:ascii="Calibri" w:hAnsi="Calibri"/>
        </w:rPr>
        <w:t>.</w:t>
      </w:r>
      <w:r w:rsidRPr="003976F2">
        <w:rPr>
          <w:rFonts w:ascii="Calibri" w:hAnsi="Calibri"/>
        </w:rPr>
        <w:t xml:space="preserve"> 30, </w:t>
      </w:r>
      <w:r>
        <w:rPr>
          <w:rFonts w:ascii="Calibri" w:hAnsi="Calibri"/>
        </w:rPr>
        <w:t>paras 38 (f)-(h), 52 (c)-(e), 64-65.</w:t>
      </w:r>
      <w:proofErr w:type="gramEnd"/>
    </w:p>
  </w:footnote>
  <w:footnote w:id="86">
    <w:p w14:paraId="201C23C9" w14:textId="0269F430" w:rsidR="00D75A79" w:rsidRPr="00361A2D" w:rsidRDefault="00D75A79" w:rsidP="009E3E6A">
      <w:pPr>
        <w:pStyle w:val="FootnoteText"/>
        <w:rPr>
          <w:rFonts w:ascii="Calibri" w:hAnsi="Calibri"/>
        </w:rPr>
      </w:pPr>
      <w:r w:rsidRPr="00361A2D">
        <w:rPr>
          <w:rStyle w:val="FootnoteReference"/>
          <w:rFonts w:ascii="Calibri" w:hAnsi="Calibri"/>
        </w:rPr>
        <w:footnoteRef/>
      </w:r>
      <w:r w:rsidRPr="00361A2D">
        <w:rPr>
          <w:rFonts w:ascii="Calibri" w:hAnsi="Calibri"/>
        </w:rPr>
        <w:t xml:space="preserve"> </w:t>
      </w:r>
      <w:proofErr w:type="gramStart"/>
      <w:r>
        <w:rPr>
          <w:rFonts w:ascii="Calibri" w:hAnsi="Calibri"/>
        </w:rPr>
        <w:t>CEDAW GR No. 30, para 80 (a) and (b) (d) (e) (f) (g) (h) (i) (j) (k) (l).</w:t>
      </w:r>
      <w:proofErr w:type="gramEnd"/>
      <w:r>
        <w:rPr>
          <w:rFonts w:ascii="Calibri" w:hAnsi="Calibri"/>
        </w:rPr>
        <w:t xml:space="preserve"> </w:t>
      </w:r>
    </w:p>
  </w:footnote>
  <w:footnote w:id="87">
    <w:p w14:paraId="5D13580C" w14:textId="6F737D45" w:rsidR="00D75A79" w:rsidRPr="00361A2D" w:rsidRDefault="00D75A79" w:rsidP="004E5EBC">
      <w:pPr>
        <w:pStyle w:val="FootnoteText"/>
        <w:rPr>
          <w:rFonts w:ascii="Calibri" w:hAnsi="Calibri"/>
        </w:rPr>
      </w:pPr>
      <w:r w:rsidRPr="00361A2D">
        <w:rPr>
          <w:rStyle w:val="FootnoteReference"/>
          <w:rFonts w:ascii="Calibri" w:hAnsi="Calibri"/>
        </w:rPr>
        <w:footnoteRef/>
      </w:r>
      <w:r w:rsidRPr="00361A2D">
        <w:rPr>
          <w:rFonts w:ascii="Calibri" w:hAnsi="Calibri"/>
        </w:rPr>
        <w:t xml:space="preserve"> </w:t>
      </w:r>
      <w:r>
        <w:rPr>
          <w:rFonts w:ascii="Calibri" w:hAnsi="Calibri"/>
        </w:rPr>
        <w:t>SCR 1889 also refers to women’s access to land and property, albeit in less detail than the CEDAW GR No. 30.</w:t>
      </w:r>
    </w:p>
  </w:footnote>
  <w:footnote w:id="88">
    <w:p w14:paraId="4A25AC49" w14:textId="253502C1" w:rsidR="00D75A79" w:rsidRPr="00361A2D" w:rsidRDefault="00D75A79" w:rsidP="004E5EBC">
      <w:pPr>
        <w:pStyle w:val="FootnoteText"/>
        <w:rPr>
          <w:rFonts w:ascii="Calibri" w:hAnsi="Calibri"/>
        </w:rPr>
      </w:pPr>
      <w:r w:rsidRPr="00361A2D">
        <w:rPr>
          <w:rStyle w:val="FootnoteReference"/>
          <w:rFonts w:ascii="Calibri" w:hAnsi="Calibri"/>
        </w:rPr>
        <w:footnoteRef/>
      </w:r>
      <w:r>
        <w:rPr>
          <w:rFonts w:ascii="Calibri" w:hAnsi="Calibri"/>
        </w:rPr>
        <w:t xml:space="preserve"> CEDAW </w:t>
      </w:r>
      <w:r w:rsidRPr="00361A2D">
        <w:rPr>
          <w:rFonts w:ascii="Calibri" w:hAnsi="Calibri"/>
        </w:rPr>
        <w:t>GR No</w:t>
      </w:r>
      <w:r>
        <w:rPr>
          <w:rFonts w:ascii="Calibri" w:hAnsi="Calibri"/>
        </w:rPr>
        <w:t>.</w:t>
      </w:r>
      <w:r w:rsidRPr="00361A2D">
        <w:rPr>
          <w:rFonts w:ascii="Calibri" w:hAnsi="Calibri"/>
        </w:rPr>
        <w:t xml:space="preserve"> 30, </w:t>
      </w:r>
      <w:r>
        <w:rPr>
          <w:rFonts w:ascii="Calibri" w:hAnsi="Calibri"/>
        </w:rPr>
        <w:t>paras</w:t>
      </w:r>
      <w:r w:rsidRPr="00361A2D">
        <w:rPr>
          <w:rFonts w:ascii="Calibri" w:hAnsi="Calibri"/>
        </w:rPr>
        <w:t xml:space="preserve"> </w:t>
      </w:r>
      <w:r>
        <w:rPr>
          <w:rFonts w:ascii="Calibri" w:hAnsi="Calibri"/>
        </w:rPr>
        <w:t xml:space="preserve">48-50, </w:t>
      </w:r>
      <w:r w:rsidRPr="00361A2D">
        <w:rPr>
          <w:rFonts w:ascii="Calibri" w:hAnsi="Calibri"/>
        </w:rPr>
        <w:t xml:space="preserve">62-65. </w:t>
      </w:r>
    </w:p>
  </w:footnote>
  <w:footnote w:id="89">
    <w:p w14:paraId="472000A1" w14:textId="35982C45" w:rsidR="00D75A79" w:rsidRPr="00361A2D" w:rsidRDefault="00D75A79" w:rsidP="004E5EBC">
      <w:pPr>
        <w:widowControl w:val="0"/>
        <w:autoSpaceDE w:val="0"/>
        <w:autoSpaceDN w:val="0"/>
        <w:adjustRightInd w:val="0"/>
        <w:jc w:val="both"/>
        <w:rPr>
          <w:rFonts w:ascii="Calibri" w:hAnsi="Calibri" w:cs="Times New Roman"/>
          <w:sz w:val="20"/>
          <w:szCs w:val="20"/>
        </w:rPr>
      </w:pPr>
      <w:r w:rsidRPr="00361A2D">
        <w:rPr>
          <w:rStyle w:val="FootnoteReference"/>
          <w:rFonts w:ascii="Calibri" w:hAnsi="Calibri" w:cs="Times New Roman"/>
          <w:sz w:val="20"/>
          <w:szCs w:val="20"/>
        </w:rPr>
        <w:footnoteRef/>
      </w:r>
      <w:r w:rsidRPr="00361A2D">
        <w:rPr>
          <w:rFonts w:ascii="Calibri" w:hAnsi="Calibri" w:cs="Times New Roman"/>
          <w:sz w:val="20"/>
          <w:szCs w:val="20"/>
        </w:rPr>
        <w:t xml:space="preserve"> United Nations, </w:t>
      </w:r>
      <w:r w:rsidRPr="00361A2D">
        <w:rPr>
          <w:rFonts w:ascii="Calibri" w:hAnsi="Calibri" w:cs="Times New Roman"/>
          <w:i/>
          <w:iCs/>
          <w:sz w:val="20"/>
          <w:szCs w:val="20"/>
        </w:rPr>
        <w:t>Beijing Declaration and Platform of Action, adopted at the Fourth World Conference on Women</w:t>
      </w:r>
      <w:r w:rsidRPr="00361A2D">
        <w:rPr>
          <w:rFonts w:ascii="Calibri" w:hAnsi="Calibri" w:cs="Times New Roman"/>
          <w:sz w:val="20"/>
          <w:szCs w:val="20"/>
        </w:rPr>
        <w:t>, 27 October 1995. [</w:t>
      </w:r>
      <w:r w:rsidRPr="00361A2D">
        <w:rPr>
          <w:rFonts w:ascii="Calibri" w:hAnsi="Calibri" w:cs="Times New Roman"/>
          <w:i/>
          <w:sz w:val="20"/>
          <w:szCs w:val="20"/>
        </w:rPr>
        <w:t>Beijing Platform</w:t>
      </w:r>
      <w:r w:rsidRPr="00361A2D">
        <w:rPr>
          <w:rFonts w:ascii="Calibri" w:hAnsi="Calibri" w:cs="Times New Roman"/>
          <w:sz w:val="20"/>
          <w:szCs w:val="20"/>
        </w:rPr>
        <w:t>]</w:t>
      </w:r>
      <w:r>
        <w:rPr>
          <w:rFonts w:ascii="Calibri" w:hAnsi="Calibri" w:cs="Times New Roman"/>
          <w:sz w:val="20"/>
          <w:szCs w:val="20"/>
        </w:rPr>
        <w:t>.</w:t>
      </w:r>
    </w:p>
  </w:footnote>
  <w:footnote w:id="90">
    <w:p w14:paraId="31C50844" w14:textId="3510A446" w:rsidR="00D75A79" w:rsidRPr="00B71273" w:rsidRDefault="00D75A79" w:rsidP="004E5EBC">
      <w:pPr>
        <w:pStyle w:val="FootnoteText"/>
        <w:rPr>
          <w:rFonts w:ascii="Calibri" w:hAnsi="Calibri"/>
        </w:rPr>
      </w:pPr>
      <w:r w:rsidRPr="00361A2D">
        <w:rPr>
          <w:rStyle w:val="FootnoteReference"/>
          <w:rFonts w:ascii="Calibri" w:hAnsi="Calibri"/>
        </w:rPr>
        <w:footnoteRef/>
      </w:r>
      <w:r>
        <w:rPr>
          <w:rFonts w:ascii="Calibri" w:hAnsi="Calibri"/>
        </w:rPr>
        <w:t xml:space="preserve"> See </w:t>
      </w:r>
      <w:r w:rsidRPr="00361A2D">
        <w:rPr>
          <w:rFonts w:ascii="Calibri" w:hAnsi="Calibri"/>
        </w:rPr>
        <w:t xml:space="preserve">SCR 1325, </w:t>
      </w:r>
      <w:r>
        <w:rPr>
          <w:rFonts w:ascii="Calibri" w:hAnsi="Calibri"/>
        </w:rPr>
        <w:t>OPs 3-</w:t>
      </w:r>
      <w:r w:rsidRPr="00361A2D">
        <w:rPr>
          <w:rFonts w:ascii="Calibri" w:hAnsi="Calibri"/>
        </w:rPr>
        <w:t>6.</w:t>
      </w:r>
    </w:p>
  </w:footnote>
  <w:footnote w:id="91">
    <w:p w14:paraId="6EDAE221" w14:textId="611D92DD"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See </w:t>
      </w:r>
      <w:r w:rsidRPr="00071BFC">
        <w:rPr>
          <w:rFonts w:ascii="Calibri" w:hAnsi="Calibri"/>
          <w:i/>
        </w:rPr>
        <w:t>Beijing Platform</w:t>
      </w:r>
      <w:r w:rsidRPr="00071BFC">
        <w:rPr>
          <w:rFonts w:ascii="Calibri" w:hAnsi="Calibri"/>
        </w:rPr>
        <w:t xml:space="preserve">, Strategic Objective E.1, and SCR 1325, OP 1. </w:t>
      </w:r>
    </w:p>
  </w:footnote>
  <w:footnote w:id="92">
    <w:p w14:paraId="5E220C7D" w14:textId="5076B8B8"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See </w:t>
      </w:r>
      <w:r w:rsidRPr="00071BFC">
        <w:rPr>
          <w:rFonts w:ascii="Calibri" w:hAnsi="Calibri"/>
          <w:i/>
        </w:rPr>
        <w:t>Beijing Platform</w:t>
      </w:r>
      <w:r w:rsidRPr="00071BFC">
        <w:rPr>
          <w:rFonts w:ascii="Calibri" w:hAnsi="Calibri"/>
        </w:rPr>
        <w:t xml:space="preserve">, Strategic Objective E.1. [on the participation of women in conflict-resolution at decision-making levels], and E4 [on women’s contribution to fostering a culture of peace]; and SCR 1325, OPs 6 [on involving women in all peacekeeping and peace-building measures], and 8(b) [on involving women in the implementation mechanisms of peace agreements]. </w:t>
      </w:r>
    </w:p>
  </w:footnote>
  <w:footnote w:id="93">
    <w:p w14:paraId="5B460507" w14:textId="19A0DB9A"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See </w:t>
      </w:r>
      <w:r w:rsidRPr="00071BFC">
        <w:rPr>
          <w:rFonts w:ascii="Calibri" w:hAnsi="Calibri"/>
          <w:i/>
        </w:rPr>
        <w:t>Beijing Platform</w:t>
      </w:r>
      <w:r w:rsidRPr="00071BFC">
        <w:rPr>
          <w:rFonts w:ascii="Calibri" w:hAnsi="Calibri"/>
        </w:rPr>
        <w:t>, Strategic Objectives E.1. [on the protection of women living in armed conflict or under foreign occupation], and E5 [on the protection of r</w:t>
      </w:r>
      <w:r>
        <w:rPr>
          <w:rFonts w:ascii="Calibri" w:hAnsi="Calibri"/>
        </w:rPr>
        <w:t>efugee women]; and SCR 1325, OP</w:t>
      </w:r>
      <w:r w:rsidRPr="00071BFC">
        <w:rPr>
          <w:rFonts w:ascii="Calibri" w:hAnsi="Calibri"/>
        </w:rPr>
        <w:t xml:space="preserve"> 9 [on respecting the international law applicable to the rights and protection of women and girls], and 10 [on protection from gender-based violence].</w:t>
      </w:r>
    </w:p>
  </w:footnote>
  <w:footnote w:id="94">
    <w:p w14:paraId="283BD3C8" w14:textId="6AA74124"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See </w:t>
      </w:r>
      <w:r w:rsidRPr="00071BFC">
        <w:rPr>
          <w:rFonts w:ascii="Calibri" w:hAnsi="Calibri"/>
          <w:i/>
        </w:rPr>
        <w:t>Beijing Platform</w:t>
      </w:r>
      <w:r w:rsidRPr="00071BFC">
        <w:rPr>
          <w:rFonts w:ascii="Calibri" w:hAnsi="Calibri"/>
        </w:rPr>
        <w:t>, Strategic Objective E.5. [on the protection, assistance and training of refugee women], and</w:t>
      </w:r>
      <w:r>
        <w:rPr>
          <w:rFonts w:ascii="Calibri" w:hAnsi="Calibri"/>
        </w:rPr>
        <w:t xml:space="preserve"> </w:t>
      </w:r>
      <w:r w:rsidRPr="00071BFC">
        <w:rPr>
          <w:rFonts w:ascii="Calibri" w:hAnsi="Calibri"/>
        </w:rPr>
        <w:t xml:space="preserve">SCR 1325, OP 12 [on taking into account the particular needs of women and girls in refugee camps]. </w:t>
      </w:r>
    </w:p>
  </w:footnote>
  <w:footnote w:id="95">
    <w:p w14:paraId="1A386B43" w14:textId="77777777"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i/>
        </w:rPr>
        <w:t>Beijing Platform</w:t>
      </w:r>
      <w:r w:rsidRPr="00071BFC">
        <w:rPr>
          <w:rFonts w:ascii="Calibri" w:hAnsi="Calibri"/>
        </w:rPr>
        <w:t xml:space="preserve">, Strategic Objective E.2. </w:t>
      </w:r>
    </w:p>
  </w:footnote>
  <w:footnote w:id="96">
    <w:p w14:paraId="0177A762" w14:textId="7632E751"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SCR 1325, OPs 5, 10 and 13.</w:t>
      </w:r>
    </w:p>
  </w:footnote>
  <w:footnote w:id="97">
    <w:p w14:paraId="2D51CBBD" w14:textId="07344089"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i/>
        </w:rPr>
        <w:t>Beijing Platform</w:t>
      </w:r>
      <w:r w:rsidRPr="00071BFC">
        <w:rPr>
          <w:rFonts w:ascii="Calibri" w:hAnsi="Calibri"/>
        </w:rPr>
        <w:t xml:space="preserve">, OP 113. </w:t>
      </w:r>
    </w:p>
  </w:footnote>
  <w:footnote w:id="98">
    <w:p w14:paraId="3601D792" w14:textId="77777777"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i/>
        </w:rPr>
        <w:t>Beijing Platform</w:t>
      </w:r>
      <w:r w:rsidRPr="00071BFC">
        <w:rPr>
          <w:rFonts w:ascii="Calibri" w:hAnsi="Calibri"/>
        </w:rPr>
        <w:t>, Strategic Objective D1.</w:t>
      </w:r>
    </w:p>
  </w:footnote>
  <w:footnote w:id="99">
    <w:p w14:paraId="7FB7C192" w14:textId="77777777"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i/>
        </w:rPr>
        <w:t>Beijing Platform</w:t>
      </w:r>
      <w:r w:rsidRPr="00071BFC">
        <w:rPr>
          <w:rFonts w:ascii="Calibri" w:hAnsi="Calibri"/>
        </w:rPr>
        <w:t>, Strategic Objective D2.</w:t>
      </w:r>
    </w:p>
  </w:footnote>
  <w:footnote w:id="100">
    <w:p w14:paraId="4789ED75" w14:textId="77777777" w:rsidR="00D75A79" w:rsidRPr="00071BFC" w:rsidRDefault="00D75A79" w:rsidP="004E5EBC">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i/>
        </w:rPr>
        <w:t>Beijing Platform</w:t>
      </w:r>
      <w:r w:rsidRPr="00071BFC">
        <w:rPr>
          <w:rFonts w:ascii="Calibri" w:hAnsi="Calibri"/>
        </w:rPr>
        <w:t>, Strategic Objective D3.</w:t>
      </w:r>
    </w:p>
  </w:footnote>
  <w:footnote w:id="101">
    <w:p w14:paraId="104979F8" w14:textId="14DE35C6" w:rsidR="00D75A79" w:rsidRPr="00071BFC" w:rsidRDefault="00D75A79">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Pr>
          <w:rFonts w:ascii="Calibri" w:hAnsi="Calibri" w:cs="Times New Roman"/>
        </w:rPr>
        <w:t>UN General Assembly</w:t>
      </w:r>
      <w:r w:rsidRPr="00071BFC">
        <w:rPr>
          <w:rFonts w:ascii="Calibri" w:hAnsi="Calibri" w:cs="Times New Roman"/>
        </w:rPr>
        <w:t xml:space="preserve">, </w:t>
      </w:r>
      <w:r w:rsidRPr="00071BFC">
        <w:rPr>
          <w:rFonts w:ascii="Calibri" w:hAnsi="Calibri" w:cs="Times New Roman"/>
          <w:i/>
        </w:rPr>
        <w:t>Further actions and initiatives to implement the Beijing Declaration and Platform for Action</w:t>
      </w:r>
      <w:r w:rsidRPr="00071BFC">
        <w:rPr>
          <w:rFonts w:ascii="Calibri" w:hAnsi="Calibri" w:cs="Times New Roman"/>
        </w:rPr>
        <w:t>, 16 November 2000, A/RES</w:t>
      </w:r>
      <w:r>
        <w:rPr>
          <w:rFonts w:ascii="Calibri" w:hAnsi="Calibri" w:cs="Times New Roman"/>
        </w:rPr>
        <w:t>/S-23-3 (UNGA Outcome Document).</w:t>
      </w:r>
    </w:p>
  </w:footnote>
  <w:footnote w:id="102">
    <w:p w14:paraId="227E2951" w14:textId="77777777" w:rsidR="00D75A79" w:rsidRPr="00071BFC" w:rsidRDefault="00D75A79" w:rsidP="00865EA7">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Ibid.  </w:t>
      </w:r>
    </w:p>
  </w:footnote>
  <w:footnote w:id="103">
    <w:p w14:paraId="5D03DA19" w14:textId="77777777" w:rsidR="00D75A79" w:rsidRPr="00071BFC" w:rsidRDefault="00D75A79" w:rsidP="00865EA7">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Ibid. </w:t>
      </w:r>
    </w:p>
  </w:footnote>
  <w:footnote w:id="104">
    <w:p w14:paraId="77D2CA78" w14:textId="323C06DA" w:rsidR="00D75A79" w:rsidRPr="004E5CB0" w:rsidRDefault="00D75A79" w:rsidP="00865EA7">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Pr>
          <w:rFonts w:ascii="Calibri" w:hAnsi="Calibri" w:cs="Times New Roman"/>
        </w:rPr>
        <w:t>UNGA Outcome Document</w:t>
      </w:r>
      <w:r>
        <w:rPr>
          <w:rFonts w:ascii="Calibri" w:hAnsi="Calibri"/>
        </w:rPr>
        <w:t xml:space="preserve">, </w:t>
      </w:r>
      <w:r w:rsidRPr="00071BFC">
        <w:rPr>
          <w:rFonts w:ascii="Calibri" w:hAnsi="Calibri"/>
        </w:rPr>
        <w:t>para 17.</w:t>
      </w:r>
      <w:r w:rsidRPr="004E5CB0">
        <w:rPr>
          <w:rFonts w:ascii="Calibri" w:hAnsi="Calibri"/>
        </w:rPr>
        <w:t xml:space="preserve"> </w:t>
      </w:r>
    </w:p>
  </w:footnote>
  <w:footnote w:id="105">
    <w:p w14:paraId="3DD39C6D" w14:textId="75ED2892" w:rsidR="00D75A79" w:rsidRPr="00071BFC" w:rsidRDefault="00D75A79" w:rsidP="004E5CB0">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Pr>
          <w:rFonts w:ascii="Calibri" w:hAnsi="Calibri" w:cs="Times New Roman"/>
        </w:rPr>
        <w:t>UNGA Outcome Document</w:t>
      </w:r>
      <w:r w:rsidRPr="00071BFC">
        <w:rPr>
          <w:rFonts w:ascii="Calibri" w:hAnsi="Calibri"/>
        </w:rPr>
        <w:t>, para 13.</w:t>
      </w:r>
    </w:p>
  </w:footnote>
  <w:footnote w:id="106">
    <w:p w14:paraId="7A24DB49" w14:textId="77777777" w:rsidR="00D75A79" w:rsidRPr="00071BFC" w:rsidRDefault="00D75A79" w:rsidP="004E5CB0">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Ibid.</w:t>
      </w:r>
    </w:p>
  </w:footnote>
  <w:footnote w:id="107">
    <w:p w14:paraId="72FD699D" w14:textId="77777777" w:rsidR="00D75A79" w:rsidRPr="00071BFC" w:rsidRDefault="00D75A79" w:rsidP="004E5CB0">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Ibid. </w:t>
      </w:r>
    </w:p>
  </w:footnote>
  <w:footnote w:id="108">
    <w:p w14:paraId="7EC9B407" w14:textId="52B2677D" w:rsidR="00D75A79" w:rsidRPr="00071BFC" w:rsidRDefault="00D75A79" w:rsidP="004E5CB0">
      <w:pPr>
        <w:pStyle w:val="FootnoteText"/>
        <w:rPr>
          <w:rFonts w:ascii="Calibri" w:hAnsi="Calibri"/>
        </w:rPr>
      </w:pPr>
      <w:r w:rsidRPr="00071BFC">
        <w:rPr>
          <w:rStyle w:val="FootnoteReference"/>
          <w:rFonts w:ascii="Calibri" w:hAnsi="Calibri"/>
        </w:rPr>
        <w:footnoteRef/>
      </w:r>
      <w:r>
        <w:rPr>
          <w:rFonts w:ascii="Calibri" w:hAnsi="Calibri"/>
        </w:rPr>
        <w:t xml:space="preserve"> </w:t>
      </w:r>
      <w:r>
        <w:rPr>
          <w:rFonts w:ascii="Calibri" w:hAnsi="Calibri" w:cs="Times New Roman"/>
        </w:rPr>
        <w:t>UNGA Outcome Document</w:t>
      </w:r>
      <w:r w:rsidRPr="00071BFC">
        <w:rPr>
          <w:rFonts w:ascii="Calibri" w:hAnsi="Calibri"/>
        </w:rPr>
        <w:t xml:space="preserve">, para 14. </w:t>
      </w:r>
    </w:p>
  </w:footnote>
  <w:footnote w:id="109">
    <w:p w14:paraId="1B0C6476" w14:textId="77777777" w:rsidR="00D75A79" w:rsidRPr="00071BFC" w:rsidRDefault="00D75A79" w:rsidP="004E5CB0">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Ibid.  </w:t>
      </w:r>
    </w:p>
  </w:footnote>
  <w:footnote w:id="110">
    <w:p w14:paraId="4576B658" w14:textId="10B2C64D" w:rsidR="00D75A79" w:rsidRPr="00071BFC" w:rsidRDefault="00D75A79" w:rsidP="004E5CB0">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Pr>
          <w:rFonts w:ascii="Calibri" w:hAnsi="Calibri" w:cs="Times New Roman"/>
        </w:rPr>
        <w:t>UNGA Outcome Document</w:t>
      </w:r>
      <w:r w:rsidRPr="00071BFC">
        <w:rPr>
          <w:rFonts w:ascii="Calibri" w:hAnsi="Calibri"/>
        </w:rPr>
        <w:t>,</w:t>
      </w:r>
      <w:r>
        <w:rPr>
          <w:rFonts w:ascii="Calibri" w:hAnsi="Calibri"/>
        </w:rPr>
        <w:t xml:space="preserve"> </w:t>
      </w:r>
      <w:r w:rsidRPr="00071BFC">
        <w:rPr>
          <w:rFonts w:ascii="Calibri" w:hAnsi="Calibri"/>
        </w:rPr>
        <w:t xml:space="preserve">para 15. </w:t>
      </w:r>
    </w:p>
  </w:footnote>
  <w:footnote w:id="111">
    <w:p w14:paraId="763E1FA3" w14:textId="10B1D130" w:rsidR="00D75A79" w:rsidRPr="00071BFC" w:rsidRDefault="00D75A79" w:rsidP="004E5CB0">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Pr>
          <w:rFonts w:ascii="Calibri" w:hAnsi="Calibri" w:cs="Times New Roman"/>
        </w:rPr>
        <w:t>UNGA Outcome Document</w:t>
      </w:r>
      <w:r w:rsidRPr="00071BFC">
        <w:rPr>
          <w:rFonts w:ascii="Calibri" w:hAnsi="Calibri"/>
        </w:rPr>
        <w:t xml:space="preserve">, para 16. </w:t>
      </w:r>
    </w:p>
  </w:footnote>
  <w:footnote w:id="112">
    <w:p w14:paraId="2E7136C5" w14:textId="44F7A038" w:rsidR="00D75A79" w:rsidRPr="00071BFC" w:rsidRDefault="00D75A79">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cs="Times New Roman"/>
        </w:rPr>
        <w:t>UN Commission on the Status of Women, Agreed Conclusions on the prevention and elimination of violence against women and girls, 15 March 2013, E/CN/6/2013/11 (CSW Agreed Conclusions 2013).</w:t>
      </w:r>
    </w:p>
  </w:footnote>
  <w:footnote w:id="113">
    <w:p w14:paraId="627103A3" w14:textId="05016981" w:rsidR="00D75A79" w:rsidRPr="00071BFC" w:rsidRDefault="00D75A79" w:rsidP="002D1918">
      <w:pPr>
        <w:pStyle w:val="FootnoteText"/>
        <w:rPr>
          <w:rFonts w:ascii="Calibri" w:hAnsi="Calibri"/>
        </w:rPr>
      </w:pPr>
      <w:r w:rsidRPr="00071BFC">
        <w:rPr>
          <w:rStyle w:val="FootnoteReference"/>
          <w:rFonts w:ascii="Calibri" w:hAnsi="Calibri"/>
        </w:rPr>
        <w:footnoteRef/>
      </w:r>
      <w:r w:rsidRPr="00071BFC">
        <w:rPr>
          <w:rFonts w:ascii="Calibri" w:hAnsi="Calibri"/>
        </w:rPr>
        <w:t xml:space="preserve"> </w:t>
      </w:r>
      <w:r w:rsidRPr="00071BFC">
        <w:rPr>
          <w:rFonts w:ascii="Calibri" w:hAnsi="Calibri" w:cs="Times New Roman"/>
        </w:rPr>
        <w:t>CSW Agreed Conclusions 2013, OPs 8, 10-21, 30, 34A (l)-(m), and (p), B (pp) C (ddd) and D (zz) and 35.</w:t>
      </w:r>
    </w:p>
  </w:footnote>
  <w:footnote w:id="114">
    <w:p w14:paraId="73EA5254" w14:textId="58F2B89D" w:rsidR="00D75A79" w:rsidRDefault="00D75A79">
      <w:pPr>
        <w:pStyle w:val="FootnoteText"/>
      </w:pPr>
      <w:r w:rsidRPr="00071BFC">
        <w:rPr>
          <w:rStyle w:val="FootnoteReference"/>
          <w:rFonts w:ascii="Calibri" w:hAnsi="Calibri"/>
        </w:rPr>
        <w:footnoteRef/>
      </w:r>
      <w:r w:rsidRPr="00071BFC">
        <w:rPr>
          <w:rFonts w:ascii="Calibri" w:hAnsi="Calibri"/>
        </w:rPr>
        <w:t xml:space="preserve"> </w:t>
      </w:r>
      <w:r w:rsidRPr="00071BFC">
        <w:rPr>
          <w:rFonts w:ascii="Calibri" w:hAnsi="Calibri" w:cs="Times New Roman"/>
        </w:rPr>
        <w:t>CSW Agreed Conclusions 2013</w:t>
      </w:r>
      <w:r w:rsidRPr="00071BFC">
        <w:rPr>
          <w:rFonts w:ascii="Calibri" w:hAnsi="Calibri"/>
        </w:rPr>
        <w:t>, paras 15, 26-7, 34 C (ddd) and D (zz).</w:t>
      </w:r>
      <w:r>
        <w:rPr>
          <w:rFonts w:ascii="Calibri" w:hAnsi="Calibri"/>
        </w:rPr>
        <w:t xml:space="preserve"> </w:t>
      </w:r>
    </w:p>
  </w:footnote>
  <w:footnote w:id="115">
    <w:p w14:paraId="612EA8A3" w14:textId="2F320DFC" w:rsidR="00D75A79" w:rsidRDefault="00D75A79">
      <w:pPr>
        <w:pStyle w:val="FootnoteText"/>
      </w:pPr>
      <w:r w:rsidRPr="00600491">
        <w:rPr>
          <w:rStyle w:val="FootnoteReference"/>
          <w:rFonts w:ascii="Calibri" w:hAnsi="Calibri"/>
        </w:rPr>
        <w:footnoteRef/>
      </w:r>
      <w:r w:rsidRPr="00600491">
        <w:rPr>
          <w:rFonts w:ascii="Calibri" w:hAnsi="Calibri"/>
        </w:rPr>
        <w:t xml:space="preserve"> </w:t>
      </w:r>
      <w:r w:rsidRPr="00071BFC">
        <w:rPr>
          <w:rFonts w:ascii="Calibri" w:hAnsi="Calibri" w:cs="Times New Roman"/>
        </w:rPr>
        <w:t>CSW Agreed Conclusions 2013</w:t>
      </w:r>
      <w:r w:rsidRPr="00600491">
        <w:rPr>
          <w:rFonts w:ascii="Calibri" w:hAnsi="Calibri"/>
        </w:rPr>
        <w:t>, para</w:t>
      </w:r>
      <w:r>
        <w:rPr>
          <w:rFonts w:ascii="Calibri" w:hAnsi="Calibri"/>
        </w:rPr>
        <w:t xml:space="preserve">s 10-23, </w:t>
      </w:r>
      <w:r w:rsidRPr="00600491">
        <w:rPr>
          <w:rFonts w:ascii="Calibri" w:hAnsi="Calibri"/>
        </w:rPr>
        <w:t>34 C (ddd).</w:t>
      </w:r>
      <w:r>
        <w:t xml:space="preserve"> </w:t>
      </w:r>
    </w:p>
  </w:footnote>
  <w:footnote w:id="116">
    <w:p w14:paraId="6F8DA07A" w14:textId="374C73FF" w:rsidR="00D75A79" w:rsidRPr="00004535" w:rsidRDefault="00D75A79">
      <w:pPr>
        <w:pStyle w:val="FootnoteText"/>
        <w:rPr>
          <w:rFonts w:ascii="Calibri" w:hAnsi="Calibri"/>
        </w:rPr>
      </w:pPr>
      <w:r w:rsidRPr="00004535">
        <w:rPr>
          <w:rStyle w:val="FootnoteReference"/>
          <w:rFonts w:ascii="Calibri" w:hAnsi="Calibri"/>
        </w:rPr>
        <w:footnoteRef/>
      </w:r>
      <w:r>
        <w:rPr>
          <w:rFonts w:ascii="Calibri" w:hAnsi="Calibri"/>
        </w:rPr>
        <w:t xml:space="preserve"> </w:t>
      </w:r>
      <w:r w:rsidRPr="00071BFC">
        <w:rPr>
          <w:rFonts w:ascii="Calibri" w:hAnsi="Calibri" w:cs="Times New Roman"/>
        </w:rPr>
        <w:t>CSW Agreed Conclusions 2013</w:t>
      </w:r>
      <w:r w:rsidRPr="00004535">
        <w:rPr>
          <w:rFonts w:ascii="Calibri" w:hAnsi="Calibri"/>
        </w:rPr>
        <w:t xml:space="preserve">, paras </w:t>
      </w:r>
      <w:r>
        <w:rPr>
          <w:rFonts w:ascii="Calibri" w:hAnsi="Calibri"/>
        </w:rPr>
        <w:t>17,19, 28, 29, and 34 C (ddd).</w:t>
      </w:r>
    </w:p>
  </w:footnote>
  <w:footnote w:id="117">
    <w:p w14:paraId="2591A04B" w14:textId="394CBCC1" w:rsidR="00D75A79" w:rsidRPr="00004535" w:rsidRDefault="00D75A79">
      <w:pPr>
        <w:pStyle w:val="FootnoteText"/>
        <w:rPr>
          <w:rFonts w:ascii="Calibri" w:hAnsi="Calibri"/>
        </w:rPr>
      </w:pPr>
      <w:r w:rsidRPr="00004535">
        <w:rPr>
          <w:rStyle w:val="FootnoteReference"/>
          <w:rFonts w:ascii="Calibri" w:hAnsi="Calibri"/>
        </w:rPr>
        <w:footnoteRef/>
      </w:r>
      <w:r w:rsidRPr="00004535">
        <w:rPr>
          <w:rFonts w:ascii="Calibri" w:hAnsi="Calibri"/>
        </w:rPr>
        <w:t xml:space="preserve"> </w:t>
      </w:r>
      <w:r w:rsidRPr="00071BFC">
        <w:rPr>
          <w:rFonts w:ascii="Calibri" w:hAnsi="Calibri" w:cs="Times New Roman"/>
        </w:rPr>
        <w:t>CSW Agreed Conclusions 2013</w:t>
      </w:r>
      <w:r w:rsidRPr="00004535">
        <w:rPr>
          <w:rFonts w:ascii="Calibri" w:hAnsi="Calibri"/>
        </w:rPr>
        <w:t>, para 32 (p).</w:t>
      </w:r>
    </w:p>
  </w:footnote>
  <w:footnote w:id="118">
    <w:p w14:paraId="1BCCAFE1" w14:textId="1165F4D2" w:rsidR="00D75A79" w:rsidRDefault="00D75A79" w:rsidP="006D4F1C">
      <w:pPr>
        <w:pStyle w:val="FootnoteText"/>
      </w:pPr>
      <w:r w:rsidRPr="00004535">
        <w:rPr>
          <w:rStyle w:val="FootnoteReference"/>
          <w:rFonts w:ascii="Calibri" w:hAnsi="Calibri"/>
        </w:rPr>
        <w:footnoteRef/>
      </w:r>
      <w:r w:rsidRPr="00004535">
        <w:rPr>
          <w:rFonts w:ascii="Calibri" w:hAnsi="Calibri"/>
        </w:rPr>
        <w:t xml:space="preserve"> </w:t>
      </w:r>
      <w:r w:rsidRPr="00071BFC">
        <w:rPr>
          <w:rFonts w:ascii="Calibri" w:hAnsi="Calibri" w:cs="Times New Roman"/>
        </w:rPr>
        <w:t>CSW Agreed Conclusions 2013</w:t>
      </w:r>
      <w:r w:rsidRPr="00004535">
        <w:rPr>
          <w:rFonts w:ascii="Calibri" w:hAnsi="Calibri"/>
        </w:rPr>
        <w:t>, para</w:t>
      </w:r>
      <w:r>
        <w:rPr>
          <w:rFonts w:ascii="Calibri" w:hAnsi="Calibri"/>
        </w:rPr>
        <w:t>s 13, 34 A (m).</w:t>
      </w:r>
    </w:p>
  </w:footnote>
  <w:footnote w:id="119">
    <w:p w14:paraId="5308E894" w14:textId="77777777" w:rsidR="00F7609A" w:rsidRPr="00361A2D" w:rsidRDefault="00F7609A" w:rsidP="00F7609A">
      <w:pPr>
        <w:pStyle w:val="FootnoteText"/>
        <w:ind w:right="57"/>
        <w:rPr>
          <w:rFonts w:ascii="Calibri" w:hAnsi="Calibri"/>
        </w:rPr>
      </w:pPr>
      <w:r w:rsidRPr="00361A2D">
        <w:rPr>
          <w:rStyle w:val="FootnoteReference"/>
          <w:rFonts w:ascii="Calibri" w:hAnsi="Calibri"/>
        </w:rPr>
        <w:footnoteRef/>
      </w:r>
      <w:r>
        <w:rPr>
          <w:rFonts w:ascii="Calibri" w:hAnsi="Calibri" w:cs="Times New Roman"/>
        </w:rPr>
        <w:t xml:space="preserve"> Convention on the Elimination of All Forms of Discrimination against Women (adopted on 18 December 1979, entered into force 3 September 1981) 1249 UNTS 13 (CEDAW); CEDAW GR No. 30; </w:t>
      </w:r>
      <w:r w:rsidRPr="00361A2D">
        <w:rPr>
          <w:rFonts w:ascii="Calibri" w:hAnsi="Calibri" w:cs="Times New Roman"/>
        </w:rPr>
        <w:t xml:space="preserve">United Nations, </w:t>
      </w:r>
      <w:r w:rsidRPr="00361A2D">
        <w:rPr>
          <w:rFonts w:ascii="Calibri" w:hAnsi="Calibri" w:cs="Times New Roman"/>
          <w:i/>
          <w:iCs/>
        </w:rPr>
        <w:t>Beijing Declaration and Platform of Action, adopted at the Fourth World Conference on Women</w:t>
      </w:r>
      <w:r w:rsidRPr="00361A2D">
        <w:rPr>
          <w:rFonts w:ascii="Calibri" w:hAnsi="Calibri" w:cs="Times New Roman"/>
        </w:rPr>
        <w:t>, 27 October 1995</w:t>
      </w:r>
      <w:r>
        <w:rPr>
          <w:rFonts w:ascii="Calibri" w:hAnsi="Calibri" w:cs="Times New Roman"/>
        </w:rPr>
        <w:t xml:space="preserve"> (</w:t>
      </w:r>
      <w:proofErr w:type="spellStart"/>
      <w:r>
        <w:rPr>
          <w:rFonts w:ascii="Calibri" w:hAnsi="Calibri" w:cs="Times New Roman"/>
        </w:rPr>
        <w:t>BPfA</w:t>
      </w:r>
      <w:proofErr w:type="spellEnd"/>
      <w:r>
        <w:rPr>
          <w:rFonts w:ascii="Calibri" w:hAnsi="Calibri" w:cs="Times New Roman"/>
        </w:rPr>
        <w:t xml:space="preserve">); UNGA, </w:t>
      </w:r>
      <w:r>
        <w:rPr>
          <w:rFonts w:ascii="Calibri" w:hAnsi="Calibri" w:cs="Times New Roman"/>
          <w:i/>
        </w:rPr>
        <w:t>Further actions and initiatives to implement the Beijing Declaration and Platform for Action</w:t>
      </w:r>
      <w:r>
        <w:rPr>
          <w:rFonts w:ascii="Calibri" w:hAnsi="Calibri" w:cs="Times New Roman"/>
        </w:rPr>
        <w:t xml:space="preserve">, 16 November 2000, A/RES/S-23-3 (UNGA Outcome Document); and UN Commission on the Status of Women, </w:t>
      </w:r>
      <w:r w:rsidRPr="00AF0B63">
        <w:rPr>
          <w:rFonts w:ascii="Calibri" w:hAnsi="Calibri" w:cs="Times New Roman"/>
          <w:i/>
        </w:rPr>
        <w:t>Agreed Conclusions on the prevention and elimination of violence against women and girls,</w:t>
      </w:r>
      <w:r>
        <w:rPr>
          <w:rFonts w:ascii="Calibri" w:hAnsi="Calibri" w:cs="Times New Roman"/>
        </w:rPr>
        <w:t xml:space="preserve"> 15 March 2013, E/CN/6/2013/11 (CSW Agreed Conclusions 2013). </w:t>
      </w:r>
    </w:p>
  </w:footnote>
  <w:footnote w:id="120">
    <w:p w14:paraId="5FE6494D" w14:textId="7DD8E6C0" w:rsidR="00D75A79" w:rsidRPr="009420B0" w:rsidRDefault="00D75A79">
      <w:pPr>
        <w:pStyle w:val="FootnoteText"/>
        <w:rPr>
          <w:rFonts w:ascii="Calibri" w:hAnsi="Calibri"/>
          <w:lang w:val="en-GB"/>
        </w:rPr>
      </w:pPr>
      <w:r w:rsidRPr="009420B0">
        <w:rPr>
          <w:rStyle w:val="FootnoteReference"/>
          <w:rFonts w:ascii="Calibri" w:hAnsi="Calibri"/>
        </w:rPr>
        <w:footnoteRef/>
      </w:r>
      <w:r w:rsidRPr="009420B0">
        <w:rPr>
          <w:rFonts w:ascii="Calibri" w:hAnsi="Calibri"/>
        </w:rPr>
        <w:t xml:space="preserve"> </w:t>
      </w:r>
      <w:proofErr w:type="gramStart"/>
      <w:r w:rsidRPr="009420B0">
        <w:rPr>
          <w:rFonts w:ascii="Calibri" w:hAnsi="Calibri"/>
        </w:rPr>
        <w:t>UN Security Council Resolution 1325 (30 October 2000) UN Doc S/RES/1325 (SCR 1325).</w:t>
      </w:r>
      <w:proofErr w:type="gramEnd"/>
    </w:p>
  </w:footnote>
  <w:footnote w:id="121">
    <w:p w14:paraId="50EAED8C" w14:textId="1A2646E9" w:rsidR="00D75A79" w:rsidRPr="009420B0" w:rsidRDefault="00D75A79" w:rsidP="00F31EF8">
      <w:pPr>
        <w:pStyle w:val="FootnoteText"/>
        <w:rPr>
          <w:rFonts w:ascii="Calibri" w:hAnsi="Calibri"/>
        </w:rPr>
      </w:pPr>
      <w:r w:rsidRPr="009420B0">
        <w:rPr>
          <w:rStyle w:val="FootnoteReference"/>
          <w:rFonts w:ascii="Calibri" w:hAnsi="Calibri"/>
        </w:rPr>
        <w:footnoteRef/>
      </w:r>
      <w:r w:rsidRPr="009420B0">
        <w:rPr>
          <w:rFonts w:ascii="Calibri" w:hAnsi="Calibri"/>
        </w:rPr>
        <w:t xml:space="preserve"> </w:t>
      </w:r>
      <w:r w:rsidRPr="009420B0">
        <w:rPr>
          <w:rFonts w:ascii="Calibri" w:hAnsi="Calibri"/>
          <w:color w:val="000000" w:themeColor="text1"/>
        </w:rPr>
        <w:t xml:space="preserve">See Presidential statements of the UN Security Council, </w:t>
      </w:r>
      <w:hyperlink r:id="rId3" w:tgtFrame="_blank" w:history="1">
        <w:r w:rsidRPr="009420B0">
          <w:rPr>
            <w:rStyle w:val="Hyperlink"/>
            <w:rFonts w:ascii="Calibri" w:eastAsia="Times New Roman" w:hAnsi="Calibri" w:cs="Arial"/>
            <w:color w:val="000000" w:themeColor="text1"/>
            <w:u w:val="none"/>
            <w:shd w:val="clear" w:color="auto" w:fill="FFFFFF"/>
          </w:rPr>
          <w:t>S/PRST/2004/40</w:t>
        </w:r>
      </w:hyperlink>
      <w:r w:rsidRPr="009420B0">
        <w:rPr>
          <w:rFonts w:ascii="Calibri" w:eastAsia="Times New Roman" w:hAnsi="Calibri" w:cs="Arial"/>
          <w:color w:val="000000" w:themeColor="text1"/>
          <w:shd w:val="clear" w:color="auto" w:fill="FFFFFF"/>
        </w:rPr>
        <w:t>and</w:t>
      </w:r>
      <w:r w:rsidRPr="009420B0">
        <w:rPr>
          <w:rStyle w:val="apple-converted-space"/>
          <w:rFonts w:ascii="Calibri" w:eastAsia="Times New Roman" w:hAnsi="Calibri" w:cs="Arial"/>
          <w:color w:val="000000" w:themeColor="text1"/>
          <w:shd w:val="clear" w:color="auto" w:fill="FFFFFF"/>
        </w:rPr>
        <w:t> </w:t>
      </w:r>
      <w:hyperlink r:id="rId4" w:tgtFrame="_blank" w:history="1">
        <w:r w:rsidRPr="009420B0">
          <w:rPr>
            <w:rStyle w:val="Hyperlink"/>
            <w:rFonts w:ascii="Calibri" w:eastAsia="Times New Roman" w:hAnsi="Calibri" w:cs="Arial"/>
            <w:color w:val="000000" w:themeColor="text1"/>
            <w:u w:val="none"/>
            <w:shd w:val="clear" w:color="auto" w:fill="FFFFFF"/>
          </w:rPr>
          <w:t>S/PRST/2005/52</w:t>
        </w:r>
      </w:hyperlink>
      <w:proofErr w:type="gramStart"/>
      <w:r w:rsidRPr="009420B0">
        <w:rPr>
          <w:rFonts w:ascii="Calibri" w:eastAsia="Times New Roman" w:hAnsi="Calibri" w:cs="Times New Roman"/>
          <w:color w:val="000000" w:themeColor="text1"/>
        </w:rPr>
        <w:t>.</w:t>
      </w:r>
      <w:r>
        <w:rPr>
          <w:rFonts w:ascii="Calibri" w:hAnsi="Calibri"/>
        </w:rPr>
        <w:t>.</w:t>
      </w:r>
      <w:proofErr w:type="gramEnd"/>
      <w:r>
        <w:rPr>
          <w:rFonts w:ascii="Calibri" w:hAnsi="Calibri"/>
        </w:rPr>
        <w:t xml:space="preserve"> The relevant UN Security Council resolutions on women, peace and security are: </w:t>
      </w:r>
      <w:r w:rsidRPr="009420B0">
        <w:rPr>
          <w:rFonts w:ascii="Calibri" w:hAnsi="Calibri"/>
        </w:rPr>
        <w:t>UN Security Council Resolution 1</w:t>
      </w:r>
      <w:r>
        <w:rPr>
          <w:rFonts w:ascii="Calibri" w:hAnsi="Calibri"/>
        </w:rPr>
        <w:t>820</w:t>
      </w:r>
      <w:r w:rsidRPr="009420B0">
        <w:rPr>
          <w:rFonts w:ascii="Calibri" w:hAnsi="Calibri"/>
        </w:rPr>
        <w:t xml:space="preserve"> (</w:t>
      </w:r>
      <w:r>
        <w:rPr>
          <w:rFonts w:ascii="Calibri" w:hAnsi="Calibri"/>
        </w:rPr>
        <w:t>19 June 2008</w:t>
      </w:r>
      <w:r w:rsidRPr="009420B0">
        <w:rPr>
          <w:rFonts w:ascii="Calibri" w:hAnsi="Calibri"/>
        </w:rPr>
        <w:t>) UN Doc S/RES/1</w:t>
      </w:r>
      <w:r>
        <w:rPr>
          <w:rFonts w:ascii="Calibri" w:hAnsi="Calibri"/>
        </w:rPr>
        <w:t>820 (SCR 1820). See also: UN Security Council Resolution 1888 (30 September 2009) UN Doc S/RES/1888 (SCR 1888)</w:t>
      </w:r>
      <w:r>
        <w:rPr>
          <w:rFonts w:ascii="Calibri" w:hAnsi="Calibri" w:cs="Times New Roman"/>
        </w:rPr>
        <w:t>;</w:t>
      </w:r>
      <w:r w:rsidRPr="009850ED">
        <w:rPr>
          <w:rFonts w:ascii="Calibri" w:hAnsi="Calibri" w:cs="Times New Roman"/>
        </w:rPr>
        <w:t xml:space="preserve"> </w:t>
      </w:r>
      <w:r>
        <w:rPr>
          <w:rFonts w:ascii="Calibri" w:hAnsi="Calibri"/>
        </w:rPr>
        <w:t xml:space="preserve">UN Security Council Resolution </w:t>
      </w:r>
      <w:r w:rsidRPr="009850ED">
        <w:rPr>
          <w:rFonts w:ascii="Calibri" w:hAnsi="Calibri" w:cs="Times New Roman"/>
        </w:rPr>
        <w:t>1889</w:t>
      </w:r>
      <w:r>
        <w:rPr>
          <w:rFonts w:ascii="Calibri" w:hAnsi="Calibri" w:cs="Times New Roman"/>
        </w:rPr>
        <w:t xml:space="preserve"> (5 October 2009) UN Doc S/RES/1889 (SCR 1889); UN Security Council Resolution </w:t>
      </w:r>
      <w:r w:rsidRPr="009850ED">
        <w:rPr>
          <w:rFonts w:ascii="Calibri" w:hAnsi="Calibri" w:cs="Times New Roman"/>
        </w:rPr>
        <w:t>1960</w:t>
      </w:r>
      <w:r>
        <w:rPr>
          <w:rFonts w:ascii="Calibri" w:hAnsi="Calibri" w:cs="Times New Roman"/>
        </w:rPr>
        <w:t xml:space="preserve"> (16 December 2010) UN Doc S/RES/1960 (SCR 1960); UN Security Council Resolution 2106 (24 June 2013) UN Doc S/RES/2106 (SCR 2106); </w:t>
      </w:r>
      <w:r w:rsidRPr="009850ED">
        <w:rPr>
          <w:rFonts w:ascii="Calibri" w:hAnsi="Calibri" w:cs="Times New Roman"/>
        </w:rPr>
        <w:t xml:space="preserve"> </w:t>
      </w:r>
      <w:r>
        <w:rPr>
          <w:rFonts w:ascii="Calibri" w:hAnsi="Calibri" w:cs="Times New Roman"/>
        </w:rPr>
        <w:t>and UN Security Council Resolution</w:t>
      </w:r>
      <w:r w:rsidRPr="009850ED">
        <w:rPr>
          <w:rFonts w:ascii="Calibri" w:hAnsi="Calibri" w:cs="Times New Roman"/>
        </w:rPr>
        <w:t xml:space="preserve"> 2122 (</w:t>
      </w:r>
      <w:r>
        <w:rPr>
          <w:rFonts w:ascii="Calibri" w:hAnsi="Calibri" w:cs="Times New Roman"/>
        </w:rPr>
        <w:t xml:space="preserve">18 October 2013) UN Doc S/RES/2122 (SCR 2122). </w:t>
      </w:r>
    </w:p>
  </w:footnote>
  <w:footnote w:id="122">
    <w:p w14:paraId="5ECC6D50" w14:textId="77777777" w:rsidR="00D75A79" w:rsidRPr="00E05DBB" w:rsidRDefault="00D75A79" w:rsidP="00B721A4">
      <w:pPr>
        <w:pStyle w:val="FootnoteText"/>
        <w:jc w:val="left"/>
        <w:rPr>
          <w:rFonts w:ascii="Calibri" w:hAnsi="Calibri"/>
        </w:rPr>
      </w:pPr>
      <w:r w:rsidRPr="00E05DBB">
        <w:rPr>
          <w:rStyle w:val="FootnoteReference"/>
          <w:rFonts w:ascii="Calibri" w:hAnsi="Calibri"/>
        </w:rPr>
        <w:footnoteRef/>
      </w:r>
      <w:r w:rsidRPr="00E05DBB">
        <w:rPr>
          <w:rFonts w:ascii="Calibri" w:hAnsi="Calibri"/>
        </w:rPr>
        <w:t xml:space="preserve"> </w:t>
      </w:r>
      <w:r>
        <w:rPr>
          <w:rFonts w:ascii="Calibri" w:hAnsi="Calibri"/>
        </w:rPr>
        <w:t xml:space="preserve">See Institute for Inclusive Security, “The Power of a Plan” (2014) available from: </w:t>
      </w:r>
      <w:r w:rsidRPr="00E05DBB">
        <w:rPr>
          <w:rFonts w:ascii="Calibri" w:hAnsi="Calibri"/>
        </w:rPr>
        <w:t>http://actionplans.inclusivesecurity.org/</w:t>
      </w:r>
      <w:r>
        <w:rPr>
          <w:rFonts w:ascii="Calibri" w:hAnsi="Calibri"/>
        </w:rPr>
        <w:t>.</w:t>
      </w:r>
    </w:p>
  </w:footnote>
  <w:footnote w:id="123">
    <w:p w14:paraId="4C4B5A40" w14:textId="4F282FA6" w:rsidR="00D75A79" w:rsidRPr="009420B0" w:rsidRDefault="00D75A79">
      <w:pPr>
        <w:pStyle w:val="FootnoteText"/>
        <w:rPr>
          <w:rFonts w:ascii="Calibri" w:hAnsi="Calibri"/>
        </w:rPr>
      </w:pPr>
      <w:r w:rsidRPr="009420B0">
        <w:rPr>
          <w:rStyle w:val="FootnoteReference"/>
          <w:rFonts w:ascii="Calibri" w:hAnsi="Calibri"/>
        </w:rPr>
        <w:footnoteRef/>
      </w:r>
      <w:r w:rsidRPr="009420B0">
        <w:rPr>
          <w:rFonts w:ascii="Calibri" w:hAnsi="Calibri"/>
        </w:rPr>
        <w:t xml:space="preserve"> </w:t>
      </w:r>
      <w:r>
        <w:rPr>
          <w:rFonts w:ascii="Calibri" w:hAnsi="Calibri"/>
        </w:rPr>
        <w:t xml:space="preserve">Aisling </w:t>
      </w:r>
      <w:r>
        <w:rPr>
          <w:rFonts w:ascii="Calibri" w:hAnsi="Calibri"/>
          <w:lang w:val="en-GB"/>
        </w:rPr>
        <w:t>Swaine, ‘</w:t>
      </w:r>
      <w:r w:rsidRPr="009420B0">
        <w:rPr>
          <w:rFonts w:ascii="Calibri" w:hAnsi="Calibri"/>
          <w:lang w:val="en-GB"/>
        </w:rPr>
        <w:t>Assessing the Potential of National Action Plans to Advance Implementation of United Nations S</w:t>
      </w:r>
      <w:r>
        <w:rPr>
          <w:rFonts w:ascii="Calibri" w:hAnsi="Calibri"/>
          <w:lang w:val="en-GB"/>
        </w:rPr>
        <w:t>ecurity Council Resolution 1325’</w:t>
      </w:r>
      <w:r w:rsidRPr="009420B0">
        <w:rPr>
          <w:rFonts w:ascii="Calibri" w:hAnsi="Calibri"/>
          <w:lang w:val="en-GB"/>
        </w:rPr>
        <w:t xml:space="preserve"> (2009) 12 </w:t>
      </w:r>
      <w:r w:rsidRPr="00B72C09">
        <w:rPr>
          <w:rFonts w:ascii="Calibri" w:hAnsi="Calibri"/>
          <w:i/>
          <w:lang w:val="en-GB"/>
        </w:rPr>
        <w:t>Yearbook of International Humanitarian Law</w:t>
      </w:r>
      <w:r>
        <w:rPr>
          <w:rFonts w:ascii="Calibri" w:hAnsi="Calibri"/>
          <w:lang w:val="en-GB"/>
        </w:rPr>
        <w:t>, pp. 403-</w:t>
      </w:r>
      <w:r w:rsidRPr="009420B0">
        <w:rPr>
          <w:rFonts w:ascii="Calibri" w:hAnsi="Calibri"/>
          <w:lang w:val="en-GB"/>
        </w:rPr>
        <w:t>33, p. 433.</w:t>
      </w:r>
    </w:p>
  </w:footnote>
  <w:footnote w:id="124">
    <w:p w14:paraId="2594B9AA" w14:textId="53F55F0B" w:rsidR="00D75A79" w:rsidRPr="009420B0" w:rsidRDefault="00D75A79">
      <w:pPr>
        <w:pStyle w:val="FootnoteText"/>
        <w:rPr>
          <w:rFonts w:ascii="Calibri" w:hAnsi="Calibri"/>
        </w:rPr>
      </w:pPr>
      <w:r w:rsidRPr="009420B0">
        <w:rPr>
          <w:rStyle w:val="FootnoteReference"/>
          <w:rFonts w:ascii="Calibri" w:hAnsi="Calibri"/>
        </w:rPr>
        <w:footnoteRef/>
      </w:r>
      <w:r w:rsidRPr="009420B0">
        <w:rPr>
          <w:rFonts w:ascii="Calibri" w:hAnsi="Calibri"/>
        </w:rPr>
        <w:t xml:space="preserve"> Ibid.</w:t>
      </w:r>
    </w:p>
  </w:footnote>
  <w:footnote w:id="125">
    <w:p w14:paraId="4EDD3F61" w14:textId="58A0F67E" w:rsidR="00D75A79" w:rsidRDefault="00D75A79" w:rsidP="00B72C09">
      <w:pPr>
        <w:pStyle w:val="FootnoteText"/>
      </w:pPr>
      <w:r w:rsidRPr="009420B0">
        <w:rPr>
          <w:rStyle w:val="FootnoteReference"/>
          <w:rFonts w:ascii="Calibri" w:hAnsi="Calibri"/>
        </w:rPr>
        <w:footnoteRef/>
      </w:r>
      <w:r>
        <w:t xml:space="preserve"> </w:t>
      </w:r>
      <w:r>
        <w:rPr>
          <w:rFonts w:ascii="Calibri" w:hAnsi="Calibri" w:cs="Times New Roman"/>
        </w:rPr>
        <w:t xml:space="preserve">Convention on the Elimination of All Forms of Discrimination against Women (adopted on 18 December 1979, entered into force 3 September 1981) 1249 UNTS 13 (CEDAW); </w:t>
      </w:r>
      <w:r w:rsidRPr="00AB47DC">
        <w:rPr>
          <w:rFonts w:ascii="Calibri" w:hAnsi="Calibri" w:cs="Times New Roman"/>
        </w:rPr>
        <w:t>Committee on the Elimination on of Discrimination against Women (CEDAW Committee) General Recommendation No. 30 on women in conflict prevention, conflict and post-conflict situations (adopted on 18 October 2013) CEDAW/C/GC/30</w:t>
      </w:r>
      <w:r>
        <w:rPr>
          <w:rFonts w:ascii="Calibri" w:hAnsi="Calibri" w:cs="Times New Roman"/>
        </w:rPr>
        <w:t xml:space="preserve"> (CEDAW GR No. 30); </w:t>
      </w:r>
      <w:r w:rsidRPr="00361A2D">
        <w:rPr>
          <w:rFonts w:ascii="Calibri" w:hAnsi="Calibri" w:cs="Times New Roman"/>
        </w:rPr>
        <w:t xml:space="preserve">United Nations, </w:t>
      </w:r>
      <w:r w:rsidRPr="00361A2D">
        <w:rPr>
          <w:rFonts w:ascii="Calibri" w:hAnsi="Calibri" w:cs="Times New Roman"/>
          <w:i/>
          <w:iCs/>
        </w:rPr>
        <w:t>Beijing Declaration and Platform of Action, adopted at the Fourth World Conference on Women</w:t>
      </w:r>
      <w:r w:rsidRPr="00361A2D">
        <w:rPr>
          <w:rFonts w:ascii="Calibri" w:hAnsi="Calibri" w:cs="Times New Roman"/>
        </w:rPr>
        <w:t>, 27 October 1995</w:t>
      </w:r>
      <w:r>
        <w:rPr>
          <w:rFonts w:ascii="Calibri" w:hAnsi="Calibri" w:cs="Times New Roman"/>
        </w:rPr>
        <w:t xml:space="preserve">. See Section 1. </w:t>
      </w:r>
    </w:p>
  </w:footnote>
  <w:footnote w:id="126">
    <w:p w14:paraId="38CF46C1" w14:textId="4421CC2A" w:rsidR="00D75A79" w:rsidRPr="008B6E37" w:rsidRDefault="00D75A79" w:rsidP="00517287">
      <w:pPr>
        <w:rPr>
          <w:rFonts w:ascii="Calibri" w:eastAsia="Times New Roman" w:hAnsi="Calibri" w:cs="Times New Roman"/>
          <w:sz w:val="20"/>
          <w:szCs w:val="20"/>
        </w:rPr>
      </w:pPr>
      <w:r w:rsidRPr="008B6E37">
        <w:rPr>
          <w:rStyle w:val="FootnoteReference"/>
          <w:rFonts w:ascii="Calibri" w:hAnsi="Calibri"/>
          <w:sz w:val="20"/>
          <w:szCs w:val="20"/>
        </w:rPr>
        <w:footnoteRef/>
      </w:r>
      <w:r w:rsidRPr="008B6E37">
        <w:rPr>
          <w:rFonts w:ascii="Calibri" w:hAnsi="Calibri"/>
          <w:sz w:val="20"/>
          <w:szCs w:val="20"/>
        </w:rPr>
        <w:t xml:space="preserve"> </w:t>
      </w:r>
      <w:r w:rsidRPr="008B6E37">
        <w:rPr>
          <w:rFonts w:ascii="Calibri" w:hAnsi="Calibri"/>
          <w:sz w:val="20"/>
          <w:szCs w:val="20"/>
          <w:lang w:val="en-US"/>
        </w:rPr>
        <w:t xml:space="preserve"> </w:t>
      </w:r>
      <w:r>
        <w:rPr>
          <w:rFonts w:ascii="Calibri" w:hAnsi="Calibri"/>
          <w:sz w:val="20"/>
          <w:szCs w:val="20"/>
          <w:lang w:val="en-US"/>
        </w:rPr>
        <w:t xml:space="preserve">United Nations News Centre, </w:t>
      </w:r>
      <w:r>
        <w:rPr>
          <w:rFonts w:ascii="Calibri" w:eastAsia="Times New Roman" w:hAnsi="Calibri" w:cs="Times New Roman"/>
          <w:bCs/>
          <w:sz w:val="20"/>
          <w:szCs w:val="20"/>
          <w:shd w:val="clear" w:color="auto" w:fill="FFFFFF"/>
        </w:rPr>
        <w:t>‘</w:t>
      </w:r>
      <w:r w:rsidRPr="008B6E37">
        <w:rPr>
          <w:rFonts w:ascii="Calibri" w:eastAsia="Times New Roman" w:hAnsi="Calibri" w:cs="Times New Roman"/>
          <w:bCs/>
          <w:sz w:val="20"/>
          <w:szCs w:val="20"/>
          <w:shd w:val="clear" w:color="auto" w:fill="FFFFFF"/>
        </w:rPr>
        <w:t>Tackling sexual violence must include prevention, e</w:t>
      </w:r>
      <w:r>
        <w:rPr>
          <w:rFonts w:ascii="Calibri" w:eastAsia="Times New Roman" w:hAnsi="Calibri" w:cs="Times New Roman"/>
          <w:bCs/>
          <w:sz w:val="20"/>
          <w:szCs w:val="20"/>
          <w:shd w:val="clear" w:color="auto" w:fill="FFFFFF"/>
        </w:rPr>
        <w:t xml:space="preserve">nding impunity – UN official’ </w:t>
      </w:r>
      <w:r w:rsidRPr="008B6E37">
        <w:rPr>
          <w:rFonts w:ascii="Calibri" w:eastAsia="Times New Roman" w:hAnsi="Calibri" w:cs="Times New Roman"/>
          <w:bCs/>
          <w:sz w:val="20"/>
          <w:szCs w:val="20"/>
          <w:shd w:val="clear" w:color="auto" w:fill="FFFFFF"/>
        </w:rPr>
        <w:t>(2010) available from: http://www.un.org/apps/news/story.asp?NewsID=34502#.VRMCpzvF9fx.</w:t>
      </w:r>
    </w:p>
  </w:footnote>
  <w:footnote w:id="127">
    <w:p w14:paraId="02DA2A84" w14:textId="6EFACBB5" w:rsidR="00D75A79" w:rsidRPr="008B6E37" w:rsidRDefault="00D75A79" w:rsidP="00151500">
      <w:pPr>
        <w:jc w:val="both"/>
        <w:rPr>
          <w:rFonts w:ascii="Calibri" w:eastAsia="Times New Roman" w:hAnsi="Calibri" w:cs="Times New Roman"/>
          <w:sz w:val="20"/>
          <w:szCs w:val="20"/>
        </w:rPr>
      </w:pPr>
      <w:r w:rsidRPr="008B6E37">
        <w:rPr>
          <w:rStyle w:val="FootnoteReference"/>
          <w:rFonts w:ascii="Calibri" w:hAnsi="Calibri"/>
          <w:sz w:val="20"/>
          <w:szCs w:val="20"/>
        </w:rPr>
        <w:footnoteRef/>
      </w:r>
      <w:r w:rsidRPr="008B6E37">
        <w:rPr>
          <w:rFonts w:ascii="Calibri" w:hAnsi="Calibri"/>
          <w:sz w:val="20"/>
          <w:szCs w:val="20"/>
        </w:rPr>
        <w:t xml:space="preserve"> </w:t>
      </w:r>
      <w:r w:rsidRPr="008B6E37">
        <w:rPr>
          <w:rFonts w:ascii="Calibri" w:eastAsia="Times New Roman" w:hAnsi="Calibri" w:cs="Times New Roman"/>
          <w:sz w:val="20"/>
          <w:szCs w:val="20"/>
        </w:rPr>
        <w:t>World Organisation against Torture and Women's Synergy f</w:t>
      </w:r>
      <w:r>
        <w:rPr>
          <w:rFonts w:ascii="Calibri" w:eastAsia="Times New Roman" w:hAnsi="Calibri" w:cs="Times New Roman"/>
          <w:sz w:val="20"/>
          <w:szCs w:val="20"/>
        </w:rPr>
        <w:t>or Victims of Sexual Violence, ‘</w:t>
      </w:r>
      <w:r w:rsidRPr="008B6E37">
        <w:rPr>
          <w:rFonts w:ascii="Calibri" w:eastAsia="Times New Roman" w:hAnsi="Calibri" w:cs="Times New Roman"/>
          <w:sz w:val="20"/>
          <w:szCs w:val="20"/>
        </w:rPr>
        <w:t xml:space="preserve">Report On Violence Against Women In North And South Kivu, In The Democratic Republic Of Congo: Alternative Report </w:t>
      </w:r>
      <w:r>
        <w:rPr>
          <w:rFonts w:ascii="Calibri" w:eastAsia="Times New Roman" w:hAnsi="Calibri" w:cs="Times New Roman"/>
          <w:sz w:val="20"/>
          <w:szCs w:val="20"/>
        </w:rPr>
        <w:t>For The CEDAW Committee”’(2013) (World Organisation against Torture)</w:t>
      </w:r>
      <w:r w:rsidRPr="008B6E37">
        <w:rPr>
          <w:rFonts w:ascii="Calibri" w:eastAsia="Times New Roman" w:hAnsi="Calibri" w:cs="Times New Roman"/>
          <w:sz w:val="20"/>
          <w:szCs w:val="20"/>
        </w:rPr>
        <w:t xml:space="preserve"> </w:t>
      </w:r>
      <w:r w:rsidRPr="008B6E37">
        <w:rPr>
          <w:rFonts w:ascii="Calibri" w:hAnsi="Calibri"/>
          <w:sz w:val="20"/>
          <w:szCs w:val="20"/>
          <w:lang w:val="en-US"/>
        </w:rPr>
        <w:t>p</w:t>
      </w:r>
      <w:r>
        <w:rPr>
          <w:rFonts w:ascii="Calibri" w:hAnsi="Calibri"/>
          <w:sz w:val="20"/>
          <w:szCs w:val="20"/>
          <w:lang w:val="en-US"/>
        </w:rPr>
        <w:t>.</w:t>
      </w:r>
      <w:r w:rsidRPr="008B6E37">
        <w:rPr>
          <w:rFonts w:ascii="Calibri" w:hAnsi="Calibri"/>
          <w:sz w:val="20"/>
          <w:szCs w:val="20"/>
          <w:lang w:val="en-US"/>
        </w:rPr>
        <w:t xml:space="preserve"> 1. </w:t>
      </w:r>
    </w:p>
  </w:footnote>
  <w:footnote w:id="128">
    <w:p w14:paraId="069DB99D" w14:textId="2665D6A4" w:rsidR="00D75A79" w:rsidRPr="008B6E37" w:rsidRDefault="00D75A79" w:rsidP="00151500">
      <w:pPr>
        <w:jc w:val="both"/>
        <w:rPr>
          <w:rFonts w:ascii="Calibri" w:eastAsia="Times New Roman" w:hAnsi="Calibri" w:cs="Times New Roman"/>
          <w:color w:val="3F3F3F"/>
          <w:sz w:val="20"/>
          <w:szCs w:val="20"/>
        </w:rPr>
      </w:pPr>
      <w:r w:rsidRPr="008B6E37">
        <w:rPr>
          <w:rStyle w:val="FootnoteReference"/>
          <w:rFonts w:ascii="Calibri" w:hAnsi="Calibri"/>
          <w:sz w:val="20"/>
          <w:szCs w:val="20"/>
        </w:rPr>
        <w:footnoteRef/>
      </w:r>
      <w:r w:rsidRPr="008B6E37">
        <w:rPr>
          <w:rFonts w:ascii="Calibri" w:hAnsi="Calibri"/>
          <w:sz w:val="20"/>
          <w:szCs w:val="20"/>
        </w:rPr>
        <w:t xml:space="preserve"> </w:t>
      </w:r>
      <w:r w:rsidRPr="008B6E37">
        <w:rPr>
          <w:rFonts w:ascii="Calibri" w:eastAsia="Times New Roman" w:hAnsi="Calibri" w:cs="Times New Roman"/>
          <w:color w:val="000000" w:themeColor="text1"/>
          <w:sz w:val="20"/>
          <w:szCs w:val="20"/>
        </w:rPr>
        <w:t>Committee on the Elimination of Discrimination Against Women (CEDAW Committee)</w:t>
      </w:r>
      <w:r w:rsidRPr="008B6E37">
        <w:rPr>
          <w:rFonts w:ascii="Calibri" w:eastAsia="Times New Roman" w:hAnsi="Calibri" w:cs="Times New Roman"/>
          <w:i/>
          <w:color w:val="000000" w:themeColor="text1"/>
          <w:sz w:val="20"/>
          <w:szCs w:val="20"/>
        </w:rPr>
        <w:t xml:space="preserve"> Consideration of reports submitted by States parties under article 18 of the Convention on the Elimination of All Forms of Discrimination against Women, Combined 6</w:t>
      </w:r>
      <w:r w:rsidRPr="008B6E37">
        <w:rPr>
          <w:rFonts w:ascii="Calibri" w:eastAsia="Times New Roman" w:hAnsi="Calibri" w:cs="Times New Roman"/>
          <w:i/>
          <w:color w:val="000000" w:themeColor="text1"/>
          <w:sz w:val="20"/>
          <w:szCs w:val="20"/>
          <w:vertAlign w:val="superscript"/>
        </w:rPr>
        <w:t>th</w:t>
      </w:r>
      <w:r w:rsidRPr="008B6E37">
        <w:rPr>
          <w:rFonts w:ascii="Calibri" w:eastAsia="Times New Roman" w:hAnsi="Calibri" w:cs="Times New Roman"/>
          <w:i/>
          <w:color w:val="000000" w:themeColor="text1"/>
          <w:sz w:val="20"/>
          <w:szCs w:val="20"/>
        </w:rPr>
        <w:t xml:space="preserve"> and 7</w:t>
      </w:r>
      <w:r w:rsidRPr="008B6E37">
        <w:rPr>
          <w:rFonts w:ascii="Calibri" w:eastAsia="Times New Roman" w:hAnsi="Calibri" w:cs="Times New Roman"/>
          <w:i/>
          <w:color w:val="000000" w:themeColor="text1"/>
          <w:sz w:val="20"/>
          <w:szCs w:val="20"/>
          <w:vertAlign w:val="superscript"/>
        </w:rPr>
        <w:t>th</w:t>
      </w:r>
      <w:r w:rsidRPr="008B6E37">
        <w:rPr>
          <w:rFonts w:ascii="Calibri" w:eastAsia="Times New Roman" w:hAnsi="Calibri" w:cs="Times New Roman"/>
          <w:i/>
          <w:color w:val="000000" w:themeColor="text1"/>
          <w:sz w:val="20"/>
          <w:szCs w:val="20"/>
        </w:rPr>
        <w:t xml:space="preserve"> pe</w:t>
      </w:r>
      <w:r>
        <w:rPr>
          <w:rFonts w:ascii="Calibri" w:eastAsia="Times New Roman" w:hAnsi="Calibri" w:cs="Times New Roman"/>
          <w:i/>
          <w:color w:val="000000" w:themeColor="text1"/>
          <w:sz w:val="20"/>
          <w:szCs w:val="20"/>
        </w:rPr>
        <w:t xml:space="preserve">riodic report of States Parties: </w:t>
      </w:r>
      <w:r w:rsidRPr="008B6E37">
        <w:rPr>
          <w:rFonts w:ascii="Calibri" w:eastAsia="Times New Roman" w:hAnsi="Calibri" w:cs="Times New Roman"/>
          <w:i/>
          <w:color w:val="000000" w:themeColor="text1"/>
          <w:sz w:val="20"/>
          <w:szCs w:val="20"/>
        </w:rPr>
        <w:t xml:space="preserve">DRC, </w:t>
      </w:r>
      <w:r w:rsidRPr="008B6E37">
        <w:rPr>
          <w:rFonts w:ascii="Calibri" w:eastAsia="Times New Roman" w:hAnsi="Calibri" w:cs="Times New Roman"/>
          <w:iCs/>
          <w:color w:val="000000" w:themeColor="text1"/>
          <w:sz w:val="20"/>
          <w:szCs w:val="20"/>
        </w:rPr>
        <w:t xml:space="preserve">21 December 2011, </w:t>
      </w:r>
      <w:r w:rsidRPr="008B6E37">
        <w:rPr>
          <w:rFonts w:ascii="Calibri" w:eastAsia="Times New Roman" w:hAnsi="Calibri" w:cs="Times New Roman"/>
          <w:color w:val="000000" w:themeColor="text1"/>
          <w:sz w:val="20"/>
          <w:szCs w:val="20"/>
        </w:rPr>
        <w:t xml:space="preserve">CEDAW/C/COD/6-7, p </w:t>
      </w:r>
      <w:r w:rsidRPr="008B6E37">
        <w:rPr>
          <w:rFonts w:ascii="Calibri" w:hAnsi="Calibri"/>
          <w:color w:val="000000" w:themeColor="text1"/>
          <w:sz w:val="20"/>
          <w:szCs w:val="20"/>
          <w:lang w:val="en-US"/>
        </w:rPr>
        <w:t>23.</w:t>
      </w:r>
    </w:p>
  </w:footnote>
  <w:footnote w:id="129">
    <w:p w14:paraId="6BE65D3A" w14:textId="028E5349" w:rsidR="00D75A79" w:rsidRPr="008B6E37" w:rsidRDefault="00D75A79" w:rsidP="00151500">
      <w:pPr>
        <w:jc w:val="both"/>
        <w:rPr>
          <w:rFonts w:ascii="Calibri" w:eastAsia="Times New Roman" w:hAnsi="Calibri" w:cs="Times New Roman"/>
          <w:sz w:val="16"/>
          <w:szCs w:val="16"/>
        </w:rPr>
      </w:pPr>
      <w:r w:rsidRPr="008B6E37">
        <w:rPr>
          <w:rStyle w:val="FootnoteReference"/>
          <w:rFonts w:ascii="Calibri" w:hAnsi="Calibri"/>
          <w:sz w:val="20"/>
          <w:szCs w:val="20"/>
        </w:rPr>
        <w:footnoteRef/>
      </w:r>
      <w:r w:rsidRPr="008B6E37">
        <w:rPr>
          <w:rFonts w:ascii="Calibri" w:hAnsi="Calibri"/>
          <w:sz w:val="20"/>
          <w:szCs w:val="20"/>
        </w:rPr>
        <w:t xml:space="preserve"> </w:t>
      </w:r>
      <w:r w:rsidRPr="008B6E37">
        <w:rPr>
          <w:rFonts w:ascii="Calibri" w:eastAsia="Times New Roman" w:hAnsi="Calibri" w:cs="Times New Roman"/>
          <w:sz w:val="20"/>
          <w:szCs w:val="20"/>
        </w:rPr>
        <w:t>Barbara Miller, Mil</w:t>
      </w:r>
      <w:r>
        <w:rPr>
          <w:rFonts w:ascii="Calibri" w:eastAsia="Times New Roman" w:hAnsi="Calibri" w:cs="Times New Roman"/>
          <w:sz w:val="20"/>
          <w:szCs w:val="20"/>
        </w:rPr>
        <w:t>ad Pournik and Aisling Swaine, ‘’</w:t>
      </w:r>
      <w:r w:rsidRPr="008B6E37">
        <w:rPr>
          <w:rFonts w:ascii="Calibri" w:eastAsia="Times New Roman" w:hAnsi="Calibri" w:cs="Times New Roman"/>
          <w:sz w:val="20"/>
          <w:szCs w:val="20"/>
        </w:rPr>
        <w:t>Women In Peace And Security Through United Nations Security Resolution 1325: Literature Review, Content Analysis Of National Ac</w:t>
      </w:r>
      <w:r>
        <w:rPr>
          <w:rFonts w:ascii="Calibri" w:eastAsia="Times New Roman" w:hAnsi="Calibri" w:cs="Times New Roman"/>
          <w:sz w:val="20"/>
          <w:szCs w:val="20"/>
        </w:rPr>
        <w:t xml:space="preserve">tion Plans, And Implementation’ (2014) </w:t>
      </w:r>
      <w:r w:rsidRPr="008B6E37">
        <w:rPr>
          <w:rFonts w:ascii="Calibri" w:eastAsia="Times New Roman" w:hAnsi="Calibri" w:cs="Times New Roman"/>
          <w:sz w:val="20"/>
          <w:szCs w:val="20"/>
        </w:rPr>
        <w:t>(Institute for Global and International Studies, Geor</w:t>
      </w:r>
      <w:r>
        <w:rPr>
          <w:rFonts w:ascii="Calibri" w:eastAsia="Times New Roman" w:hAnsi="Calibri" w:cs="Times New Roman"/>
          <w:sz w:val="20"/>
          <w:szCs w:val="20"/>
        </w:rPr>
        <w:t xml:space="preserve">ge Washington University) (Miller, Pournik and Swaine) </w:t>
      </w:r>
      <w:r w:rsidRPr="008B6E37">
        <w:rPr>
          <w:rFonts w:ascii="Calibri" w:eastAsia="Times New Roman" w:hAnsi="Calibri" w:cs="Times New Roman"/>
          <w:sz w:val="20"/>
          <w:szCs w:val="20"/>
        </w:rPr>
        <w:t>p</w:t>
      </w:r>
      <w:r>
        <w:rPr>
          <w:rFonts w:ascii="Calibri" w:eastAsia="Times New Roman" w:hAnsi="Calibri" w:cs="Times New Roman"/>
          <w:sz w:val="20"/>
          <w:szCs w:val="20"/>
        </w:rPr>
        <w:t>.</w:t>
      </w:r>
      <w:r w:rsidRPr="008B6E37">
        <w:rPr>
          <w:rFonts w:ascii="Calibri" w:eastAsia="Times New Roman" w:hAnsi="Calibri" w:cs="Times New Roman"/>
          <w:sz w:val="20"/>
          <w:szCs w:val="20"/>
        </w:rPr>
        <w:t xml:space="preserve"> 94-95.</w:t>
      </w:r>
    </w:p>
  </w:footnote>
  <w:footnote w:id="130">
    <w:p w14:paraId="614D83A0" w14:textId="56507B2D" w:rsidR="00D75A79" w:rsidRDefault="00D75A79" w:rsidP="00151500">
      <w:pPr>
        <w:pStyle w:val="FootnoteText"/>
      </w:pPr>
      <w:r w:rsidRPr="008B6E37">
        <w:rPr>
          <w:rStyle w:val="FootnoteReference"/>
          <w:rFonts w:ascii="Calibri" w:hAnsi="Calibri"/>
        </w:rPr>
        <w:footnoteRef/>
      </w:r>
      <w:r>
        <w:t xml:space="preserve"> </w:t>
      </w:r>
      <w:r w:rsidRPr="00030718">
        <w:rPr>
          <w:rFonts w:asciiTheme="majorHAnsi" w:eastAsia="Times New Roman" w:hAnsiTheme="majorHAnsi" w:cs="Times New Roman"/>
        </w:rPr>
        <w:t>Ministry of Gender, Family and Child</w:t>
      </w:r>
      <w:r>
        <w:rPr>
          <w:rFonts w:asciiTheme="majorHAnsi" w:eastAsia="Times New Roman" w:hAnsiTheme="majorHAnsi" w:cs="Times New Roman"/>
        </w:rPr>
        <w:t>ren, “</w:t>
      </w:r>
      <w:r w:rsidRPr="00030718">
        <w:rPr>
          <w:rFonts w:asciiTheme="majorHAnsi" w:eastAsia="Times New Roman" w:hAnsiTheme="majorHAnsi" w:cs="Times New Roman"/>
        </w:rPr>
        <w:t xml:space="preserve">The Government's Action Plan Of The Democratic Republic Of The Congo For The Purposes Of Resolution 1325 Of The </w:t>
      </w:r>
      <w:r>
        <w:rPr>
          <w:rFonts w:asciiTheme="majorHAnsi" w:eastAsia="Times New Roman" w:hAnsiTheme="majorHAnsi" w:cs="Times New Roman"/>
        </w:rPr>
        <w:t>United Nations Security Council”</w:t>
      </w:r>
      <w:r w:rsidRPr="00030718">
        <w:rPr>
          <w:rFonts w:asciiTheme="majorHAnsi" w:eastAsia="Times New Roman" w:hAnsiTheme="majorHAnsi" w:cs="Times New Roman"/>
        </w:rPr>
        <w:t xml:space="preserve"> (</w:t>
      </w:r>
      <w:r>
        <w:rPr>
          <w:rFonts w:asciiTheme="majorHAnsi" w:eastAsia="Times New Roman" w:hAnsiTheme="majorHAnsi" w:cs="Times New Roman"/>
        </w:rPr>
        <w:t>Kinhasa;</w:t>
      </w:r>
      <w:r w:rsidRPr="00030718">
        <w:rPr>
          <w:rFonts w:asciiTheme="majorHAnsi" w:eastAsia="Times New Roman" w:hAnsiTheme="majorHAnsi" w:cs="Times New Roman"/>
        </w:rPr>
        <w:t xml:space="preserve"> 2010),</w:t>
      </w:r>
      <w:r>
        <w:rPr>
          <w:rFonts w:asciiTheme="majorHAnsi" w:eastAsia="Times New Roman" w:hAnsiTheme="majorHAnsi" w:cs="Times New Roman"/>
        </w:rPr>
        <w:t xml:space="preserve"> p. 3.</w:t>
      </w:r>
    </w:p>
  </w:footnote>
  <w:footnote w:id="131">
    <w:p w14:paraId="7F937CCF" w14:textId="1546B0DC" w:rsidR="00D75A79" w:rsidRPr="00A21C98" w:rsidRDefault="00D75A79" w:rsidP="005C68CA">
      <w:pPr>
        <w:rPr>
          <w:rFonts w:ascii="Calibri" w:eastAsia="Times New Roman" w:hAnsi="Calibri" w:cs="Times New Roman"/>
          <w:sz w:val="20"/>
          <w:szCs w:val="20"/>
        </w:rPr>
      </w:pPr>
      <w:r w:rsidRPr="00A21C98">
        <w:rPr>
          <w:rStyle w:val="FootnoteReference"/>
          <w:rFonts w:ascii="Calibri" w:hAnsi="Calibri"/>
          <w:sz w:val="20"/>
          <w:szCs w:val="20"/>
        </w:rPr>
        <w:footnoteRef/>
      </w:r>
      <w:r w:rsidRPr="00A21C98">
        <w:rPr>
          <w:rFonts w:ascii="Calibri" w:hAnsi="Calibri"/>
          <w:sz w:val="20"/>
          <w:szCs w:val="20"/>
        </w:rPr>
        <w:t xml:space="preserve"> </w:t>
      </w:r>
      <w:r w:rsidRPr="00A21C98">
        <w:rPr>
          <w:rFonts w:ascii="Calibri" w:eastAsia="Times New Roman" w:hAnsi="Calibri" w:cs="Times New Roman"/>
          <w:sz w:val="20"/>
          <w:szCs w:val="20"/>
        </w:rPr>
        <w:t xml:space="preserve">Ibid, </w:t>
      </w:r>
      <w:r w:rsidRPr="00A21C98">
        <w:rPr>
          <w:rFonts w:ascii="Calibri" w:hAnsi="Calibri"/>
          <w:sz w:val="20"/>
          <w:szCs w:val="20"/>
          <w:lang w:val="en-US"/>
        </w:rPr>
        <w:t>p 4.</w:t>
      </w:r>
    </w:p>
  </w:footnote>
  <w:footnote w:id="132">
    <w:p w14:paraId="582800C4" w14:textId="457C5C32" w:rsidR="00D75A79" w:rsidRPr="00A21C98" w:rsidRDefault="00D75A79" w:rsidP="005C68CA">
      <w:pPr>
        <w:pStyle w:val="FootnoteText"/>
        <w:rPr>
          <w:rFonts w:ascii="Calibri" w:hAnsi="Calibri"/>
        </w:rPr>
      </w:pPr>
      <w:r w:rsidRPr="00A21C98">
        <w:rPr>
          <w:rStyle w:val="FootnoteReference"/>
          <w:rFonts w:ascii="Calibri" w:hAnsi="Calibri"/>
        </w:rPr>
        <w:footnoteRef/>
      </w:r>
      <w:r w:rsidRPr="00A21C98">
        <w:rPr>
          <w:rFonts w:ascii="Calibri" w:hAnsi="Calibri"/>
        </w:rPr>
        <w:t xml:space="preserve"> Miller</w:t>
      </w:r>
      <w:r>
        <w:rPr>
          <w:rFonts w:ascii="Calibri" w:hAnsi="Calibri"/>
        </w:rPr>
        <w:t>, Pournik and Swaine, ibid.</w:t>
      </w:r>
    </w:p>
  </w:footnote>
  <w:footnote w:id="133">
    <w:p w14:paraId="1A8BE77E" w14:textId="7BFBB760" w:rsidR="00D75A79" w:rsidRPr="00A21C98" w:rsidRDefault="00D75A79" w:rsidP="005C68CA">
      <w:pPr>
        <w:rPr>
          <w:rFonts w:ascii="Calibri" w:eastAsia="Times New Roman" w:hAnsi="Calibri" w:cs="Times New Roman"/>
          <w:sz w:val="20"/>
          <w:szCs w:val="20"/>
        </w:rPr>
      </w:pPr>
      <w:r w:rsidRPr="00A21C98">
        <w:rPr>
          <w:rStyle w:val="FootnoteReference"/>
          <w:rFonts w:ascii="Calibri" w:hAnsi="Calibri"/>
          <w:sz w:val="20"/>
          <w:szCs w:val="20"/>
        </w:rPr>
        <w:footnoteRef/>
      </w:r>
      <w:r w:rsidRPr="00A21C98">
        <w:rPr>
          <w:rFonts w:ascii="Calibri" w:hAnsi="Calibri"/>
          <w:sz w:val="20"/>
          <w:szCs w:val="20"/>
        </w:rPr>
        <w:t xml:space="preserve"> </w:t>
      </w:r>
      <w:r w:rsidRPr="00A21C98">
        <w:rPr>
          <w:rFonts w:ascii="Calibri" w:eastAsia="Times New Roman" w:hAnsi="Calibri" w:cs="Times New Roman"/>
          <w:sz w:val="20"/>
          <w:szCs w:val="20"/>
        </w:rPr>
        <w:t xml:space="preserve">African Development </w:t>
      </w:r>
      <w:r>
        <w:rPr>
          <w:rFonts w:ascii="Calibri" w:eastAsia="Times New Roman" w:hAnsi="Calibri" w:cs="Times New Roman"/>
          <w:sz w:val="20"/>
          <w:szCs w:val="20"/>
        </w:rPr>
        <w:t>Bank/African Development Fund, ‘</w:t>
      </w:r>
      <w:r w:rsidRPr="00A21C98">
        <w:rPr>
          <w:rFonts w:ascii="Calibri" w:eastAsia="Times New Roman" w:hAnsi="Calibri" w:cs="Times New Roman"/>
          <w:sz w:val="20"/>
          <w:szCs w:val="20"/>
        </w:rPr>
        <w:t>Democratic Republic Of Congo: 2</w:t>
      </w:r>
      <w:r>
        <w:rPr>
          <w:rFonts w:ascii="Calibri" w:eastAsia="Times New Roman" w:hAnsi="Calibri" w:cs="Times New Roman"/>
          <w:sz w:val="20"/>
          <w:szCs w:val="20"/>
        </w:rPr>
        <w:t>013-2017 Country Strategy Paper’,</w:t>
      </w:r>
      <w:r w:rsidRPr="00A21C98">
        <w:rPr>
          <w:rFonts w:ascii="Calibri" w:eastAsia="Times New Roman" w:hAnsi="Calibri" w:cs="Times New Roman"/>
          <w:sz w:val="20"/>
          <w:szCs w:val="20"/>
        </w:rPr>
        <w:t xml:space="preserve"> (Regional Department Centre ORCE/CDFO 2013).</w:t>
      </w:r>
    </w:p>
  </w:footnote>
  <w:footnote w:id="134">
    <w:p w14:paraId="33739C56" w14:textId="23E2B103" w:rsidR="00D75A79" w:rsidRPr="002F44E4" w:rsidRDefault="00D75A79" w:rsidP="0020207B">
      <w:pPr>
        <w:rPr>
          <w:rFonts w:ascii="Calibri" w:eastAsia="Times New Roman" w:hAnsi="Calibri" w:cs="Times New Roman"/>
          <w:sz w:val="20"/>
          <w:szCs w:val="20"/>
        </w:rPr>
      </w:pPr>
      <w:r w:rsidRPr="002F44E4">
        <w:rPr>
          <w:rStyle w:val="FootnoteReference"/>
          <w:rFonts w:ascii="Calibri" w:hAnsi="Calibri"/>
          <w:sz w:val="20"/>
          <w:szCs w:val="20"/>
        </w:rPr>
        <w:footnoteRef/>
      </w:r>
      <w:r w:rsidRPr="002F44E4">
        <w:rPr>
          <w:rFonts w:ascii="Calibri" w:hAnsi="Calibri"/>
          <w:sz w:val="20"/>
          <w:szCs w:val="20"/>
        </w:rPr>
        <w:t xml:space="preserve"> </w:t>
      </w:r>
      <w:r>
        <w:rPr>
          <w:rFonts w:ascii="Calibri" w:eastAsia="Times New Roman" w:hAnsi="Calibri" w:cs="Times New Roman"/>
          <w:sz w:val="20"/>
          <w:szCs w:val="20"/>
        </w:rPr>
        <w:t>Marcy Hersh, ‘C</w:t>
      </w:r>
      <w:r w:rsidRPr="002F44E4">
        <w:rPr>
          <w:rFonts w:ascii="Calibri" w:eastAsia="Times New Roman" w:hAnsi="Calibri" w:cs="Times New Roman"/>
          <w:sz w:val="20"/>
          <w:szCs w:val="20"/>
        </w:rPr>
        <w:t>ongolese Women: What Happe</w:t>
      </w:r>
      <w:r>
        <w:rPr>
          <w:rFonts w:ascii="Calibri" w:eastAsia="Times New Roman" w:hAnsi="Calibri" w:cs="Times New Roman"/>
          <w:sz w:val="20"/>
          <w:szCs w:val="20"/>
        </w:rPr>
        <w:t xml:space="preserve">ned To The Promise To Protect?’ </w:t>
      </w:r>
      <w:r w:rsidRPr="002F44E4">
        <w:rPr>
          <w:rFonts w:ascii="Calibri" w:eastAsia="Times New Roman" w:hAnsi="Calibri" w:cs="Times New Roman"/>
          <w:sz w:val="20"/>
          <w:szCs w:val="20"/>
        </w:rPr>
        <w:t xml:space="preserve">(Refugees International </w:t>
      </w:r>
      <w:r>
        <w:rPr>
          <w:rFonts w:ascii="Calibri" w:eastAsia="Times New Roman" w:hAnsi="Calibri" w:cs="Times New Roman"/>
          <w:sz w:val="20"/>
          <w:szCs w:val="20"/>
        </w:rPr>
        <w:t>,2015) (Hersh)</w:t>
      </w:r>
      <w:r w:rsidRPr="002F44E4">
        <w:rPr>
          <w:rFonts w:ascii="Calibri" w:eastAsia="Times New Roman" w:hAnsi="Calibri" w:cs="Times New Roman"/>
          <w:sz w:val="20"/>
          <w:szCs w:val="20"/>
        </w:rPr>
        <w:t xml:space="preserve"> p</w:t>
      </w:r>
      <w:r>
        <w:rPr>
          <w:rFonts w:ascii="Calibri" w:eastAsia="Times New Roman" w:hAnsi="Calibri" w:cs="Times New Roman"/>
          <w:sz w:val="20"/>
          <w:szCs w:val="20"/>
        </w:rPr>
        <w:t>.</w:t>
      </w:r>
      <w:r w:rsidRPr="002F44E4">
        <w:rPr>
          <w:rFonts w:ascii="Calibri" w:eastAsia="Times New Roman" w:hAnsi="Calibri" w:cs="Times New Roman"/>
          <w:sz w:val="20"/>
          <w:szCs w:val="20"/>
        </w:rPr>
        <w:t xml:space="preserve"> 34.</w:t>
      </w:r>
    </w:p>
  </w:footnote>
  <w:footnote w:id="135">
    <w:p w14:paraId="754167A8" w14:textId="6D67A01D" w:rsidR="00D75A79" w:rsidRPr="002F44E4" w:rsidRDefault="00D75A79" w:rsidP="0020207B">
      <w:pPr>
        <w:rPr>
          <w:rFonts w:ascii="Calibri" w:eastAsia="Times New Roman" w:hAnsi="Calibri" w:cs="Times New Roman"/>
          <w:sz w:val="20"/>
          <w:szCs w:val="20"/>
        </w:rPr>
      </w:pPr>
      <w:r w:rsidRPr="002F44E4">
        <w:rPr>
          <w:rStyle w:val="FootnoteReference"/>
          <w:rFonts w:ascii="Calibri" w:hAnsi="Calibri"/>
          <w:sz w:val="20"/>
          <w:szCs w:val="20"/>
        </w:rPr>
        <w:footnoteRef/>
      </w:r>
      <w:r w:rsidRPr="002F44E4">
        <w:rPr>
          <w:rFonts w:ascii="Calibri" w:hAnsi="Calibri"/>
          <w:sz w:val="20"/>
          <w:szCs w:val="20"/>
        </w:rPr>
        <w:t xml:space="preserve"> </w:t>
      </w:r>
      <w:r>
        <w:rPr>
          <w:rFonts w:ascii="Calibri" w:hAnsi="Calibri"/>
          <w:sz w:val="20"/>
          <w:szCs w:val="20"/>
          <w:lang w:val="en-US"/>
        </w:rPr>
        <w:t>Ibid.</w:t>
      </w:r>
      <w:r w:rsidRPr="002F44E4">
        <w:rPr>
          <w:rFonts w:ascii="Calibri" w:hAnsi="Calibri"/>
          <w:sz w:val="20"/>
          <w:szCs w:val="20"/>
          <w:lang w:val="en-US"/>
        </w:rPr>
        <w:t xml:space="preserve"> p 33; see also </w:t>
      </w:r>
      <w:r>
        <w:rPr>
          <w:rFonts w:ascii="Calibri" w:eastAsia="Times New Roman" w:hAnsi="Calibri" w:cs="Times New Roman"/>
          <w:sz w:val="20"/>
          <w:szCs w:val="20"/>
        </w:rPr>
        <w:t>Clàr Ní Chonghaile, ‘To</w:t>
      </w:r>
      <w:r w:rsidRPr="002F44E4">
        <w:rPr>
          <w:rFonts w:ascii="Calibri" w:eastAsia="Times New Roman" w:hAnsi="Calibri" w:cs="Times New Roman"/>
          <w:sz w:val="20"/>
          <w:szCs w:val="20"/>
        </w:rPr>
        <w:t>p Congo Official Hopes To Shed Country's 'Rape Capital Of The World' Tag</w:t>
      </w:r>
      <w:r>
        <w:rPr>
          <w:rFonts w:ascii="Calibri" w:eastAsia="Times New Roman" w:hAnsi="Calibri" w:cs="Times New Roman"/>
          <w:sz w:val="20"/>
          <w:szCs w:val="20"/>
        </w:rPr>
        <w:t xml:space="preserve">’ </w:t>
      </w:r>
      <w:r w:rsidRPr="002F44E4">
        <w:rPr>
          <w:rFonts w:ascii="Calibri" w:eastAsia="Times New Roman" w:hAnsi="Calibri" w:cs="Times New Roman"/>
          <w:i/>
          <w:iCs/>
          <w:sz w:val="20"/>
          <w:szCs w:val="20"/>
        </w:rPr>
        <w:t>Guardian</w:t>
      </w:r>
      <w:r>
        <w:rPr>
          <w:rFonts w:ascii="Calibri" w:eastAsia="Times New Roman" w:hAnsi="Calibri" w:cs="Times New Roman"/>
          <w:sz w:val="20"/>
          <w:szCs w:val="20"/>
        </w:rPr>
        <w:t xml:space="preserve"> (2015) available from: </w:t>
      </w:r>
      <w:r w:rsidRPr="002F44E4">
        <w:rPr>
          <w:rFonts w:ascii="Calibri" w:eastAsia="Times New Roman" w:hAnsi="Calibri" w:cs="Times New Roman"/>
          <w:sz w:val="20"/>
          <w:szCs w:val="20"/>
        </w:rPr>
        <w:t>http://www.theguardian.com/global-development/2015/mar/04/congo-presidential-advi</w:t>
      </w:r>
      <w:r>
        <w:rPr>
          <w:rFonts w:ascii="Calibri" w:eastAsia="Times New Roman" w:hAnsi="Calibri" w:cs="Times New Roman"/>
          <w:sz w:val="20"/>
          <w:szCs w:val="20"/>
        </w:rPr>
        <w:t>ser-hopes-shed-rape-capital-tag</w:t>
      </w:r>
      <w:r w:rsidRPr="002F44E4">
        <w:rPr>
          <w:rFonts w:ascii="Calibri" w:eastAsia="Times New Roman" w:hAnsi="Calibri" w:cs="Times New Roman"/>
          <w:sz w:val="20"/>
          <w:szCs w:val="20"/>
        </w:rPr>
        <w:t>.</w:t>
      </w:r>
    </w:p>
  </w:footnote>
  <w:footnote w:id="136">
    <w:p w14:paraId="043C8127" w14:textId="42D18FA8" w:rsidR="00D75A79" w:rsidRPr="00A21C98" w:rsidRDefault="00D75A79" w:rsidP="005C68CA">
      <w:pPr>
        <w:pStyle w:val="FootnoteText"/>
        <w:rPr>
          <w:rFonts w:ascii="Calibri" w:hAnsi="Calibri"/>
        </w:rPr>
      </w:pPr>
      <w:r w:rsidRPr="00A21C98">
        <w:rPr>
          <w:rStyle w:val="FootnoteReference"/>
          <w:rFonts w:ascii="Calibri" w:hAnsi="Calibri"/>
        </w:rPr>
        <w:footnoteRef/>
      </w:r>
      <w:r w:rsidRPr="00A21C98">
        <w:rPr>
          <w:rFonts w:ascii="Calibri" w:hAnsi="Calibri"/>
        </w:rPr>
        <w:t xml:space="preserve"> Ibid</w:t>
      </w:r>
      <w:r>
        <w:rPr>
          <w:rFonts w:ascii="Calibri" w:hAnsi="Calibri"/>
        </w:rPr>
        <w:t>.</w:t>
      </w:r>
    </w:p>
  </w:footnote>
  <w:footnote w:id="137">
    <w:p w14:paraId="2033675F" w14:textId="1D8745BF" w:rsidR="00D75A79" w:rsidRPr="00A21C98" w:rsidRDefault="00D75A79" w:rsidP="005C68CA">
      <w:pPr>
        <w:rPr>
          <w:rFonts w:ascii="Calibri" w:eastAsia="Times New Roman" w:hAnsi="Calibri" w:cs="Times New Roman"/>
          <w:sz w:val="20"/>
          <w:szCs w:val="20"/>
        </w:rPr>
      </w:pPr>
      <w:r w:rsidRPr="00A21C98">
        <w:rPr>
          <w:rStyle w:val="FootnoteReference"/>
          <w:rFonts w:ascii="Calibri" w:hAnsi="Calibri"/>
          <w:sz w:val="20"/>
          <w:szCs w:val="20"/>
        </w:rPr>
        <w:footnoteRef/>
      </w:r>
      <w:r w:rsidRPr="00A21C98">
        <w:rPr>
          <w:rFonts w:ascii="Calibri" w:hAnsi="Calibri"/>
          <w:sz w:val="20"/>
          <w:szCs w:val="20"/>
        </w:rPr>
        <w:t xml:space="preserve"> </w:t>
      </w:r>
      <w:r>
        <w:rPr>
          <w:rFonts w:ascii="Calibri" w:eastAsia="Times New Roman" w:hAnsi="Calibri" w:cs="Times New Roman"/>
          <w:sz w:val="20"/>
          <w:szCs w:val="20"/>
        </w:rPr>
        <w:t>United Nations News Centre, ‘</w:t>
      </w:r>
      <w:r w:rsidRPr="00A21C98">
        <w:rPr>
          <w:rFonts w:ascii="Calibri" w:eastAsia="Times New Roman" w:hAnsi="Calibri" w:cs="Times New Roman"/>
          <w:sz w:val="20"/>
          <w:szCs w:val="20"/>
        </w:rPr>
        <w:t>New UN Statistics Show Alarming Rise In Rapes In Strife-Torn</w:t>
      </w:r>
      <w:r>
        <w:rPr>
          <w:rFonts w:ascii="Calibri" w:eastAsia="Times New Roman" w:hAnsi="Calibri" w:cs="Times New Roman"/>
          <w:sz w:val="20"/>
          <w:szCs w:val="20"/>
        </w:rPr>
        <w:t xml:space="preserve"> Eastern DRC’ (</w:t>
      </w:r>
      <w:r w:rsidRPr="00A21C98">
        <w:rPr>
          <w:rFonts w:ascii="Calibri" w:eastAsia="Times New Roman" w:hAnsi="Calibri" w:cs="Times New Roman"/>
          <w:sz w:val="20"/>
          <w:szCs w:val="20"/>
        </w:rPr>
        <w:t>2013).</w:t>
      </w:r>
    </w:p>
  </w:footnote>
  <w:footnote w:id="138">
    <w:p w14:paraId="6F1175CF" w14:textId="698B69A1" w:rsidR="00D75A79" w:rsidRPr="00A21C98" w:rsidRDefault="00D75A79" w:rsidP="005C68CA">
      <w:pPr>
        <w:pStyle w:val="FootnoteText"/>
        <w:rPr>
          <w:rFonts w:ascii="Calibri" w:hAnsi="Calibri"/>
        </w:rPr>
      </w:pPr>
      <w:r w:rsidRPr="00A21C98">
        <w:rPr>
          <w:rStyle w:val="FootnoteReference"/>
          <w:rFonts w:ascii="Calibri" w:hAnsi="Calibri"/>
        </w:rPr>
        <w:footnoteRef/>
      </w:r>
      <w:r w:rsidRPr="00A21C98">
        <w:rPr>
          <w:rFonts w:ascii="Calibri" w:hAnsi="Calibri"/>
        </w:rPr>
        <w:t xml:space="preserve"> Ibid</w:t>
      </w:r>
      <w:r>
        <w:rPr>
          <w:rFonts w:ascii="Calibri" w:hAnsi="Calibri"/>
        </w:rPr>
        <w:t>.</w:t>
      </w:r>
    </w:p>
  </w:footnote>
  <w:footnote w:id="139">
    <w:p w14:paraId="0BE17F49" w14:textId="149567A8" w:rsidR="00D75A79" w:rsidRPr="003F5D03" w:rsidRDefault="00D75A79" w:rsidP="005C68CA">
      <w:pPr>
        <w:rPr>
          <w:rFonts w:ascii="Calibri" w:eastAsia="Times New Roman" w:hAnsi="Calibri" w:cs="Times New Roman"/>
          <w:sz w:val="20"/>
          <w:szCs w:val="20"/>
        </w:rPr>
      </w:pPr>
      <w:r w:rsidRPr="003F5D03">
        <w:rPr>
          <w:rStyle w:val="FootnoteReference"/>
          <w:rFonts w:ascii="Calibri" w:hAnsi="Calibri"/>
          <w:sz w:val="20"/>
          <w:szCs w:val="20"/>
        </w:rPr>
        <w:footnoteRef/>
      </w:r>
      <w:r w:rsidRPr="003F5D03">
        <w:rPr>
          <w:rFonts w:ascii="Calibri" w:hAnsi="Calibri"/>
          <w:sz w:val="20"/>
          <w:szCs w:val="20"/>
        </w:rPr>
        <w:t xml:space="preserve"> </w:t>
      </w:r>
      <w:r w:rsidRPr="003F5D03">
        <w:rPr>
          <w:rFonts w:ascii="Calibri" w:eastAsia="Times New Roman" w:hAnsi="Calibri" w:cs="Times New Roman"/>
          <w:sz w:val="20"/>
          <w:szCs w:val="20"/>
        </w:rPr>
        <w:t>US Department of State, Bureau of Democracy, Human Rights and Labor, ‘Country Reports On Human Rights Practices for 2013: Democratic Republic of the Congo’ (2014).</w:t>
      </w:r>
    </w:p>
  </w:footnote>
  <w:footnote w:id="140">
    <w:p w14:paraId="64DCDB60" w14:textId="7C617FA4" w:rsidR="00D75A79" w:rsidRPr="003F5D03" w:rsidRDefault="00D75A79" w:rsidP="002F44E4">
      <w:pPr>
        <w:pStyle w:val="FootnoteText"/>
        <w:jc w:val="left"/>
        <w:rPr>
          <w:rFonts w:ascii="Calibri" w:hAnsi="Calibri"/>
        </w:rPr>
      </w:pPr>
      <w:r w:rsidRPr="003F5D03">
        <w:rPr>
          <w:rStyle w:val="FootnoteReference"/>
          <w:rFonts w:ascii="Calibri" w:hAnsi="Calibri"/>
        </w:rPr>
        <w:footnoteRef/>
      </w:r>
      <w:r w:rsidRPr="003F5D03">
        <w:rPr>
          <w:rFonts w:ascii="Calibri" w:hAnsi="Calibri"/>
        </w:rPr>
        <w:t xml:space="preserve"> Global Network of Women </w:t>
      </w:r>
      <w:r>
        <w:rPr>
          <w:rFonts w:ascii="Calibri" w:hAnsi="Calibri"/>
        </w:rPr>
        <w:t>Peace</w:t>
      </w:r>
      <w:r w:rsidRPr="003F5D03">
        <w:rPr>
          <w:rFonts w:ascii="Calibri" w:hAnsi="Calibri"/>
        </w:rPr>
        <w:t xml:space="preserve">builders, </w:t>
      </w:r>
      <w:r w:rsidRPr="003F5D03">
        <w:rPr>
          <w:rFonts w:ascii="Calibri" w:eastAsia="Times New Roman" w:hAnsi="Calibri" w:cs="Times New Roman"/>
        </w:rPr>
        <w:t>‘Women Count - Security Council Resolution 1325: Civil Society Monitoring Report 2013’ (New York, 2013) (Women Count), available from: http://issuu.com/suba_gnwp/docs/women_count_civil_society_monitorin/1?e=8954983/7339869</w:t>
      </w:r>
      <w:r w:rsidRPr="003F5D03">
        <w:rPr>
          <w:rFonts w:ascii="Calibri" w:hAnsi="Calibri"/>
        </w:rPr>
        <w:t xml:space="preserve">, p 32. </w:t>
      </w:r>
    </w:p>
  </w:footnote>
  <w:footnote w:id="141">
    <w:p w14:paraId="07D8D323" w14:textId="2F12AA4D" w:rsidR="00D75A79" w:rsidRPr="003F5D03" w:rsidRDefault="00D75A79" w:rsidP="005C68CA">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Ibid, p. 31.</w:t>
      </w:r>
    </w:p>
  </w:footnote>
  <w:footnote w:id="142">
    <w:p w14:paraId="2428905A" w14:textId="410FFB27" w:rsidR="00D75A79" w:rsidRPr="003F5D03" w:rsidRDefault="00D75A79" w:rsidP="005C68CA">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w:t>
      </w:r>
      <w:r w:rsidRPr="003F5D03">
        <w:rPr>
          <w:rFonts w:ascii="Calibri" w:eastAsia="Times New Roman" w:hAnsi="Calibri" w:cs="Times New Roman"/>
        </w:rPr>
        <w:t xml:space="preserve">World Organisation against Torture, </w:t>
      </w:r>
      <w:r w:rsidRPr="003F5D03">
        <w:rPr>
          <w:rFonts w:ascii="Calibri" w:hAnsi="Calibri"/>
        </w:rPr>
        <w:t>p 7.</w:t>
      </w:r>
    </w:p>
  </w:footnote>
  <w:footnote w:id="143">
    <w:p w14:paraId="4E796909" w14:textId="5109BE91" w:rsidR="00D75A79" w:rsidRPr="003F5D03" w:rsidRDefault="00D75A79" w:rsidP="00310376">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Global Network of Women Peacebuilders, </w:t>
      </w:r>
      <w:r w:rsidRPr="003F5D03">
        <w:rPr>
          <w:rFonts w:ascii="Calibri" w:eastAsia="Times New Roman" w:hAnsi="Calibri" w:cs="Times New Roman"/>
        </w:rPr>
        <w:t xml:space="preserve">‘Women, Peace And Security Policy Briefs'’(2013) (WPS Policy Briefs) </w:t>
      </w:r>
      <w:r w:rsidRPr="003F5D03">
        <w:rPr>
          <w:rFonts w:ascii="Calibri" w:hAnsi="Calibri"/>
        </w:rPr>
        <w:t xml:space="preserve">p. 23. </w:t>
      </w:r>
    </w:p>
  </w:footnote>
  <w:footnote w:id="144">
    <w:p w14:paraId="424070E8" w14:textId="38B22D4D" w:rsidR="00D75A79" w:rsidRPr="003F5D03" w:rsidRDefault="00D75A79" w:rsidP="00367518">
      <w:pPr>
        <w:rPr>
          <w:rFonts w:ascii="Calibri" w:eastAsia="Times New Roman" w:hAnsi="Calibri" w:cs="Times New Roman"/>
          <w:sz w:val="20"/>
          <w:szCs w:val="20"/>
        </w:rPr>
      </w:pPr>
      <w:r w:rsidRPr="003F5D03">
        <w:rPr>
          <w:rStyle w:val="FootnoteReference"/>
          <w:rFonts w:ascii="Calibri" w:hAnsi="Calibri"/>
          <w:sz w:val="20"/>
          <w:szCs w:val="20"/>
        </w:rPr>
        <w:footnoteRef/>
      </w:r>
      <w:r w:rsidRPr="003F5D03">
        <w:rPr>
          <w:rFonts w:ascii="Calibri" w:hAnsi="Calibri"/>
          <w:sz w:val="20"/>
          <w:szCs w:val="20"/>
        </w:rPr>
        <w:t xml:space="preserve"> </w:t>
      </w:r>
      <w:r w:rsidRPr="003F5D03">
        <w:rPr>
          <w:rFonts w:ascii="Calibri" w:eastAsia="Times New Roman" w:hAnsi="Calibri" w:cs="Times New Roman"/>
          <w:sz w:val="20"/>
          <w:szCs w:val="20"/>
        </w:rPr>
        <w:t xml:space="preserve">Christopher Kuonqui and Hanny Cueva-Beteta, ‘Tracking Implementation Of Security Council Resolution 1325 (2000)’ (UN Women, New York, 2012) p. 12. </w:t>
      </w:r>
    </w:p>
  </w:footnote>
  <w:footnote w:id="145">
    <w:p w14:paraId="3D3852B1" w14:textId="59F97755" w:rsidR="00D75A79" w:rsidRPr="003F5D03" w:rsidRDefault="00D75A79" w:rsidP="00367518">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WPS Policy Briefs, p. 23; Women Count, p. 13.</w:t>
      </w:r>
    </w:p>
  </w:footnote>
  <w:footnote w:id="146">
    <w:p w14:paraId="34C9250C" w14:textId="5DF2292A" w:rsidR="00D75A79" w:rsidRPr="003F5D03" w:rsidRDefault="00D75A79" w:rsidP="00367518">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Ibid, and Women Count, p. 63.</w:t>
      </w:r>
    </w:p>
  </w:footnote>
  <w:footnote w:id="147">
    <w:p w14:paraId="239F018C" w14:textId="5AF017FD" w:rsidR="00D75A79" w:rsidRPr="003F5D03" w:rsidRDefault="00D75A79" w:rsidP="00367518">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Women Count, ibid.</w:t>
      </w:r>
    </w:p>
  </w:footnote>
  <w:footnote w:id="148">
    <w:p w14:paraId="7AA7B9F4" w14:textId="743A090A" w:rsidR="00D75A79" w:rsidRPr="003F5D03" w:rsidRDefault="00D75A79" w:rsidP="00367518">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Ibid.</w:t>
      </w:r>
    </w:p>
  </w:footnote>
  <w:footnote w:id="149">
    <w:p w14:paraId="7C3ECA64" w14:textId="273C3359" w:rsidR="00D75A79" w:rsidRPr="003F5D03" w:rsidRDefault="00D75A79" w:rsidP="00367518">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Ibid. </w:t>
      </w:r>
    </w:p>
  </w:footnote>
  <w:footnote w:id="150">
    <w:p w14:paraId="5C30D565" w14:textId="1C310EFE" w:rsidR="00D75A79" w:rsidRPr="003F5D03" w:rsidRDefault="00D75A79">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WPS Policy Briefs, p. 23.</w:t>
      </w:r>
    </w:p>
  </w:footnote>
  <w:footnote w:id="151">
    <w:p w14:paraId="260B1694" w14:textId="3DDBB859" w:rsidR="00D75A79" w:rsidRPr="003F5D03" w:rsidRDefault="00D75A79" w:rsidP="00367518">
      <w:pPr>
        <w:pStyle w:val="FootnoteText"/>
        <w:rPr>
          <w:rFonts w:ascii="Calibri" w:hAnsi="Calibri"/>
        </w:rPr>
      </w:pPr>
      <w:r w:rsidRPr="003F5D03">
        <w:rPr>
          <w:rStyle w:val="FootnoteReference"/>
          <w:rFonts w:ascii="Calibri" w:hAnsi="Calibri"/>
        </w:rPr>
        <w:footnoteRef/>
      </w:r>
      <w:r w:rsidRPr="003F5D03">
        <w:rPr>
          <w:rFonts w:ascii="Calibri" w:hAnsi="Calibri"/>
        </w:rPr>
        <w:t xml:space="preserve"> </w:t>
      </w:r>
      <w:r w:rsidRPr="003F5D03">
        <w:rPr>
          <w:rFonts w:ascii="Calibri" w:eastAsia="Times New Roman" w:hAnsi="Calibri" w:cs="Times New Roman"/>
        </w:rPr>
        <w:t>World Organisation against Torture,</w:t>
      </w:r>
      <w:r w:rsidRPr="003F5D03">
        <w:rPr>
          <w:rFonts w:ascii="Calibri" w:hAnsi="Calibri"/>
        </w:rPr>
        <w:t xml:space="preserve"> p. 5.</w:t>
      </w:r>
    </w:p>
  </w:footnote>
  <w:footnote w:id="152">
    <w:p w14:paraId="126DE085" w14:textId="3686717F" w:rsidR="00D75A79" w:rsidRPr="00367518" w:rsidRDefault="00D75A79" w:rsidP="00367518">
      <w:pPr>
        <w:pStyle w:val="FootnoteText"/>
        <w:rPr>
          <w:rFonts w:asciiTheme="majorHAnsi" w:hAnsiTheme="majorHAnsi"/>
        </w:rPr>
      </w:pPr>
      <w:r w:rsidRPr="003F5D03">
        <w:rPr>
          <w:rStyle w:val="FootnoteReference"/>
          <w:rFonts w:ascii="Calibri" w:hAnsi="Calibri"/>
        </w:rPr>
        <w:footnoteRef/>
      </w:r>
      <w:r>
        <w:rPr>
          <w:rFonts w:ascii="Calibri" w:hAnsi="Calibri"/>
        </w:rPr>
        <w:t xml:space="preserve"> </w:t>
      </w:r>
      <w:r w:rsidRPr="003F5D03">
        <w:rPr>
          <w:rFonts w:ascii="Calibri" w:hAnsi="Calibri"/>
        </w:rPr>
        <w:t>Women Count, p. 65.</w:t>
      </w:r>
      <w:r w:rsidRPr="00367518">
        <w:rPr>
          <w:rFonts w:ascii="Calibri" w:hAnsi="Calibri"/>
        </w:rPr>
        <w:t xml:space="preserve"> </w:t>
      </w:r>
    </w:p>
  </w:footnote>
  <w:footnote w:id="153">
    <w:p w14:paraId="1EE83240" w14:textId="7BD2F015" w:rsidR="00D75A79" w:rsidRPr="00C179A2" w:rsidRDefault="00D75A79" w:rsidP="005C68CA">
      <w:pPr>
        <w:rPr>
          <w:rFonts w:ascii="Calibri" w:eastAsia="Times New Roman" w:hAnsi="Calibri" w:cs="Times New Roman"/>
          <w:sz w:val="20"/>
          <w:szCs w:val="20"/>
        </w:rPr>
      </w:pPr>
      <w:r w:rsidRPr="00C179A2">
        <w:rPr>
          <w:rStyle w:val="FootnoteReference"/>
          <w:rFonts w:ascii="Calibri" w:hAnsi="Calibri"/>
          <w:sz w:val="20"/>
          <w:szCs w:val="20"/>
        </w:rPr>
        <w:footnoteRef/>
      </w:r>
      <w:r w:rsidRPr="00C179A2">
        <w:rPr>
          <w:rFonts w:ascii="Calibri" w:hAnsi="Calibri"/>
          <w:sz w:val="20"/>
          <w:szCs w:val="20"/>
        </w:rPr>
        <w:t xml:space="preserve"> </w:t>
      </w:r>
      <w:r>
        <w:rPr>
          <w:rFonts w:ascii="Calibri" w:eastAsia="Times New Roman" w:hAnsi="Calibri" w:cs="Times New Roman"/>
          <w:sz w:val="20"/>
          <w:szCs w:val="20"/>
        </w:rPr>
        <w:t>WPS Policy Briefs,</w:t>
      </w:r>
      <w:r w:rsidRPr="00C179A2">
        <w:rPr>
          <w:rFonts w:ascii="Calibri" w:eastAsia="Times New Roman" w:hAnsi="Calibri" w:cs="Times New Roman"/>
          <w:sz w:val="20"/>
          <w:szCs w:val="20"/>
        </w:rPr>
        <w:t xml:space="preserve"> p. 24</w:t>
      </w:r>
      <w:r>
        <w:rPr>
          <w:rFonts w:ascii="Calibri" w:eastAsia="Times New Roman" w:hAnsi="Calibri" w:cs="Times New Roman"/>
          <w:sz w:val="20"/>
          <w:szCs w:val="20"/>
        </w:rPr>
        <w:t>.</w:t>
      </w:r>
    </w:p>
  </w:footnote>
  <w:footnote w:id="154">
    <w:p w14:paraId="4CDC89A1" w14:textId="50E5ADB0" w:rsidR="00D75A79" w:rsidRPr="00C179A2" w:rsidRDefault="00D75A79" w:rsidP="005C68CA">
      <w:pPr>
        <w:rPr>
          <w:rFonts w:ascii="Calibri" w:eastAsia="Times New Roman" w:hAnsi="Calibri" w:cs="Times New Roman"/>
          <w:sz w:val="20"/>
          <w:szCs w:val="20"/>
        </w:rPr>
      </w:pPr>
      <w:r w:rsidRPr="00C179A2">
        <w:rPr>
          <w:rStyle w:val="FootnoteReference"/>
          <w:rFonts w:ascii="Calibri" w:hAnsi="Calibri"/>
          <w:sz w:val="20"/>
          <w:szCs w:val="20"/>
        </w:rPr>
        <w:footnoteRef/>
      </w:r>
      <w:r w:rsidRPr="00C179A2">
        <w:rPr>
          <w:rFonts w:ascii="Calibri" w:hAnsi="Calibri"/>
          <w:sz w:val="20"/>
          <w:szCs w:val="20"/>
        </w:rPr>
        <w:t xml:space="preserve"> Women Count,</w:t>
      </w:r>
      <w:r w:rsidRPr="00C179A2">
        <w:rPr>
          <w:rFonts w:ascii="Calibri" w:eastAsia="Times New Roman" w:hAnsi="Calibri" w:cs="Times New Roman"/>
          <w:sz w:val="20"/>
          <w:szCs w:val="20"/>
        </w:rPr>
        <w:t xml:space="preserve"> p. 68.</w:t>
      </w:r>
    </w:p>
  </w:footnote>
  <w:footnote w:id="155">
    <w:p w14:paraId="4398D129" w14:textId="7CC688CD" w:rsidR="00D75A79" w:rsidRPr="00C179A2" w:rsidRDefault="00D75A79" w:rsidP="005C68CA">
      <w:pPr>
        <w:pStyle w:val="FootnoteText"/>
        <w:rPr>
          <w:rFonts w:ascii="Calibri" w:hAnsi="Calibri"/>
        </w:rPr>
      </w:pPr>
      <w:r w:rsidRPr="00C179A2">
        <w:rPr>
          <w:rStyle w:val="FootnoteReference"/>
          <w:rFonts w:ascii="Calibri" w:hAnsi="Calibri"/>
        </w:rPr>
        <w:footnoteRef/>
      </w:r>
      <w:r w:rsidRPr="00C179A2">
        <w:rPr>
          <w:rFonts w:ascii="Calibri" w:hAnsi="Calibri"/>
        </w:rPr>
        <w:t xml:space="preserve"> Ibid.</w:t>
      </w:r>
    </w:p>
  </w:footnote>
  <w:footnote w:id="156">
    <w:p w14:paraId="40059D57" w14:textId="77777777" w:rsidR="00D75A79" w:rsidRPr="00E43E93" w:rsidRDefault="00D75A79" w:rsidP="00F41315">
      <w:pPr>
        <w:pStyle w:val="FootnoteText"/>
        <w:rPr>
          <w:rFonts w:asciiTheme="majorHAnsi" w:hAnsiTheme="majorHAnsi"/>
        </w:rPr>
      </w:pPr>
      <w:r w:rsidRPr="00E43E93">
        <w:rPr>
          <w:rStyle w:val="FootnoteReference"/>
          <w:rFonts w:asciiTheme="majorHAnsi" w:hAnsiTheme="majorHAnsi"/>
        </w:rPr>
        <w:footnoteRef/>
      </w:r>
      <w:r w:rsidRPr="00E43E93">
        <w:rPr>
          <w:rFonts w:asciiTheme="majorHAnsi" w:hAnsiTheme="majorHAnsi"/>
        </w:rPr>
        <w:t xml:space="preserve"> Ibid. </w:t>
      </w:r>
    </w:p>
  </w:footnote>
  <w:footnote w:id="157">
    <w:p w14:paraId="3271E52D" w14:textId="77777777" w:rsidR="00D75A79" w:rsidRPr="00E43E93" w:rsidRDefault="00D75A79" w:rsidP="00F41315">
      <w:pPr>
        <w:pStyle w:val="FootnoteText"/>
        <w:rPr>
          <w:rFonts w:asciiTheme="majorHAnsi" w:hAnsiTheme="majorHAnsi"/>
        </w:rPr>
      </w:pPr>
      <w:r w:rsidRPr="00E43E93">
        <w:rPr>
          <w:rStyle w:val="FootnoteReference"/>
          <w:rFonts w:asciiTheme="majorHAnsi" w:hAnsiTheme="majorHAnsi"/>
        </w:rPr>
        <w:footnoteRef/>
      </w:r>
      <w:r w:rsidRPr="00E43E93">
        <w:rPr>
          <w:rFonts w:asciiTheme="majorHAnsi" w:hAnsiTheme="majorHAnsi"/>
        </w:rPr>
        <w:t xml:space="preserve"> Ibid.</w:t>
      </w:r>
    </w:p>
  </w:footnote>
  <w:footnote w:id="158">
    <w:p w14:paraId="5A40821F" w14:textId="1DE0A0E8" w:rsidR="00D75A79" w:rsidRPr="00E43E93" w:rsidRDefault="00D75A79" w:rsidP="00F41315">
      <w:pPr>
        <w:pStyle w:val="FootnoteText"/>
        <w:rPr>
          <w:rFonts w:ascii="Calibri" w:hAnsi="Calibri"/>
        </w:rPr>
      </w:pPr>
      <w:r w:rsidRPr="00E43E93">
        <w:rPr>
          <w:rStyle w:val="FootnoteReference"/>
          <w:rFonts w:ascii="Calibri" w:hAnsi="Calibri"/>
        </w:rPr>
        <w:footnoteRef/>
      </w:r>
      <w:r>
        <w:rPr>
          <w:rFonts w:ascii="Calibri" w:hAnsi="Calibri"/>
        </w:rPr>
        <w:t xml:space="preserve"> WPS Policy Briefs</w:t>
      </w:r>
      <w:r w:rsidRPr="00E43E93">
        <w:rPr>
          <w:rFonts w:ascii="Calibri" w:hAnsi="Calibri"/>
        </w:rPr>
        <w:t>, p. 23.</w:t>
      </w:r>
    </w:p>
  </w:footnote>
  <w:footnote w:id="159">
    <w:p w14:paraId="77CCB820" w14:textId="77777777" w:rsidR="00D75A79" w:rsidRPr="00E43E93" w:rsidRDefault="00D75A79" w:rsidP="00F41315">
      <w:pPr>
        <w:pStyle w:val="FootnoteText"/>
        <w:rPr>
          <w:rFonts w:ascii="Calibri" w:hAnsi="Calibri"/>
        </w:rPr>
      </w:pPr>
      <w:r w:rsidRPr="00E43E93">
        <w:rPr>
          <w:rStyle w:val="FootnoteReference"/>
          <w:rFonts w:ascii="Calibri" w:hAnsi="Calibri"/>
        </w:rPr>
        <w:footnoteRef/>
      </w:r>
      <w:r w:rsidRPr="00E43E93">
        <w:rPr>
          <w:rFonts w:ascii="Calibri" w:hAnsi="Calibri"/>
        </w:rPr>
        <w:t xml:space="preserve"> Ibid, p 24.</w:t>
      </w:r>
    </w:p>
  </w:footnote>
  <w:footnote w:id="160">
    <w:p w14:paraId="03C08DCD" w14:textId="77777777" w:rsidR="00D75A79" w:rsidRPr="005B0FD0" w:rsidRDefault="00D75A79" w:rsidP="00F41315">
      <w:pPr>
        <w:pStyle w:val="FootnoteText"/>
        <w:rPr>
          <w:rFonts w:ascii="Calibri" w:hAnsi="Calibri"/>
          <w:color w:val="000000" w:themeColor="text1"/>
        </w:rPr>
      </w:pPr>
      <w:r w:rsidRPr="005B0FD0">
        <w:rPr>
          <w:rStyle w:val="FootnoteReference"/>
          <w:rFonts w:ascii="Calibri" w:hAnsi="Calibri"/>
          <w:color w:val="000000" w:themeColor="text1"/>
        </w:rPr>
        <w:footnoteRef/>
      </w:r>
      <w:r w:rsidRPr="005B0FD0">
        <w:rPr>
          <w:rFonts w:ascii="Calibri" w:hAnsi="Calibri"/>
          <w:color w:val="000000" w:themeColor="text1"/>
        </w:rPr>
        <w:t xml:space="preserve"> Ibid.</w:t>
      </w:r>
    </w:p>
  </w:footnote>
  <w:footnote w:id="161">
    <w:p w14:paraId="0CC20900" w14:textId="32DEC82D" w:rsidR="00D75A79" w:rsidRPr="0011081A" w:rsidRDefault="00D75A79" w:rsidP="00BE2A97">
      <w:pPr>
        <w:pStyle w:val="FootnoteText"/>
        <w:rPr>
          <w:rFonts w:ascii="Calibri" w:hAnsi="Calibri"/>
        </w:rPr>
      </w:pPr>
      <w:r w:rsidRPr="0011081A">
        <w:rPr>
          <w:rStyle w:val="FootnoteReference"/>
          <w:rFonts w:ascii="Calibri" w:hAnsi="Calibri"/>
        </w:rPr>
        <w:footnoteRef/>
      </w:r>
      <w:r w:rsidRPr="0011081A">
        <w:rPr>
          <w:rFonts w:ascii="Calibri" w:hAnsi="Calibri"/>
        </w:rPr>
        <w:t xml:space="preserve"> Hersh, p</w:t>
      </w:r>
      <w:r>
        <w:rPr>
          <w:rFonts w:ascii="Calibri" w:hAnsi="Calibri"/>
        </w:rPr>
        <w:t>.</w:t>
      </w:r>
      <w:r w:rsidRPr="0011081A">
        <w:rPr>
          <w:rFonts w:ascii="Calibri" w:hAnsi="Calibri"/>
        </w:rPr>
        <w:t xml:space="preserve"> 16.</w:t>
      </w:r>
    </w:p>
  </w:footnote>
  <w:footnote w:id="162">
    <w:p w14:paraId="0ADFF87B" w14:textId="7A07FD9E" w:rsidR="00D75A79" w:rsidRPr="0011081A" w:rsidRDefault="00D75A79" w:rsidP="00BE2A97">
      <w:pPr>
        <w:pStyle w:val="FootnoteText"/>
        <w:rPr>
          <w:rFonts w:ascii="Calibri" w:hAnsi="Calibri"/>
        </w:rPr>
      </w:pPr>
      <w:r w:rsidRPr="0011081A">
        <w:rPr>
          <w:rStyle w:val="FootnoteReference"/>
          <w:rFonts w:ascii="Calibri" w:hAnsi="Calibri"/>
        </w:rPr>
        <w:footnoteRef/>
      </w:r>
      <w:r w:rsidRPr="0011081A">
        <w:rPr>
          <w:rFonts w:ascii="Calibri" w:hAnsi="Calibri"/>
        </w:rPr>
        <w:t xml:space="preserve"> Ibid</w:t>
      </w:r>
      <w:r>
        <w:rPr>
          <w:rFonts w:ascii="Calibri" w:hAnsi="Calibri"/>
        </w:rPr>
        <w:t>, p.</w:t>
      </w:r>
      <w:r w:rsidRPr="0011081A">
        <w:rPr>
          <w:rFonts w:ascii="Calibri" w:hAnsi="Calibri"/>
        </w:rPr>
        <w:t>22.</w:t>
      </w:r>
    </w:p>
  </w:footnote>
  <w:footnote w:id="163">
    <w:p w14:paraId="25209C36" w14:textId="1F9996FA" w:rsidR="00D75A79" w:rsidRPr="0011081A" w:rsidRDefault="00D75A79" w:rsidP="005C68CA">
      <w:pPr>
        <w:pStyle w:val="FootnoteText"/>
        <w:rPr>
          <w:rFonts w:ascii="Calibri" w:hAnsi="Calibri"/>
        </w:rPr>
      </w:pPr>
      <w:r w:rsidRPr="0011081A">
        <w:rPr>
          <w:rStyle w:val="FootnoteReference"/>
          <w:rFonts w:ascii="Calibri" w:hAnsi="Calibri"/>
        </w:rPr>
        <w:footnoteRef/>
      </w:r>
      <w:r w:rsidRPr="0011081A">
        <w:rPr>
          <w:rFonts w:ascii="Calibri" w:hAnsi="Calibri"/>
        </w:rPr>
        <w:t xml:space="preserve"> Ibid, p</w:t>
      </w:r>
      <w:r>
        <w:rPr>
          <w:rFonts w:ascii="Calibri" w:hAnsi="Calibri"/>
        </w:rPr>
        <w:t>.</w:t>
      </w:r>
      <w:r w:rsidRPr="0011081A">
        <w:rPr>
          <w:rFonts w:ascii="Calibri" w:hAnsi="Calibri"/>
        </w:rPr>
        <w:t xml:space="preserve"> 16.</w:t>
      </w:r>
    </w:p>
  </w:footnote>
  <w:footnote w:id="164">
    <w:p w14:paraId="6F158EFE" w14:textId="6241C2F8" w:rsidR="00D75A79" w:rsidRPr="0011081A" w:rsidRDefault="00D75A79" w:rsidP="005C68CA">
      <w:pPr>
        <w:pStyle w:val="FootnoteText"/>
        <w:rPr>
          <w:rFonts w:ascii="Calibri" w:hAnsi="Calibri"/>
        </w:rPr>
      </w:pPr>
      <w:r w:rsidRPr="0011081A">
        <w:rPr>
          <w:rStyle w:val="FootnoteReference"/>
          <w:rFonts w:ascii="Calibri" w:hAnsi="Calibri"/>
        </w:rPr>
        <w:footnoteRef/>
      </w:r>
      <w:r w:rsidRPr="0011081A">
        <w:rPr>
          <w:rFonts w:ascii="Calibri" w:hAnsi="Calibri"/>
        </w:rPr>
        <w:t xml:space="preserve"> Ibid, p</w:t>
      </w:r>
      <w:r>
        <w:rPr>
          <w:rFonts w:ascii="Calibri" w:hAnsi="Calibri"/>
        </w:rPr>
        <w:t>.</w:t>
      </w:r>
      <w:r w:rsidRPr="0011081A">
        <w:rPr>
          <w:rFonts w:ascii="Calibri" w:hAnsi="Calibri"/>
        </w:rPr>
        <w:t xml:space="preserve"> 10</w:t>
      </w:r>
      <w:r>
        <w:rPr>
          <w:rFonts w:ascii="Calibri" w:hAnsi="Calibri"/>
        </w:rPr>
        <w:t>.</w:t>
      </w:r>
    </w:p>
  </w:footnote>
  <w:footnote w:id="165">
    <w:p w14:paraId="291B9C23" w14:textId="77777777" w:rsidR="00D75A79" w:rsidRPr="0011081A" w:rsidRDefault="00D75A79" w:rsidP="005C68CA">
      <w:pPr>
        <w:pStyle w:val="FootnoteText"/>
        <w:rPr>
          <w:rFonts w:ascii="Calibri" w:hAnsi="Calibri"/>
        </w:rPr>
      </w:pPr>
      <w:r w:rsidRPr="0011081A">
        <w:rPr>
          <w:rStyle w:val="FootnoteReference"/>
          <w:rFonts w:ascii="Calibri" w:hAnsi="Calibri"/>
        </w:rPr>
        <w:footnoteRef/>
      </w:r>
      <w:r w:rsidRPr="0011081A">
        <w:rPr>
          <w:rFonts w:ascii="Calibri" w:hAnsi="Calibri"/>
        </w:rPr>
        <w:t xml:space="preserve"> Ibid.</w:t>
      </w:r>
    </w:p>
  </w:footnote>
  <w:footnote w:id="166">
    <w:p w14:paraId="06C2AC4C" w14:textId="05E1624E" w:rsidR="00D75A79" w:rsidRDefault="00D75A79">
      <w:pPr>
        <w:pStyle w:val="FootnoteText"/>
      </w:pPr>
      <w:r w:rsidRPr="0011081A">
        <w:rPr>
          <w:rStyle w:val="FootnoteReference"/>
          <w:rFonts w:ascii="Calibri" w:hAnsi="Calibri"/>
        </w:rPr>
        <w:footnoteRef/>
      </w:r>
      <w:r w:rsidRPr="0011081A">
        <w:rPr>
          <w:rFonts w:ascii="Calibri" w:hAnsi="Calibri"/>
        </w:rPr>
        <w:t xml:space="preserve"> Ibid, p. 16.</w:t>
      </w:r>
    </w:p>
  </w:footnote>
  <w:footnote w:id="167">
    <w:p w14:paraId="6EB36309" w14:textId="7A2C69EE" w:rsidR="00D75A79" w:rsidRPr="00367518" w:rsidRDefault="00D75A79" w:rsidP="00F41315">
      <w:pPr>
        <w:rPr>
          <w:rFonts w:ascii="Calibri" w:eastAsia="Times New Roman" w:hAnsi="Calibri" w:cs="Times New Roman"/>
          <w:sz w:val="20"/>
          <w:szCs w:val="20"/>
        </w:rPr>
      </w:pPr>
      <w:r w:rsidRPr="00367518">
        <w:rPr>
          <w:rStyle w:val="FootnoteReference"/>
          <w:rFonts w:ascii="Calibri" w:hAnsi="Calibri"/>
          <w:sz w:val="20"/>
          <w:szCs w:val="20"/>
        </w:rPr>
        <w:footnoteRef/>
      </w:r>
      <w:r w:rsidRPr="00367518">
        <w:rPr>
          <w:rFonts w:ascii="Calibri" w:hAnsi="Calibri"/>
          <w:sz w:val="20"/>
          <w:szCs w:val="20"/>
        </w:rPr>
        <w:t xml:space="preserve"> </w:t>
      </w:r>
      <w:r w:rsidRPr="00367518">
        <w:rPr>
          <w:rFonts w:ascii="Calibri" w:eastAsia="Times New Roman" w:hAnsi="Calibri" w:cs="Times New Roman"/>
          <w:sz w:val="20"/>
          <w:szCs w:val="20"/>
        </w:rPr>
        <w:t xml:space="preserve">Thematic Group on Women's Rights and Sexual Violence and National Coalition of Non-Governmental Organisations for Monitoring and Reporting </w:t>
      </w:r>
      <w:r>
        <w:rPr>
          <w:rFonts w:ascii="Calibri" w:eastAsia="Times New Roman" w:hAnsi="Calibri" w:cs="Times New Roman"/>
          <w:sz w:val="20"/>
          <w:szCs w:val="20"/>
        </w:rPr>
        <w:t>on the Human Rights Situation, ‘</w:t>
      </w:r>
      <w:r w:rsidRPr="00367518">
        <w:rPr>
          <w:rFonts w:ascii="Calibri" w:eastAsia="Times New Roman" w:hAnsi="Calibri" w:cs="Times New Roman"/>
          <w:sz w:val="20"/>
          <w:szCs w:val="20"/>
        </w:rPr>
        <w:t>Additional Shadow Report To The 6th And 7th Combined Report of the DRC</w:t>
      </w:r>
      <w:r>
        <w:rPr>
          <w:rFonts w:ascii="Calibri" w:eastAsia="Times New Roman" w:hAnsi="Calibri" w:cs="Times New Roman"/>
          <w:sz w:val="20"/>
          <w:szCs w:val="20"/>
        </w:rPr>
        <w:t xml:space="preserve"> On The Implementation Of CEDAW’ (2013) available from:</w:t>
      </w:r>
      <w:r w:rsidRPr="00367518">
        <w:rPr>
          <w:rFonts w:ascii="Calibri" w:eastAsia="Times New Roman" w:hAnsi="Calibri" w:cs="Times New Roman"/>
          <w:sz w:val="20"/>
          <w:szCs w:val="20"/>
        </w:rPr>
        <w:t xml:space="preserve"> http://tbinternet.ohchr.org/Treaties/CEDAW/Shared%20Documents/COD/INT_CEDAW_NGO_COD_13595_E.pdf p. </w:t>
      </w:r>
      <w:r w:rsidRPr="00367518">
        <w:rPr>
          <w:rFonts w:ascii="Calibri" w:hAnsi="Calibri"/>
          <w:sz w:val="20"/>
          <w:szCs w:val="20"/>
          <w:lang w:val="en-US"/>
        </w:rPr>
        <w:t>7.</w:t>
      </w:r>
    </w:p>
  </w:footnote>
  <w:footnote w:id="168">
    <w:p w14:paraId="4A6509DE" w14:textId="3B1BEC71" w:rsidR="00D75A79" w:rsidRDefault="00D75A79" w:rsidP="00F41315">
      <w:pPr>
        <w:rPr>
          <w:rFonts w:ascii="Calibri" w:eastAsia="Times New Roman" w:hAnsi="Calibri" w:cs="Times New Roman"/>
          <w:sz w:val="20"/>
          <w:szCs w:val="20"/>
        </w:rPr>
      </w:pPr>
      <w:r w:rsidRPr="00E43E93">
        <w:rPr>
          <w:rStyle w:val="FootnoteReference"/>
          <w:rFonts w:ascii="Calibri" w:hAnsi="Calibri"/>
          <w:sz w:val="20"/>
          <w:szCs w:val="20"/>
        </w:rPr>
        <w:footnoteRef/>
      </w:r>
      <w:r w:rsidRPr="00E43E93">
        <w:rPr>
          <w:rFonts w:ascii="Calibri" w:hAnsi="Calibri"/>
          <w:sz w:val="20"/>
          <w:szCs w:val="20"/>
        </w:rPr>
        <w:t xml:space="preserve"> </w:t>
      </w:r>
      <w:r w:rsidRPr="00E43E93">
        <w:rPr>
          <w:rFonts w:ascii="Calibri" w:eastAsia="Times New Roman" w:hAnsi="Calibri" w:cs="Times New Roman"/>
          <w:sz w:val="20"/>
          <w:szCs w:val="20"/>
        </w:rPr>
        <w:t>United Nations Organisation St</w:t>
      </w:r>
      <w:r>
        <w:rPr>
          <w:rFonts w:ascii="Calibri" w:eastAsia="Times New Roman" w:hAnsi="Calibri" w:cs="Times New Roman"/>
          <w:sz w:val="20"/>
          <w:szCs w:val="20"/>
        </w:rPr>
        <w:t>abilisation Mission in the Democratic Republic of the</w:t>
      </w:r>
      <w:r w:rsidRPr="00E43E93">
        <w:rPr>
          <w:rFonts w:ascii="Calibri" w:eastAsia="Times New Roman" w:hAnsi="Calibri" w:cs="Times New Roman"/>
          <w:sz w:val="20"/>
          <w:szCs w:val="20"/>
        </w:rPr>
        <w:t xml:space="preserve"> Co</w:t>
      </w:r>
      <w:r>
        <w:rPr>
          <w:rFonts w:ascii="Calibri" w:eastAsia="Times New Roman" w:hAnsi="Calibri" w:cs="Times New Roman"/>
          <w:sz w:val="20"/>
          <w:szCs w:val="20"/>
        </w:rPr>
        <w:t>ngo ‘T</w:t>
      </w:r>
      <w:r w:rsidRPr="00E43E93">
        <w:rPr>
          <w:rFonts w:ascii="Calibri" w:eastAsia="Times New Roman" w:hAnsi="Calibri" w:cs="Times New Roman"/>
          <w:sz w:val="20"/>
          <w:szCs w:val="20"/>
        </w:rPr>
        <w:t>he Comprehensive Strategy On Comba</w:t>
      </w:r>
      <w:r>
        <w:rPr>
          <w:rFonts w:ascii="Calibri" w:eastAsia="Times New Roman" w:hAnsi="Calibri" w:cs="Times New Roman"/>
          <w:sz w:val="20"/>
          <w:szCs w:val="20"/>
        </w:rPr>
        <w:t>ting Sexual Violence In The DRC’</w:t>
      </w:r>
      <w:r w:rsidRPr="00E43E93">
        <w:rPr>
          <w:rFonts w:ascii="Calibri" w:eastAsia="Times New Roman" w:hAnsi="Calibri" w:cs="Times New Roman"/>
          <w:sz w:val="20"/>
          <w:szCs w:val="20"/>
        </w:rPr>
        <w:t xml:space="preserve"> (2015) </w:t>
      </w:r>
      <w:r>
        <w:rPr>
          <w:rFonts w:ascii="Calibri" w:eastAsia="Times New Roman" w:hAnsi="Calibri" w:cs="Times New Roman"/>
          <w:sz w:val="20"/>
          <w:szCs w:val="20"/>
        </w:rPr>
        <w:t>available from:</w:t>
      </w:r>
    </w:p>
    <w:p w14:paraId="21386CEE" w14:textId="77777777" w:rsidR="00D75A79" w:rsidRPr="00E43E93" w:rsidRDefault="00D75A79" w:rsidP="00F41315">
      <w:pPr>
        <w:rPr>
          <w:rFonts w:ascii="Calibri" w:eastAsia="Times New Roman" w:hAnsi="Calibri" w:cs="Times New Roman"/>
          <w:sz w:val="20"/>
          <w:szCs w:val="20"/>
        </w:rPr>
      </w:pPr>
      <w:r w:rsidRPr="00E43E93">
        <w:rPr>
          <w:rFonts w:ascii="Calibri" w:eastAsia="Times New Roman" w:hAnsi="Calibri" w:cs="Times New Roman"/>
          <w:sz w:val="20"/>
          <w:szCs w:val="20"/>
        </w:rPr>
        <w:t>http://monusco.unmissio</w:t>
      </w:r>
      <w:r>
        <w:rPr>
          <w:rFonts w:ascii="Calibri" w:eastAsia="Times New Roman" w:hAnsi="Calibri" w:cs="Times New Roman"/>
          <w:sz w:val="20"/>
          <w:szCs w:val="20"/>
        </w:rPr>
        <w:t>ns.org/Default.aspx?tabid=10818</w:t>
      </w:r>
      <w:r w:rsidRPr="00E43E93">
        <w:rPr>
          <w:rFonts w:ascii="Calibri" w:eastAsia="Times New Roman" w:hAnsi="Calibri" w:cs="Times New Roman"/>
          <w:sz w:val="20"/>
          <w:szCs w:val="20"/>
        </w:rPr>
        <w:t>.</w:t>
      </w:r>
    </w:p>
  </w:footnote>
  <w:footnote w:id="169">
    <w:p w14:paraId="0CB7B3CA" w14:textId="77777777" w:rsidR="00D75A79" w:rsidRPr="00E43E93" w:rsidRDefault="00D75A79" w:rsidP="00F41315">
      <w:pPr>
        <w:pStyle w:val="FootnoteText"/>
        <w:rPr>
          <w:rFonts w:ascii="Calibri" w:hAnsi="Calibri"/>
        </w:rPr>
      </w:pPr>
      <w:r w:rsidRPr="00E43E93">
        <w:rPr>
          <w:rStyle w:val="FootnoteReference"/>
          <w:rFonts w:ascii="Calibri" w:hAnsi="Calibri"/>
        </w:rPr>
        <w:footnoteRef/>
      </w:r>
      <w:r w:rsidRPr="00E43E93">
        <w:rPr>
          <w:rFonts w:ascii="Calibri" w:hAnsi="Calibri"/>
        </w:rPr>
        <w:t xml:space="preserve"> Ibid.</w:t>
      </w:r>
    </w:p>
  </w:footnote>
  <w:footnote w:id="170">
    <w:p w14:paraId="7E79113D" w14:textId="394A87E3" w:rsidR="00D75A79" w:rsidRPr="00E43E93" w:rsidRDefault="00D75A79" w:rsidP="00F41315">
      <w:pPr>
        <w:pStyle w:val="FootnoteText"/>
        <w:rPr>
          <w:rFonts w:ascii="Calibri" w:hAnsi="Calibri"/>
        </w:rPr>
      </w:pPr>
      <w:r w:rsidRPr="00E43E93">
        <w:rPr>
          <w:rStyle w:val="FootnoteReference"/>
          <w:rFonts w:ascii="Calibri" w:hAnsi="Calibri"/>
        </w:rPr>
        <w:footnoteRef/>
      </w:r>
      <w:r w:rsidRPr="00E43E93">
        <w:rPr>
          <w:rFonts w:ascii="Calibri" w:hAnsi="Calibri"/>
        </w:rPr>
        <w:t xml:space="preserve"> Hersh, p. 2</w:t>
      </w:r>
      <w:r>
        <w:rPr>
          <w:rFonts w:ascii="Calibri" w:hAnsi="Calibri"/>
        </w:rPr>
        <w:t>.</w:t>
      </w:r>
    </w:p>
  </w:footnote>
  <w:footnote w:id="171">
    <w:p w14:paraId="1CFF7609" w14:textId="77777777" w:rsidR="00D75A79" w:rsidRPr="005B0FD0" w:rsidRDefault="00D75A79" w:rsidP="0065315A">
      <w:pPr>
        <w:rPr>
          <w:rFonts w:asciiTheme="majorHAnsi" w:eastAsia="Times New Roman" w:hAnsiTheme="majorHAnsi" w:cs="Times New Roman"/>
          <w:color w:val="000000" w:themeColor="text1"/>
          <w:sz w:val="20"/>
          <w:szCs w:val="20"/>
        </w:rPr>
      </w:pPr>
      <w:r w:rsidRPr="005B0FD0">
        <w:rPr>
          <w:rStyle w:val="FootnoteReference"/>
          <w:rFonts w:asciiTheme="majorHAnsi" w:hAnsiTheme="majorHAnsi"/>
          <w:color w:val="000000" w:themeColor="text1"/>
          <w:sz w:val="20"/>
          <w:szCs w:val="20"/>
        </w:rPr>
        <w:footnoteRef/>
      </w:r>
      <w:r w:rsidRPr="005B0FD0">
        <w:rPr>
          <w:rFonts w:asciiTheme="majorHAnsi" w:hAnsiTheme="majorHAnsi"/>
          <w:color w:val="000000" w:themeColor="text1"/>
          <w:sz w:val="20"/>
          <w:szCs w:val="20"/>
        </w:rPr>
        <w:t xml:space="preserve"> </w:t>
      </w:r>
      <w:r w:rsidRPr="005B0FD0">
        <w:rPr>
          <w:rFonts w:asciiTheme="majorHAnsi" w:eastAsia="Times New Roman" w:hAnsiTheme="majorHAnsi" w:cs="Times New Roman"/>
          <w:color w:val="000000" w:themeColor="text1"/>
          <w:sz w:val="20"/>
          <w:szCs w:val="20"/>
        </w:rPr>
        <w:t>CEDAW Committee, </w:t>
      </w:r>
      <w:r w:rsidRPr="005B0FD0">
        <w:rPr>
          <w:rFonts w:asciiTheme="majorHAnsi" w:eastAsia="Times New Roman" w:hAnsiTheme="majorHAnsi" w:cs="Times New Roman"/>
          <w:i/>
          <w:iCs/>
          <w:color w:val="000000" w:themeColor="text1"/>
          <w:sz w:val="20"/>
          <w:szCs w:val="20"/>
        </w:rPr>
        <w:t xml:space="preserve">Concluding </w:t>
      </w:r>
      <w:r>
        <w:rPr>
          <w:rFonts w:asciiTheme="majorHAnsi" w:eastAsia="Times New Roman" w:hAnsiTheme="majorHAnsi" w:cs="Times New Roman"/>
          <w:i/>
          <w:iCs/>
          <w:color w:val="000000" w:themeColor="text1"/>
          <w:sz w:val="20"/>
          <w:szCs w:val="20"/>
        </w:rPr>
        <w:t xml:space="preserve">Observations: </w:t>
      </w:r>
      <w:r w:rsidRPr="005B0FD0">
        <w:rPr>
          <w:rFonts w:asciiTheme="majorHAnsi" w:eastAsia="Times New Roman" w:hAnsiTheme="majorHAnsi" w:cs="Times New Roman"/>
          <w:i/>
          <w:iCs/>
          <w:color w:val="000000" w:themeColor="text1"/>
          <w:sz w:val="20"/>
          <w:szCs w:val="20"/>
        </w:rPr>
        <w:t>Democratic Republic of the Congo</w:t>
      </w:r>
      <w:r w:rsidRPr="005B0FD0">
        <w:rPr>
          <w:rFonts w:asciiTheme="majorHAnsi" w:eastAsia="Times New Roman" w:hAnsiTheme="majorHAnsi" w:cs="Times New Roman"/>
          <w:color w:val="000000" w:themeColor="text1"/>
          <w:sz w:val="20"/>
          <w:szCs w:val="20"/>
        </w:rPr>
        <w:t xml:space="preserve"> (</w:t>
      </w:r>
      <w:r>
        <w:rPr>
          <w:rFonts w:asciiTheme="majorHAnsi" w:eastAsia="Times New Roman" w:hAnsiTheme="majorHAnsi" w:cs="Times New Roman"/>
          <w:color w:val="000000" w:themeColor="text1"/>
          <w:sz w:val="20"/>
          <w:szCs w:val="20"/>
        </w:rPr>
        <w:t xml:space="preserve">25 August 2006) CEDAW/C/COD/CO/5.  </w:t>
      </w:r>
    </w:p>
  </w:footnote>
  <w:footnote w:id="172">
    <w:p w14:paraId="0F5FE940" w14:textId="77777777" w:rsidR="00D75A79" w:rsidRPr="00D344A1" w:rsidRDefault="00D75A79" w:rsidP="0065315A">
      <w:pPr>
        <w:pStyle w:val="FootnoteText"/>
        <w:rPr>
          <w:rFonts w:ascii="Calibri" w:hAnsi="Calibri"/>
        </w:rPr>
      </w:pPr>
      <w:r w:rsidRPr="005B0FD0">
        <w:rPr>
          <w:rStyle w:val="FootnoteReference"/>
          <w:rFonts w:ascii="Calibri" w:hAnsi="Calibri"/>
          <w:color w:val="000000" w:themeColor="text1"/>
        </w:rPr>
        <w:footnoteRef/>
      </w:r>
      <w:r w:rsidRPr="005B0FD0">
        <w:rPr>
          <w:rFonts w:ascii="Calibri" w:hAnsi="Calibri"/>
          <w:color w:val="000000" w:themeColor="text1"/>
        </w:rPr>
        <w:t xml:space="preserve"> </w:t>
      </w:r>
      <w:r w:rsidRPr="005B0FD0">
        <w:rPr>
          <w:rFonts w:ascii="Calibri" w:eastAsia="Times New Roman" w:hAnsi="Calibri" w:cs="Times New Roman"/>
          <w:color w:val="000000" w:themeColor="text1"/>
        </w:rPr>
        <w:t>CEDAW Committee, </w:t>
      </w:r>
      <w:r w:rsidRPr="005B0FD0">
        <w:rPr>
          <w:rFonts w:ascii="Calibri" w:eastAsia="Times New Roman" w:hAnsi="Calibri" w:cs="Times New Roman"/>
          <w:i/>
          <w:iCs/>
          <w:color w:val="000000" w:themeColor="text1"/>
        </w:rPr>
        <w:t>Concluding Observations on the combined sixth and seventh periodic reports of the Democratic Republic of the Congo</w:t>
      </w:r>
      <w:r w:rsidRPr="005B0FD0">
        <w:rPr>
          <w:rFonts w:ascii="Calibri" w:eastAsia="Times New Roman" w:hAnsi="Calibri" w:cs="Times New Roman"/>
          <w:color w:val="000000" w:themeColor="text1"/>
        </w:rPr>
        <w:t xml:space="preserve"> (30 July 2013) CEDAW/C/COD/CO/6-7.</w:t>
      </w:r>
    </w:p>
  </w:footnote>
  <w:footnote w:id="173">
    <w:p w14:paraId="785B5EBB" w14:textId="084B583B" w:rsidR="00D75A79" w:rsidRPr="00020F48" w:rsidRDefault="00D75A79" w:rsidP="00D914BB">
      <w:pPr>
        <w:pStyle w:val="FootnoteText"/>
        <w:jc w:val="left"/>
        <w:rPr>
          <w:rFonts w:ascii="Calibri" w:hAnsi="Calibri"/>
        </w:rPr>
      </w:pPr>
      <w:r w:rsidRPr="00020F48">
        <w:rPr>
          <w:rStyle w:val="FootnoteReference"/>
          <w:rFonts w:ascii="Calibri" w:hAnsi="Calibri"/>
        </w:rPr>
        <w:footnoteRef/>
      </w:r>
      <w:r w:rsidRPr="00020F48">
        <w:rPr>
          <w:rFonts w:ascii="Calibri" w:hAnsi="Calibri"/>
        </w:rPr>
        <w:t xml:space="preserve">Human Rights Watch, </w:t>
      </w:r>
      <w:r>
        <w:rPr>
          <w:rFonts w:ascii="Calibri" w:hAnsi="Calibri"/>
        </w:rPr>
        <w:t>‘</w:t>
      </w:r>
      <w:r w:rsidRPr="00020F48">
        <w:rPr>
          <w:rFonts w:ascii="Calibri" w:hAnsi="Calibri"/>
        </w:rPr>
        <w:t>World Report 2014 Nepal</w:t>
      </w:r>
      <w:r>
        <w:rPr>
          <w:rFonts w:ascii="Calibri" w:hAnsi="Calibri"/>
        </w:rPr>
        <w:t>’</w:t>
      </w:r>
      <w:r w:rsidRPr="00020F48">
        <w:rPr>
          <w:rFonts w:ascii="Calibri" w:hAnsi="Calibri"/>
        </w:rPr>
        <w:t>, available from: http://www.hrw.org/world-report/2014/country-chapters/nepal?page=1</w:t>
      </w:r>
    </w:p>
  </w:footnote>
  <w:footnote w:id="174">
    <w:p w14:paraId="644E1DF9" w14:textId="7C926565" w:rsidR="00D75A79" w:rsidRPr="00020F48" w:rsidRDefault="00D75A79" w:rsidP="00D914BB">
      <w:pPr>
        <w:pStyle w:val="FootnoteText"/>
        <w:jc w:val="left"/>
        <w:rPr>
          <w:rFonts w:ascii="Calibri" w:hAnsi="Calibri"/>
        </w:rPr>
      </w:pPr>
      <w:r w:rsidRPr="00020F48">
        <w:rPr>
          <w:rStyle w:val="FootnoteReference"/>
          <w:rFonts w:ascii="Calibri" w:hAnsi="Calibri"/>
        </w:rPr>
        <w:footnoteRef/>
      </w:r>
      <w:r w:rsidRPr="00020F48">
        <w:rPr>
          <w:rFonts w:ascii="Calibri" w:hAnsi="Calibri"/>
        </w:rPr>
        <w:t xml:space="preserve">Human Rights Watch, </w:t>
      </w:r>
      <w:r>
        <w:rPr>
          <w:rFonts w:ascii="Calibri" w:hAnsi="Calibri"/>
        </w:rPr>
        <w:t>‘</w:t>
      </w:r>
      <w:r w:rsidRPr="00020F48">
        <w:rPr>
          <w:rFonts w:ascii="Calibri" w:hAnsi="Calibri"/>
        </w:rPr>
        <w:t>Silenced and Forgotten</w:t>
      </w:r>
      <w:r>
        <w:rPr>
          <w:rFonts w:ascii="Calibri" w:hAnsi="Calibri"/>
        </w:rPr>
        <w:t>’</w:t>
      </w:r>
      <w:r w:rsidRPr="00020F48">
        <w:rPr>
          <w:rFonts w:ascii="Calibri" w:hAnsi="Calibri"/>
        </w:rPr>
        <w:t>, available from: http://www.hrw.org/sites/default/files/reports/nepal0914_ForUpload_0.pdf</w:t>
      </w:r>
    </w:p>
  </w:footnote>
  <w:footnote w:id="175">
    <w:p w14:paraId="23E0C4FB" w14:textId="783B514D" w:rsidR="00D75A79" w:rsidRPr="00020F48" w:rsidRDefault="00D75A79" w:rsidP="00D914BB">
      <w:pPr>
        <w:pStyle w:val="FootnoteText"/>
        <w:jc w:val="left"/>
        <w:rPr>
          <w:rFonts w:ascii="Calibri" w:hAnsi="Calibri"/>
        </w:rPr>
      </w:pPr>
      <w:r w:rsidRPr="00020F48">
        <w:rPr>
          <w:rStyle w:val="FootnoteReference"/>
          <w:rFonts w:ascii="Calibri" w:hAnsi="Calibri"/>
        </w:rPr>
        <w:footnoteRef/>
      </w:r>
      <w:r w:rsidRPr="00020F48">
        <w:rPr>
          <w:rFonts w:ascii="Calibri" w:hAnsi="Calibri"/>
        </w:rPr>
        <w:t xml:space="preserve">Ibid. </w:t>
      </w:r>
    </w:p>
  </w:footnote>
  <w:footnote w:id="176">
    <w:p w14:paraId="00F19DC4" w14:textId="7E40103E" w:rsidR="00D75A79" w:rsidRPr="00020F48" w:rsidRDefault="00D75A79" w:rsidP="005C68CA">
      <w:pPr>
        <w:pStyle w:val="FootnoteText"/>
        <w:jc w:val="left"/>
        <w:rPr>
          <w:rFonts w:ascii="Calibri" w:hAnsi="Calibri"/>
        </w:rPr>
      </w:pPr>
      <w:r w:rsidRPr="00020F48">
        <w:rPr>
          <w:rStyle w:val="FootnoteReference"/>
          <w:rFonts w:ascii="Calibri" w:hAnsi="Calibri"/>
        </w:rPr>
        <w:footnoteRef/>
      </w:r>
      <w:r w:rsidRPr="00020F48">
        <w:rPr>
          <w:rFonts w:ascii="Calibri" w:hAnsi="Calibri"/>
        </w:rPr>
        <w:t xml:space="preserve">United Nations Development Programme (UNDP) </w:t>
      </w:r>
      <w:r>
        <w:rPr>
          <w:rFonts w:ascii="Calibri" w:hAnsi="Calibri"/>
        </w:rPr>
        <w:t>‘</w:t>
      </w:r>
      <w:r w:rsidRPr="00020F48">
        <w:rPr>
          <w:rFonts w:ascii="Calibri" w:hAnsi="Calibri"/>
        </w:rPr>
        <w:t>Support to Participatory Constitution Building in Nepal</w:t>
      </w:r>
      <w:r>
        <w:rPr>
          <w:rFonts w:ascii="Calibri" w:hAnsi="Calibri"/>
        </w:rPr>
        <w:t xml:space="preserve">’ (2014) </w:t>
      </w:r>
      <w:r w:rsidRPr="00020F48">
        <w:rPr>
          <w:rFonts w:ascii="Calibri" w:hAnsi="Calibri"/>
        </w:rPr>
        <w:t xml:space="preserve">available from: http://www.np.undp.org/content/nepal/en/home/operations/projects/crisis_prevention_and_recovery/spcbn/home/. </w:t>
      </w:r>
    </w:p>
  </w:footnote>
  <w:footnote w:id="177">
    <w:p w14:paraId="503E0DBE" w14:textId="1D740215" w:rsidR="00D75A79" w:rsidRPr="00020F48" w:rsidRDefault="00D75A79" w:rsidP="005C68CA">
      <w:pPr>
        <w:pStyle w:val="FootnoteText"/>
        <w:jc w:val="left"/>
        <w:rPr>
          <w:rFonts w:ascii="Calibri" w:hAnsi="Calibri"/>
        </w:rPr>
      </w:pPr>
      <w:r w:rsidRPr="00020F48">
        <w:rPr>
          <w:rStyle w:val="FootnoteReference"/>
          <w:rFonts w:ascii="Calibri" w:hAnsi="Calibri"/>
        </w:rPr>
        <w:footnoteRef/>
      </w:r>
      <w:r>
        <w:rPr>
          <w:rFonts w:ascii="Calibri" w:hAnsi="Calibri"/>
        </w:rPr>
        <w:t xml:space="preserve"> Ibid</w:t>
      </w:r>
      <w:r w:rsidRPr="00020F48">
        <w:rPr>
          <w:rFonts w:ascii="Calibri" w:hAnsi="Calibri"/>
        </w:rPr>
        <w:t>.</w:t>
      </w:r>
    </w:p>
  </w:footnote>
  <w:footnote w:id="178">
    <w:p w14:paraId="77A20BEF" w14:textId="6B50A9E8" w:rsidR="00D75A79" w:rsidRPr="00020F48" w:rsidRDefault="00D75A79" w:rsidP="005C68CA">
      <w:pPr>
        <w:pStyle w:val="FootnoteText"/>
        <w:rPr>
          <w:rFonts w:ascii="Calibri" w:hAnsi="Calibri"/>
        </w:rPr>
      </w:pPr>
      <w:r w:rsidRPr="00020F48">
        <w:rPr>
          <w:rStyle w:val="FootnoteReference"/>
          <w:rFonts w:ascii="Calibri" w:hAnsi="Calibri"/>
        </w:rPr>
        <w:footnoteRef/>
      </w:r>
      <w:r w:rsidRPr="00020F48">
        <w:rPr>
          <w:rFonts w:ascii="Calibri" w:hAnsi="Calibri"/>
        </w:rPr>
        <w:t>International Institute for Democracy a</w:t>
      </w:r>
      <w:r>
        <w:rPr>
          <w:rFonts w:ascii="Calibri" w:hAnsi="Calibri"/>
        </w:rPr>
        <w:t>nd Electoral Assistance (IDEA) ‘A Milestone for Nepal’</w:t>
      </w:r>
      <w:r w:rsidRPr="00020F48">
        <w:rPr>
          <w:rFonts w:ascii="Calibri" w:hAnsi="Calibri"/>
        </w:rPr>
        <w:t>, available from: http://www.idea.int/asia_pacific/nepal/</w:t>
      </w:r>
      <w:r>
        <w:rPr>
          <w:rFonts w:ascii="Calibri" w:hAnsi="Calibri"/>
        </w:rPr>
        <w:t>.</w:t>
      </w:r>
    </w:p>
  </w:footnote>
  <w:footnote w:id="179">
    <w:p w14:paraId="07AA892B" w14:textId="641FF5FA" w:rsidR="00D75A79" w:rsidRPr="00020F48" w:rsidRDefault="00D75A79">
      <w:pPr>
        <w:pStyle w:val="FootnoteText"/>
        <w:rPr>
          <w:rFonts w:ascii="Calibri" w:hAnsi="Calibri"/>
        </w:rPr>
      </w:pPr>
      <w:r w:rsidRPr="00020F48">
        <w:rPr>
          <w:rStyle w:val="FootnoteReference"/>
          <w:rFonts w:ascii="Calibri" w:hAnsi="Calibri"/>
        </w:rPr>
        <w:footnoteRef/>
      </w:r>
      <w:r w:rsidRPr="00020F48">
        <w:rPr>
          <w:rFonts w:ascii="Calibri" w:hAnsi="Calibri"/>
        </w:rPr>
        <w:t xml:space="preserve"> See UN Security Council Resolution 1820 (19 June 2008) UN Doc S/RES/1820 (SCR 1820).</w:t>
      </w:r>
    </w:p>
  </w:footnote>
  <w:footnote w:id="180">
    <w:p w14:paraId="0DBFF5F8" w14:textId="4EFECBBA" w:rsidR="00D75A79" w:rsidRPr="00020F48" w:rsidRDefault="00D75A79" w:rsidP="005C68CA">
      <w:pPr>
        <w:pStyle w:val="FootnoteText"/>
        <w:rPr>
          <w:rFonts w:ascii="Calibri" w:hAnsi="Calibri"/>
        </w:rPr>
      </w:pPr>
      <w:r w:rsidRPr="00020F48">
        <w:rPr>
          <w:rStyle w:val="FootnoteReference"/>
          <w:rFonts w:ascii="Calibri" w:hAnsi="Calibri"/>
        </w:rPr>
        <w:footnoteRef/>
      </w:r>
      <w:r w:rsidRPr="00020F48">
        <w:rPr>
          <w:rFonts w:ascii="Calibri" w:hAnsi="Calibri"/>
        </w:rPr>
        <w:t xml:space="preserve">UN Women, </w:t>
      </w:r>
      <w:r>
        <w:rPr>
          <w:rFonts w:ascii="Calibri" w:hAnsi="Calibri"/>
        </w:rPr>
        <w:t>‘</w:t>
      </w:r>
      <w:r w:rsidRPr="00020F48">
        <w:rPr>
          <w:rFonts w:ascii="Calibri" w:hAnsi="Calibri"/>
        </w:rPr>
        <w:t>A Time for Peace: Nepal Adopts National Action Plan on Women, Peace and Security</w:t>
      </w:r>
      <w:r>
        <w:rPr>
          <w:rFonts w:ascii="Calibri" w:hAnsi="Calibri"/>
        </w:rPr>
        <w:t>’ (17 February 2011)</w:t>
      </w:r>
      <w:r w:rsidRPr="00020F48">
        <w:rPr>
          <w:rFonts w:ascii="Calibri" w:hAnsi="Calibri"/>
        </w:rPr>
        <w:t xml:space="preserve"> available from: http://www.unwomen.org/en/news/stories/2011/2/a-time-for-peace-nepal-adopts-national-action-plan-on-women-peace-and-security</w:t>
      </w:r>
      <w:r>
        <w:rPr>
          <w:rFonts w:ascii="Calibri" w:hAnsi="Calibri"/>
        </w:rPr>
        <w:t>.</w:t>
      </w:r>
    </w:p>
  </w:footnote>
  <w:footnote w:id="181">
    <w:p w14:paraId="184BDA87" w14:textId="6165A00A" w:rsidR="00D75A79" w:rsidRPr="00D344A1" w:rsidRDefault="00D75A79" w:rsidP="005C68CA">
      <w:pPr>
        <w:pStyle w:val="FootnoteText"/>
        <w:rPr>
          <w:rFonts w:ascii="Calibri" w:hAnsi="Calibri"/>
        </w:rPr>
      </w:pPr>
      <w:r w:rsidRPr="00020F48">
        <w:rPr>
          <w:rStyle w:val="FootnoteReference"/>
          <w:rFonts w:ascii="Calibri" w:hAnsi="Calibri"/>
        </w:rPr>
        <w:footnoteRef/>
      </w:r>
      <w:r w:rsidRPr="00020F48">
        <w:rPr>
          <w:rFonts w:ascii="Calibri" w:hAnsi="Calibri"/>
        </w:rPr>
        <w:t>ibid.</w:t>
      </w:r>
      <w:r>
        <w:rPr>
          <w:rFonts w:ascii="Calibri" w:hAnsi="Calibri"/>
        </w:rPr>
        <w:t xml:space="preserve"> </w:t>
      </w:r>
      <w:r w:rsidRPr="00D344A1">
        <w:rPr>
          <w:rFonts w:ascii="Calibri" w:hAnsi="Calibri"/>
        </w:rPr>
        <w:t xml:space="preserve"> </w:t>
      </w:r>
    </w:p>
  </w:footnote>
  <w:footnote w:id="182">
    <w:p w14:paraId="310B1FB2" w14:textId="6FE01BB7" w:rsidR="00D75A79" w:rsidRPr="00627211" w:rsidRDefault="00D75A79" w:rsidP="005C68CA">
      <w:pPr>
        <w:pStyle w:val="FootnoteText"/>
        <w:jc w:val="left"/>
        <w:rPr>
          <w:rFonts w:ascii="Calibri" w:hAnsi="Calibri"/>
        </w:rPr>
      </w:pPr>
      <w:r w:rsidRPr="00627211">
        <w:rPr>
          <w:rStyle w:val="FootnoteReference"/>
          <w:rFonts w:ascii="Calibri" w:hAnsi="Calibri"/>
        </w:rPr>
        <w:footnoteRef/>
      </w:r>
      <w:r>
        <w:rPr>
          <w:rFonts w:ascii="Calibri" w:hAnsi="Calibri"/>
        </w:rPr>
        <w:t>Peace Women, ‘</w:t>
      </w:r>
      <w:r w:rsidRPr="00627211">
        <w:rPr>
          <w:rFonts w:ascii="Calibri" w:hAnsi="Calibri"/>
        </w:rPr>
        <w:t>Nation</w:t>
      </w:r>
      <w:r>
        <w:rPr>
          <w:rFonts w:ascii="Calibri" w:hAnsi="Calibri"/>
        </w:rPr>
        <w:t>al Action Plan: Nepal’</w:t>
      </w:r>
      <w:r w:rsidRPr="00627211">
        <w:rPr>
          <w:rFonts w:ascii="Calibri" w:hAnsi="Calibri"/>
        </w:rPr>
        <w:t>, available from: http://www.peacewomen.org/nap-nepal</w:t>
      </w:r>
      <w:r>
        <w:rPr>
          <w:rFonts w:ascii="Calibri" w:hAnsi="Calibri"/>
        </w:rPr>
        <w:t>.</w:t>
      </w:r>
    </w:p>
  </w:footnote>
  <w:footnote w:id="183">
    <w:p w14:paraId="12CBC16A" w14:textId="751ED2F5" w:rsidR="00D75A79" w:rsidRPr="00627211" w:rsidRDefault="00D75A79" w:rsidP="005C68CA">
      <w:pPr>
        <w:pStyle w:val="FootnoteText"/>
        <w:jc w:val="left"/>
        <w:rPr>
          <w:rFonts w:ascii="Calibri" w:hAnsi="Calibri"/>
        </w:rPr>
      </w:pPr>
      <w:r w:rsidRPr="00627211">
        <w:rPr>
          <w:rStyle w:val="FootnoteReference"/>
          <w:rFonts w:ascii="Calibri" w:hAnsi="Calibri"/>
        </w:rPr>
        <w:footnoteRef/>
      </w:r>
      <w:r w:rsidRPr="00627211">
        <w:rPr>
          <w:rFonts w:ascii="Calibri" w:hAnsi="Calibri"/>
        </w:rPr>
        <w:t>ibid.</w:t>
      </w:r>
    </w:p>
  </w:footnote>
  <w:footnote w:id="184">
    <w:p w14:paraId="2DC7B981" w14:textId="3E24271D" w:rsidR="00D75A79" w:rsidRPr="00627211" w:rsidRDefault="00D75A79" w:rsidP="005C68CA">
      <w:pPr>
        <w:pStyle w:val="FootnoteText"/>
        <w:jc w:val="left"/>
        <w:rPr>
          <w:rFonts w:ascii="Calibri" w:hAnsi="Calibri"/>
        </w:rPr>
      </w:pPr>
      <w:r w:rsidRPr="00627211">
        <w:rPr>
          <w:rStyle w:val="FootnoteReference"/>
          <w:rFonts w:ascii="Calibri" w:hAnsi="Calibri"/>
        </w:rPr>
        <w:footnoteRef/>
      </w:r>
      <w:r w:rsidRPr="00627211">
        <w:rPr>
          <w:rFonts w:ascii="Calibri" w:hAnsi="Calibri"/>
        </w:rPr>
        <w:t>ibid.</w:t>
      </w:r>
    </w:p>
  </w:footnote>
  <w:footnote w:id="185">
    <w:p w14:paraId="30C10C7F" w14:textId="22FDF5E9" w:rsidR="00D75A79" w:rsidRPr="00627211" w:rsidRDefault="00D75A79" w:rsidP="00AC2C21">
      <w:pPr>
        <w:pStyle w:val="FootnoteText"/>
        <w:jc w:val="left"/>
        <w:rPr>
          <w:rFonts w:ascii="Calibri" w:hAnsi="Calibri"/>
        </w:rPr>
      </w:pPr>
      <w:r w:rsidRPr="00627211">
        <w:rPr>
          <w:rStyle w:val="FootnoteReference"/>
          <w:rFonts w:ascii="Calibri" w:hAnsi="Calibri"/>
        </w:rPr>
        <w:footnoteRef/>
      </w:r>
      <w:r w:rsidRPr="00627211">
        <w:rPr>
          <w:rFonts w:ascii="Calibri" w:hAnsi="Calibri"/>
        </w:rPr>
        <w:t xml:space="preserve"> </w:t>
      </w:r>
      <w:r>
        <w:rPr>
          <w:rFonts w:ascii="Calibri" w:hAnsi="Calibri"/>
        </w:rPr>
        <w:t xml:space="preserve">Ministry of Peace and Reconstruction, ‘National Action Plan on the Implementation of United Nations Security Council Resolutions 1325 and 1820: 2011/12-2015/16’, available from: </w:t>
      </w:r>
      <w:r w:rsidRPr="00C9177E">
        <w:rPr>
          <w:rFonts w:ascii="Calibri" w:hAnsi="Calibri"/>
        </w:rPr>
        <w:t>http://www.peacewomen.org/sites/default/files/nepal_2011.pdf</w:t>
      </w:r>
      <w:r>
        <w:rPr>
          <w:rFonts w:ascii="Calibri" w:hAnsi="Calibri"/>
        </w:rPr>
        <w:t xml:space="preserve">, (Nepal NAP) pp. 12, 14-16. </w:t>
      </w:r>
    </w:p>
  </w:footnote>
  <w:footnote w:id="186">
    <w:p w14:paraId="028F5F21" w14:textId="6690B025" w:rsidR="00D75A79" w:rsidRPr="008C5F9D" w:rsidRDefault="00D75A79" w:rsidP="00AC2C21">
      <w:pPr>
        <w:pStyle w:val="FootnoteText"/>
        <w:jc w:val="left"/>
        <w:rPr>
          <w:rFonts w:ascii="Calibri" w:hAnsi="Calibri"/>
        </w:rPr>
      </w:pPr>
      <w:r w:rsidRPr="00627211">
        <w:rPr>
          <w:rStyle w:val="FootnoteReference"/>
          <w:rFonts w:ascii="Calibri" w:hAnsi="Calibri"/>
        </w:rPr>
        <w:footnoteRef/>
      </w:r>
      <w:r w:rsidRPr="008C5F9D">
        <w:rPr>
          <w:rFonts w:ascii="Calibri" w:hAnsi="Calibri"/>
        </w:rPr>
        <w:t xml:space="preserve"> </w:t>
      </w:r>
      <w:r>
        <w:rPr>
          <w:rFonts w:ascii="Calibri" w:hAnsi="Calibri"/>
        </w:rPr>
        <w:t>Ministry of Peace and Reconstruction and 1325 Action Group Nepal, ‘National Action Plan on Implementation of Resolutions 1325 and 1820:</w:t>
      </w:r>
      <w:r w:rsidRPr="00D344A1">
        <w:rPr>
          <w:rFonts w:ascii="Calibri" w:hAnsi="Calibri"/>
        </w:rPr>
        <w:t xml:space="preserve"> </w:t>
      </w:r>
      <w:r>
        <w:rPr>
          <w:rFonts w:ascii="Calibri" w:hAnsi="Calibri"/>
        </w:rPr>
        <w:t xml:space="preserve">Midterm Report’ (September 2014) (Mid-Term Report) available from: </w:t>
      </w:r>
      <w:r w:rsidRPr="00D344A1">
        <w:rPr>
          <w:rFonts w:ascii="Calibri" w:hAnsi="Calibri"/>
        </w:rPr>
        <w:t xml:space="preserve"> </w:t>
      </w:r>
      <w:hyperlink r:id="rId5" w:history="1">
        <w:r w:rsidRPr="00AC2C21">
          <w:rPr>
            <w:rStyle w:val="Hyperlink"/>
            <w:rFonts w:ascii="Calibri" w:hAnsi="Calibri"/>
            <w:color w:val="000000" w:themeColor="text1"/>
            <w:u w:val="none"/>
          </w:rPr>
          <w:t>http://www.saathi.org.np/images/stories/pdf/saathimidtermreportenglish.pdf</w:t>
        </w:r>
      </w:hyperlink>
      <w:r>
        <w:rPr>
          <w:rStyle w:val="Hyperlink"/>
          <w:rFonts w:ascii="Calibri" w:hAnsi="Calibri"/>
        </w:rPr>
        <w:t xml:space="preserve"> </w:t>
      </w:r>
    </w:p>
  </w:footnote>
  <w:footnote w:id="187">
    <w:p w14:paraId="622453F7" w14:textId="4F86CBE4" w:rsidR="00D75A79" w:rsidRPr="00A61E6C" w:rsidRDefault="00D75A79" w:rsidP="005C68CA">
      <w:pPr>
        <w:pStyle w:val="FootnoteText"/>
        <w:jc w:val="left"/>
        <w:rPr>
          <w:rFonts w:ascii="Calibri" w:hAnsi="Calibri"/>
        </w:rPr>
      </w:pPr>
      <w:r w:rsidRPr="00A61E6C">
        <w:rPr>
          <w:rStyle w:val="FootnoteReference"/>
          <w:rFonts w:ascii="Calibri" w:hAnsi="Calibri"/>
        </w:rPr>
        <w:footnoteRef/>
      </w:r>
      <w:r w:rsidRPr="00A61E6C">
        <w:rPr>
          <w:rFonts w:ascii="Calibri" w:hAnsi="Calibri"/>
        </w:rPr>
        <w:t xml:space="preserve"> </w:t>
      </w:r>
      <w:r>
        <w:rPr>
          <w:rFonts w:ascii="Calibri" w:hAnsi="Calibri"/>
        </w:rPr>
        <w:t>Ibid,</w:t>
      </w:r>
      <w:r w:rsidRPr="00A61E6C">
        <w:rPr>
          <w:rFonts w:ascii="Calibri" w:hAnsi="Calibri"/>
        </w:rPr>
        <w:t xml:space="preserve"> p. 87. </w:t>
      </w:r>
    </w:p>
  </w:footnote>
  <w:footnote w:id="188">
    <w:p w14:paraId="05E602DB" w14:textId="0247BA6D" w:rsidR="00D75A79" w:rsidRDefault="00D75A79">
      <w:pPr>
        <w:pStyle w:val="FootnoteText"/>
      </w:pPr>
      <w:r w:rsidRPr="00A61E6C">
        <w:rPr>
          <w:rStyle w:val="FootnoteReference"/>
          <w:rFonts w:ascii="Calibri" w:hAnsi="Calibri"/>
        </w:rPr>
        <w:footnoteRef/>
      </w:r>
      <w:r>
        <w:t xml:space="preserve"> </w:t>
      </w:r>
      <w:r w:rsidRPr="00A61E6C">
        <w:rPr>
          <w:rFonts w:ascii="Calibri" w:hAnsi="Calibri"/>
        </w:rPr>
        <w:t>Ibid, pp. 87-9.</w:t>
      </w:r>
    </w:p>
  </w:footnote>
  <w:footnote w:id="189">
    <w:p w14:paraId="26B61D39" w14:textId="2676DE33" w:rsidR="00D75A79" w:rsidRPr="00D344A1" w:rsidRDefault="00D75A79" w:rsidP="005C68CA">
      <w:pPr>
        <w:pStyle w:val="FootnoteText"/>
        <w:jc w:val="left"/>
        <w:rPr>
          <w:rFonts w:ascii="Calibri" w:hAnsi="Calibri"/>
        </w:rPr>
      </w:pPr>
      <w:r w:rsidRPr="00D344A1">
        <w:rPr>
          <w:rStyle w:val="FootnoteReference"/>
          <w:rFonts w:ascii="Calibri" w:hAnsi="Calibri"/>
        </w:rPr>
        <w:footnoteRef/>
      </w:r>
      <w:r>
        <w:rPr>
          <w:rFonts w:ascii="Calibri" w:hAnsi="Calibri"/>
        </w:rPr>
        <w:t xml:space="preserve"> Ibid, Preface.</w:t>
      </w:r>
    </w:p>
  </w:footnote>
  <w:footnote w:id="190">
    <w:p w14:paraId="338BDC2A" w14:textId="3937020D" w:rsidR="00D75A79" w:rsidRDefault="00D75A79" w:rsidP="005C68CA">
      <w:pPr>
        <w:pStyle w:val="FootnoteText"/>
        <w:jc w:val="left"/>
      </w:pPr>
      <w:r w:rsidRPr="00D344A1">
        <w:rPr>
          <w:rStyle w:val="FootnoteReference"/>
          <w:rFonts w:ascii="Calibri" w:hAnsi="Calibri"/>
        </w:rPr>
        <w:footnoteRef/>
      </w:r>
      <w:r>
        <w:rPr>
          <w:rFonts w:ascii="Calibri" w:hAnsi="Calibri"/>
        </w:rPr>
        <w:t xml:space="preserve"> Ibid. </w:t>
      </w:r>
    </w:p>
  </w:footnote>
  <w:footnote w:id="191">
    <w:p w14:paraId="447A5C6F" w14:textId="0E56770E" w:rsidR="00D75A79" w:rsidRPr="00D344A1" w:rsidRDefault="00D75A79" w:rsidP="00942D4B">
      <w:pPr>
        <w:pStyle w:val="FootnoteText"/>
        <w:rPr>
          <w:rFonts w:ascii="Calibri" w:hAnsi="Calibri"/>
        </w:rPr>
      </w:pPr>
      <w:r w:rsidRPr="00D344A1">
        <w:rPr>
          <w:rStyle w:val="FootnoteReference"/>
          <w:rFonts w:ascii="Calibri" w:hAnsi="Calibri"/>
        </w:rPr>
        <w:footnoteRef/>
      </w:r>
      <w:r>
        <w:rPr>
          <w:rFonts w:ascii="Calibri" w:hAnsi="Calibri"/>
        </w:rPr>
        <w:t xml:space="preserve"> </w:t>
      </w:r>
      <w:r w:rsidRPr="00D344A1">
        <w:rPr>
          <w:rFonts w:ascii="Calibri" w:hAnsi="Calibri"/>
        </w:rPr>
        <w:t xml:space="preserve">International Justice Resource Centre, </w:t>
      </w:r>
      <w:r>
        <w:rPr>
          <w:rFonts w:ascii="Calibri" w:hAnsi="Calibri"/>
        </w:rPr>
        <w:t>‘</w:t>
      </w:r>
      <w:r w:rsidRPr="00D344A1">
        <w:rPr>
          <w:rFonts w:ascii="Calibri" w:hAnsi="Calibri"/>
        </w:rPr>
        <w:t>Truth and Reconciliation Commission for Nepal Continues to Face Criticism</w:t>
      </w:r>
      <w:r>
        <w:rPr>
          <w:rFonts w:ascii="Calibri" w:hAnsi="Calibri"/>
        </w:rPr>
        <w:t xml:space="preserve">’ (9 April 2013) available from: </w:t>
      </w:r>
      <w:r w:rsidRPr="00D344A1">
        <w:rPr>
          <w:rFonts w:ascii="Calibri" w:hAnsi="Calibri"/>
        </w:rPr>
        <w:t>http://www.ijrcenter.org/2013/04/09/flawed-truth-and-reconciliation-commission-for-nepal/</w:t>
      </w:r>
      <w:r>
        <w:rPr>
          <w:rFonts w:ascii="Calibri" w:hAnsi="Calibri"/>
        </w:rPr>
        <w:t>.</w:t>
      </w:r>
    </w:p>
  </w:footnote>
  <w:footnote w:id="192">
    <w:p w14:paraId="2538DB94" w14:textId="039CE493" w:rsidR="00D75A79" w:rsidRPr="00D344A1" w:rsidRDefault="00D75A79" w:rsidP="00942D4B">
      <w:pPr>
        <w:pStyle w:val="FootnoteText"/>
        <w:rPr>
          <w:rFonts w:ascii="Calibri" w:hAnsi="Calibri"/>
        </w:rPr>
      </w:pPr>
      <w:r w:rsidRPr="00D344A1">
        <w:rPr>
          <w:rStyle w:val="FootnoteReference"/>
          <w:rFonts w:ascii="Calibri" w:hAnsi="Calibri"/>
        </w:rPr>
        <w:footnoteRef/>
      </w:r>
      <w:r>
        <w:rPr>
          <w:rFonts w:ascii="Calibri" w:hAnsi="Calibri"/>
        </w:rPr>
        <w:t xml:space="preserve"> Ibid.</w:t>
      </w:r>
    </w:p>
  </w:footnote>
  <w:footnote w:id="193">
    <w:p w14:paraId="114C7AA9" w14:textId="433ABB67" w:rsidR="00D75A79" w:rsidRPr="00D344A1" w:rsidRDefault="00D75A79" w:rsidP="00942D4B">
      <w:pPr>
        <w:pStyle w:val="FootnoteText"/>
        <w:rPr>
          <w:rFonts w:ascii="Calibri" w:hAnsi="Calibri"/>
        </w:rPr>
      </w:pPr>
      <w:r w:rsidRPr="00D344A1">
        <w:rPr>
          <w:rStyle w:val="FootnoteReference"/>
          <w:rFonts w:ascii="Calibri" w:hAnsi="Calibri"/>
        </w:rPr>
        <w:footnoteRef/>
      </w:r>
      <w:r>
        <w:rPr>
          <w:rFonts w:ascii="Calibri" w:hAnsi="Calibri"/>
        </w:rPr>
        <w:t xml:space="preserve"> Government of Nepal, ‘</w:t>
      </w:r>
      <w:r w:rsidRPr="00D344A1">
        <w:rPr>
          <w:rFonts w:ascii="Calibri" w:hAnsi="Calibri"/>
        </w:rPr>
        <w:t>Ordinance on Investigation of Disappeared Persons, Trut</w:t>
      </w:r>
      <w:r>
        <w:rPr>
          <w:rFonts w:ascii="Calibri" w:hAnsi="Calibri"/>
        </w:rPr>
        <w:t>h and Reconciliation Commission’</w:t>
      </w:r>
      <w:r w:rsidRPr="00D344A1">
        <w:rPr>
          <w:rFonts w:ascii="Calibri" w:hAnsi="Calibri"/>
        </w:rPr>
        <w:t xml:space="preserve"> </w:t>
      </w:r>
      <w:r>
        <w:rPr>
          <w:rFonts w:ascii="Calibri" w:hAnsi="Calibri"/>
        </w:rPr>
        <w:t>(Ordinance) available from:</w:t>
      </w:r>
      <w:r w:rsidRPr="00D344A1">
        <w:rPr>
          <w:rFonts w:ascii="Calibri" w:hAnsi="Calibri"/>
        </w:rPr>
        <w:t xml:space="preserve"> </w:t>
      </w:r>
      <w:r w:rsidRPr="00A849B4">
        <w:rPr>
          <w:rFonts w:ascii="Calibri" w:hAnsi="Calibri"/>
        </w:rPr>
        <w:t>http://www.simonrobins.com/missing/wp-content/uploads/2013/02/Nepal-TRC-Ordinance.pdf</w:t>
      </w:r>
      <w:r>
        <w:rPr>
          <w:rFonts w:ascii="Calibri" w:hAnsi="Calibri"/>
        </w:rPr>
        <w:t xml:space="preserve"> </w:t>
      </w:r>
    </w:p>
  </w:footnote>
  <w:footnote w:id="194">
    <w:p w14:paraId="3E0A5A38" w14:textId="59470F78" w:rsidR="00D75A79" w:rsidRPr="00D344A1" w:rsidRDefault="00D75A79" w:rsidP="00942D4B">
      <w:pPr>
        <w:pStyle w:val="FootnoteText"/>
        <w:rPr>
          <w:rFonts w:ascii="Calibri" w:hAnsi="Calibri"/>
        </w:rPr>
      </w:pPr>
      <w:r w:rsidRPr="00D344A1">
        <w:rPr>
          <w:rStyle w:val="FootnoteReference"/>
          <w:rFonts w:ascii="Calibri" w:hAnsi="Calibri"/>
        </w:rPr>
        <w:footnoteRef/>
      </w:r>
      <w:r w:rsidRPr="00D344A1">
        <w:rPr>
          <w:rFonts w:ascii="Calibri" w:hAnsi="Calibri"/>
        </w:rPr>
        <w:t xml:space="preserve">International Commission of Jurists, </w:t>
      </w:r>
      <w:r>
        <w:rPr>
          <w:rFonts w:ascii="Calibri" w:hAnsi="Calibri"/>
        </w:rPr>
        <w:t>‘Compromising Justice: Nepal’s Proposed Ordinance on Commission on Disappeared Persons, Truth and Reconciliation’ (</w:t>
      </w:r>
      <w:r w:rsidRPr="00D344A1">
        <w:rPr>
          <w:rFonts w:ascii="Calibri" w:hAnsi="Calibri"/>
        </w:rPr>
        <w:t>Briefing Paper</w:t>
      </w:r>
      <w:r>
        <w:rPr>
          <w:rFonts w:ascii="Calibri" w:hAnsi="Calibri"/>
        </w:rPr>
        <w:t xml:space="preserve">) (2012) available </w:t>
      </w:r>
      <w:r w:rsidRPr="00D344A1">
        <w:rPr>
          <w:rFonts w:ascii="Calibri" w:hAnsi="Calibri"/>
        </w:rPr>
        <w:t>from</w:t>
      </w:r>
      <w:r>
        <w:rPr>
          <w:rFonts w:ascii="Calibri" w:hAnsi="Calibri"/>
        </w:rPr>
        <w:t>:</w:t>
      </w:r>
      <w:r w:rsidRPr="00D344A1">
        <w:rPr>
          <w:rFonts w:ascii="Calibri" w:hAnsi="Calibri"/>
        </w:rPr>
        <w:t xml:space="preserve"> http://icj.wpengine.netdna-cdn.com/wp-content/uploads/2012/10/TJ-Ordinance-Briefing-Paper-FINAL-VERSION.pdf</w:t>
      </w:r>
    </w:p>
  </w:footnote>
  <w:footnote w:id="195">
    <w:p w14:paraId="2E33F25B" w14:textId="4E400037" w:rsidR="00D75A79" w:rsidRPr="00D344A1" w:rsidRDefault="00D75A79" w:rsidP="00942D4B">
      <w:pPr>
        <w:pStyle w:val="FootnoteText"/>
        <w:rPr>
          <w:rFonts w:ascii="Calibri" w:hAnsi="Calibri"/>
        </w:rPr>
      </w:pPr>
      <w:r w:rsidRPr="00D344A1">
        <w:rPr>
          <w:rStyle w:val="FootnoteReference"/>
          <w:rFonts w:ascii="Calibri" w:hAnsi="Calibri"/>
        </w:rPr>
        <w:footnoteRef/>
      </w:r>
      <w:r w:rsidRPr="00D344A1">
        <w:rPr>
          <w:rFonts w:ascii="Calibri" w:hAnsi="Calibri"/>
        </w:rPr>
        <w:t>Ordinance</w:t>
      </w:r>
      <w:r>
        <w:rPr>
          <w:rFonts w:ascii="Calibri" w:hAnsi="Calibri"/>
        </w:rPr>
        <w:t xml:space="preserve">, ibid. </w:t>
      </w:r>
      <w:r w:rsidRPr="00D344A1">
        <w:rPr>
          <w:rFonts w:ascii="Calibri" w:hAnsi="Calibri"/>
        </w:rPr>
        <w:t xml:space="preserve"> </w:t>
      </w:r>
    </w:p>
  </w:footnote>
  <w:footnote w:id="196">
    <w:p w14:paraId="2C0119B4" w14:textId="5EE8E7D8" w:rsidR="00D75A79" w:rsidRPr="00245F98" w:rsidRDefault="00D75A79" w:rsidP="009B2C34">
      <w:pPr>
        <w:pStyle w:val="FootnoteText"/>
        <w:jc w:val="left"/>
        <w:rPr>
          <w:rFonts w:ascii="Calibri" w:hAnsi="Calibri"/>
        </w:rPr>
      </w:pPr>
      <w:r w:rsidRPr="00245F98">
        <w:rPr>
          <w:rStyle w:val="FootnoteReference"/>
          <w:rFonts w:ascii="Calibri" w:hAnsi="Calibri"/>
        </w:rPr>
        <w:footnoteRef/>
      </w:r>
      <w:r w:rsidRPr="00245F98">
        <w:rPr>
          <w:rFonts w:ascii="Calibri" w:hAnsi="Calibri"/>
        </w:rPr>
        <w:t xml:space="preserve"> BBC News, ‘Why is there communal violence in Myanmar?’ (3 July 2014) available at: http://www.bbc.co.uk/news/world-asia-18395788. </w:t>
      </w:r>
    </w:p>
  </w:footnote>
  <w:footnote w:id="197">
    <w:p w14:paraId="178A038A" w14:textId="1C60360D" w:rsidR="00D75A79" w:rsidRPr="00245F98" w:rsidRDefault="00D75A79" w:rsidP="005C68CA">
      <w:pPr>
        <w:pStyle w:val="FootnoteText"/>
        <w:jc w:val="left"/>
        <w:rPr>
          <w:rFonts w:ascii="Calibri" w:hAnsi="Calibri"/>
        </w:rPr>
      </w:pPr>
      <w:r w:rsidRPr="00245F98">
        <w:rPr>
          <w:rStyle w:val="FootnoteReference"/>
          <w:rFonts w:ascii="Calibri" w:hAnsi="Calibri"/>
        </w:rPr>
        <w:footnoteRef/>
      </w:r>
      <w:r w:rsidRPr="00245F98">
        <w:rPr>
          <w:rFonts w:ascii="Calibri" w:hAnsi="Calibri"/>
        </w:rPr>
        <w:t xml:space="preserve"> Women’s League of Burma, ‘If They Had Hope, They Would Speak: The ongoing use of state-sponsored sexual violence in Burma’s ethnic communities’, available at: http://womenofburma.org/wp-content/uploads/2014/11/VAW_Iftheyhadhope_TheywouldSpeak_English.pdf.</w:t>
      </w:r>
    </w:p>
  </w:footnote>
  <w:footnote w:id="198">
    <w:p w14:paraId="00AC2E10" w14:textId="0317C8CE" w:rsidR="00D75A79" w:rsidRPr="00245F98" w:rsidRDefault="00D75A79" w:rsidP="00EF1EC4">
      <w:pPr>
        <w:pStyle w:val="FootnoteText"/>
        <w:rPr>
          <w:rFonts w:ascii="Calibri" w:hAnsi="Calibri"/>
        </w:rPr>
      </w:pPr>
      <w:r w:rsidRPr="00245F98">
        <w:rPr>
          <w:rStyle w:val="FootnoteReference"/>
          <w:rFonts w:ascii="Calibri" w:hAnsi="Calibri"/>
        </w:rPr>
        <w:footnoteRef/>
      </w:r>
      <w:r w:rsidRPr="00245F98">
        <w:rPr>
          <w:rFonts w:ascii="Calibri" w:hAnsi="Calibri"/>
        </w:rPr>
        <w:t xml:space="preserve"> Ja Nan Lathaw and Nang Raw, ‘Myanmar’s current peace processes a new role for women?’ (Opinion) (Centre for Humanitarian Dialogue, December 2012) available from: http://www.w4nv.com/assets/files/HDMyanmar%20FINAL.pdf</w:t>
      </w:r>
    </w:p>
  </w:footnote>
  <w:footnote w:id="199">
    <w:p w14:paraId="06B9904C" w14:textId="5FB4A1AB" w:rsidR="00D75A79" w:rsidRPr="004C714C" w:rsidRDefault="00D75A79" w:rsidP="005C68CA">
      <w:pPr>
        <w:pStyle w:val="FootnoteText"/>
        <w:jc w:val="left"/>
        <w:rPr>
          <w:rFonts w:ascii="Calibri" w:hAnsi="Calibri"/>
        </w:rPr>
      </w:pPr>
      <w:r w:rsidRPr="00245F98">
        <w:rPr>
          <w:rStyle w:val="FootnoteReference"/>
          <w:rFonts w:ascii="Calibri" w:hAnsi="Calibri"/>
        </w:rPr>
        <w:footnoteRef/>
      </w:r>
      <w:r w:rsidRPr="00245F98">
        <w:rPr>
          <w:rFonts w:ascii="Calibri" w:hAnsi="Calibri"/>
        </w:rPr>
        <w:t xml:space="preserve"> UN Women, ‘In Myanmar, efforts to bring women to the centre of peacebuilding’, available at: </w:t>
      </w:r>
      <w:hyperlink r:id="rId6" w:history="1">
        <w:r w:rsidRPr="00245F98">
          <w:rPr>
            <w:rStyle w:val="Hyperlink"/>
            <w:rFonts w:ascii="Calibri" w:hAnsi="Calibri"/>
            <w:color w:val="000000" w:themeColor="text1"/>
            <w:u w:val="none"/>
          </w:rPr>
          <w:t>http://asiapacific.unwomen.org/en/news-and-events/stories/2013/11/in-myanmar-efforts-to-bring-women-to-the-centre-of-peacebuilding</w:t>
        </w:r>
      </w:hyperlink>
      <w:r w:rsidRPr="00245F98">
        <w:rPr>
          <w:rFonts w:ascii="Calibri" w:hAnsi="Calibri"/>
          <w:color w:val="000000" w:themeColor="text1"/>
        </w:rPr>
        <w:t>.</w:t>
      </w:r>
    </w:p>
  </w:footnote>
  <w:footnote w:id="200">
    <w:p w14:paraId="17E16464" w14:textId="5C8DBBFB" w:rsidR="00D75A79" w:rsidRPr="00876CC8" w:rsidRDefault="00D75A79" w:rsidP="005C68CA">
      <w:pPr>
        <w:pStyle w:val="FootnoteText"/>
        <w:jc w:val="left"/>
        <w:rPr>
          <w:rFonts w:ascii="Calibri" w:hAnsi="Calibri"/>
        </w:rPr>
      </w:pPr>
      <w:r w:rsidRPr="00876CC8">
        <w:rPr>
          <w:rStyle w:val="FootnoteReference"/>
          <w:rFonts w:ascii="Calibri" w:hAnsi="Calibri"/>
        </w:rPr>
        <w:footnoteRef/>
      </w:r>
      <w:r w:rsidRPr="00876CC8">
        <w:rPr>
          <w:rFonts w:ascii="Calibri" w:hAnsi="Calibri"/>
        </w:rPr>
        <w:t xml:space="preserve"> See commentary by </w:t>
      </w:r>
      <w:r>
        <w:rPr>
          <w:rFonts w:ascii="Calibri" w:hAnsi="Calibri"/>
        </w:rPr>
        <w:t>D Baulk, ‘</w:t>
      </w:r>
      <w:r w:rsidRPr="00876CC8">
        <w:rPr>
          <w:rFonts w:ascii="Calibri" w:hAnsi="Calibri"/>
        </w:rPr>
        <w:t>Burma’s ‘transition’</w:t>
      </w:r>
      <w:r>
        <w:rPr>
          <w:rFonts w:ascii="Calibri" w:hAnsi="Calibri"/>
        </w:rPr>
        <w:t xml:space="preserve"> leaves women’s rights behind’</w:t>
      </w:r>
      <w:r w:rsidRPr="00876CC8">
        <w:rPr>
          <w:rFonts w:ascii="Calibri" w:hAnsi="Calibri"/>
        </w:rPr>
        <w:t xml:space="preserve">, (3 December 2014) </w:t>
      </w:r>
      <w:r w:rsidRPr="00876CC8">
        <w:rPr>
          <w:rFonts w:ascii="Calibri" w:hAnsi="Calibri"/>
          <w:i/>
        </w:rPr>
        <w:t>New Internationalist</w:t>
      </w:r>
      <w:r w:rsidRPr="00876CC8">
        <w:rPr>
          <w:rFonts w:ascii="Calibri" w:hAnsi="Calibri"/>
        </w:rPr>
        <w:t>, available from: http://newint.org/blog/2014/12/03/burma-womens-rights/.</w:t>
      </w:r>
    </w:p>
  </w:footnote>
  <w:footnote w:id="201">
    <w:p w14:paraId="3CD50D52" w14:textId="2B6F8386" w:rsidR="00D75A79" w:rsidRPr="004C714C" w:rsidRDefault="00D75A79" w:rsidP="005C68CA">
      <w:pPr>
        <w:pStyle w:val="FootnoteText"/>
        <w:jc w:val="left"/>
        <w:rPr>
          <w:rFonts w:ascii="Calibri" w:hAnsi="Calibri"/>
        </w:rPr>
      </w:pPr>
      <w:r w:rsidRPr="00876CC8">
        <w:rPr>
          <w:rStyle w:val="FootnoteReference"/>
          <w:rFonts w:ascii="Calibri" w:hAnsi="Calibri"/>
        </w:rPr>
        <w:footnoteRef/>
      </w:r>
      <w:r w:rsidRPr="00876CC8">
        <w:rPr>
          <w:rFonts w:ascii="Calibri" w:hAnsi="Calibri"/>
        </w:rPr>
        <w:t xml:space="preserve"> Asia-Pacific Women’s Al</w:t>
      </w:r>
      <w:r>
        <w:rPr>
          <w:rFonts w:ascii="Calibri" w:hAnsi="Calibri"/>
        </w:rPr>
        <w:t>liance for Peace and Security, ‘CARE Myanmar Project Synopsis’ (2014)</w:t>
      </w:r>
      <w:r w:rsidRPr="00876CC8">
        <w:rPr>
          <w:rFonts w:ascii="Calibri" w:hAnsi="Calibri"/>
        </w:rPr>
        <w:t xml:space="preserve"> available from: http://apwaps.net/2014/08/19/care-myanmar/.</w:t>
      </w:r>
      <w:r w:rsidRPr="004C714C">
        <w:rPr>
          <w:rFonts w:ascii="Calibri" w:hAnsi="Calibri"/>
        </w:rPr>
        <w:t xml:space="preserve"> </w:t>
      </w:r>
    </w:p>
  </w:footnote>
  <w:footnote w:id="202">
    <w:p w14:paraId="74CD6803" w14:textId="1D91CA7D" w:rsidR="00D75A79" w:rsidRPr="00876CC8" w:rsidRDefault="00D75A79" w:rsidP="000B6510">
      <w:pPr>
        <w:pStyle w:val="FootnoteText"/>
        <w:rPr>
          <w:rFonts w:ascii="Calibri" w:hAnsi="Calibri"/>
        </w:rPr>
      </w:pPr>
      <w:r w:rsidRPr="00876CC8">
        <w:rPr>
          <w:rStyle w:val="FootnoteReference"/>
          <w:rFonts w:ascii="Calibri" w:hAnsi="Calibri"/>
        </w:rPr>
        <w:footnoteRef/>
      </w:r>
      <w:r w:rsidRPr="00876CC8">
        <w:rPr>
          <w:rFonts w:ascii="Calibri" w:hAnsi="Calibri"/>
        </w:rPr>
        <w:t xml:space="preserve"> </w:t>
      </w:r>
      <w:r>
        <w:rPr>
          <w:rFonts w:ascii="Calibri" w:hAnsi="Calibri"/>
        </w:rPr>
        <w:t xml:space="preserve">Swiss Peace, ‘Working in and on Myanmar: Reflections on a ‘Light Footprint’ Approach’ (Working Paper, May 2014), available from: </w:t>
      </w:r>
      <w:r w:rsidRPr="003228DE">
        <w:rPr>
          <w:rFonts w:ascii="Calibri" w:hAnsi="Calibri"/>
        </w:rPr>
        <w:t>http://www.swisspeace.ch/fileadmin/user_upload/Media/Publications/WP_5_2014.pdf</w:t>
      </w:r>
      <w:r>
        <w:rPr>
          <w:rFonts w:ascii="Calibri" w:hAnsi="Calibri"/>
        </w:rPr>
        <w:t xml:space="preserve">, p. 15. </w:t>
      </w:r>
    </w:p>
  </w:footnote>
  <w:footnote w:id="203">
    <w:p w14:paraId="546CD715" w14:textId="2F94A4EF" w:rsidR="00D75A79" w:rsidRPr="006C1167" w:rsidRDefault="00D75A79" w:rsidP="00C273F1">
      <w:pPr>
        <w:pStyle w:val="FootnoteText"/>
        <w:rPr>
          <w:rFonts w:ascii="Calibri" w:hAnsi="Calibri"/>
        </w:rPr>
      </w:pPr>
      <w:r w:rsidRPr="006C1167">
        <w:rPr>
          <w:rStyle w:val="FootnoteReference"/>
          <w:rFonts w:ascii="Calibri" w:hAnsi="Calibri"/>
        </w:rPr>
        <w:footnoteRef/>
      </w:r>
      <w:r>
        <w:rPr>
          <w:rFonts w:ascii="Calibri" w:hAnsi="Calibri"/>
        </w:rPr>
        <w:t>Insight on Conflict, ‘</w:t>
      </w:r>
      <w:r w:rsidRPr="006C1167">
        <w:rPr>
          <w:rFonts w:ascii="Calibri" w:hAnsi="Calibri"/>
        </w:rPr>
        <w:t>Women Peace I</w:t>
      </w:r>
      <w:r>
        <w:rPr>
          <w:rFonts w:ascii="Calibri" w:hAnsi="Calibri"/>
        </w:rPr>
        <w:t>nitiative for Peace (WIN-Peace)’</w:t>
      </w:r>
      <w:r w:rsidRPr="006C1167">
        <w:rPr>
          <w:rFonts w:ascii="Calibri" w:hAnsi="Calibri"/>
        </w:rPr>
        <w:t xml:space="preserve">, available from: http://www.insightonconflict.org/conflicts/myanmar/peacebuilding-organisations/win-peace/. </w:t>
      </w:r>
    </w:p>
  </w:footnote>
  <w:footnote w:id="204">
    <w:p w14:paraId="6E8427BA" w14:textId="07515D54" w:rsidR="00D75A79" w:rsidRPr="006C1167" w:rsidRDefault="00D75A79" w:rsidP="00C273F1">
      <w:pPr>
        <w:pStyle w:val="FootnoteText"/>
        <w:rPr>
          <w:rFonts w:ascii="Calibri" w:hAnsi="Calibri"/>
        </w:rPr>
      </w:pPr>
      <w:r w:rsidRPr="006C1167">
        <w:rPr>
          <w:rStyle w:val="FootnoteReference"/>
          <w:rFonts w:ascii="Calibri" w:hAnsi="Calibri"/>
        </w:rPr>
        <w:footnoteRef/>
      </w:r>
      <w:r w:rsidRPr="006C1167">
        <w:rPr>
          <w:rFonts w:ascii="Calibri" w:hAnsi="Calibri"/>
        </w:rPr>
        <w:t xml:space="preserve"> Columbia University Institute </w:t>
      </w:r>
      <w:r>
        <w:rPr>
          <w:rFonts w:ascii="Calibri" w:hAnsi="Calibri"/>
        </w:rPr>
        <w:t>for the Study of Human Rights, ‘</w:t>
      </w:r>
      <w:r w:rsidRPr="006C1167">
        <w:rPr>
          <w:rFonts w:ascii="Calibri" w:hAnsi="Calibri"/>
        </w:rPr>
        <w:t xml:space="preserve">Advancing Women’s Empowerment: </w:t>
      </w:r>
      <w:r>
        <w:rPr>
          <w:rFonts w:ascii="Calibri" w:hAnsi="Calibri"/>
        </w:rPr>
        <w:t>Peace, Security and Development’</w:t>
      </w:r>
      <w:r w:rsidRPr="006C1167">
        <w:rPr>
          <w:rFonts w:ascii="Calibri" w:hAnsi="Calibri"/>
        </w:rPr>
        <w:t xml:space="preserve">, available from: http://hrcolumbia.org/peacebuilding/womens_empowerment/. </w:t>
      </w:r>
    </w:p>
  </w:footnote>
  <w:footnote w:id="205">
    <w:p w14:paraId="5EF50860" w14:textId="7D9B459F" w:rsidR="00D75A79" w:rsidRPr="006C1167" w:rsidRDefault="00D75A79" w:rsidP="00C273F1">
      <w:pPr>
        <w:pStyle w:val="FootnoteText"/>
        <w:rPr>
          <w:rFonts w:ascii="Calibri" w:hAnsi="Calibri"/>
        </w:rPr>
      </w:pPr>
      <w:r w:rsidRPr="006C1167">
        <w:rPr>
          <w:rStyle w:val="FootnoteReference"/>
          <w:rFonts w:ascii="Calibri" w:hAnsi="Calibri"/>
        </w:rPr>
        <w:footnoteRef/>
      </w:r>
      <w:r>
        <w:rPr>
          <w:rFonts w:ascii="Calibri" w:hAnsi="Calibri"/>
        </w:rPr>
        <w:t xml:space="preserve"> Action Aid, ‘</w:t>
      </w:r>
      <w:r w:rsidRPr="006C1167">
        <w:rPr>
          <w:rFonts w:ascii="Calibri" w:hAnsi="Calibri"/>
        </w:rPr>
        <w:t>Five ways we’re tackling violence against women</w:t>
      </w:r>
      <w:r>
        <w:rPr>
          <w:rFonts w:ascii="Calibri" w:hAnsi="Calibri"/>
        </w:rPr>
        <w:t xml:space="preserve"> in Myanmar’</w:t>
      </w:r>
      <w:r w:rsidRPr="006C1167">
        <w:rPr>
          <w:rFonts w:ascii="Calibri" w:hAnsi="Calibri"/>
        </w:rPr>
        <w:t xml:space="preserve"> (15 January 2015), available from: http://www.actionaid.org.uk/blog/voices/2015/01/15/5-ways-were-tackling-violence-against-women-in-myanmar. </w:t>
      </w:r>
    </w:p>
  </w:footnote>
  <w:footnote w:id="206">
    <w:p w14:paraId="550B98D2" w14:textId="4331D389" w:rsidR="00D75A79" w:rsidRPr="006C1167" w:rsidRDefault="00D75A79">
      <w:pPr>
        <w:pStyle w:val="FootnoteText"/>
        <w:rPr>
          <w:rFonts w:ascii="Calibri" w:hAnsi="Calibri"/>
        </w:rPr>
      </w:pPr>
      <w:r w:rsidRPr="006C1167">
        <w:rPr>
          <w:rStyle w:val="FootnoteReference"/>
          <w:rFonts w:ascii="Calibri" w:hAnsi="Calibri"/>
        </w:rPr>
        <w:footnoteRef/>
      </w:r>
      <w:r>
        <w:t xml:space="preserve"> </w:t>
      </w:r>
      <w:r>
        <w:rPr>
          <w:rFonts w:ascii="Calibri" w:hAnsi="Calibri"/>
        </w:rPr>
        <w:t xml:space="preserve">CEDAW Committee, </w:t>
      </w:r>
      <w:r w:rsidRPr="00BB71B2">
        <w:rPr>
          <w:rFonts w:ascii="Calibri" w:hAnsi="Calibri"/>
          <w:i/>
        </w:rPr>
        <w:t>C</w:t>
      </w:r>
      <w:r>
        <w:rPr>
          <w:rFonts w:ascii="Calibri" w:hAnsi="Calibri"/>
          <w:i/>
        </w:rPr>
        <w:t>oncluding Observation on the combined 2</w:t>
      </w:r>
      <w:r w:rsidRPr="00BB71B2">
        <w:rPr>
          <w:rFonts w:ascii="Calibri" w:hAnsi="Calibri"/>
          <w:i/>
          <w:vertAlign w:val="superscript"/>
        </w:rPr>
        <w:t>nd</w:t>
      </w:r>
      <w:r>
        <w:rPr>
          <w:rFonts w:ascii="Calibri" w:hAnsi="Calibri"/>
          <w:i/>
        </w:rPr>
        <w:t xml:space="preserve"> and 3</w:t>
      </w:r>
      <w:r w:rsidRPr="00BB71B2">
        <w:rPr>
          <w:rFonts w:ascii="Calibri" w:hAnsi="Calibri"/>
          <w:i/>
          <w:vertAlign w:val="superscript"/>
        </w:rPr>
        <w:t>rd</w:t>
      </w:r>
      <w:r>
        <w:rPr>
          <w:rFonts w:ascii="Calibri" w:hAnsi="Calibri"/>
          <w:i/>
        </w:rPr>
        <w:t xml:space="preserve"> reports of</w:t>
      </w:r>
      <w:r w:rsidRPr="00BB71B2">
        <w:rPr>
          <w:rFonts w:ascii="Calibri" w:hAnsi="Calibri"/>
          <w:i/>
        </w:rPr>
        <w:t xml:space="preserve"> Myanmar</w:t>
      </w:r>
      <w:r>
        <w:rPr>
          <w:rFonts w:ascii="Calibri" w:hAnsi="Calibri"/>
        </w:rPr>
        <w:t xml:space="preserve">, (7 November 2008) CEDAW/C/MMR/CO/3, p. 8.  </w:t>
      </w:r>
    </w:p>
  </w:footnote>
  <w:footnote w:id="207">
    <w:p w14:paraId="794F23D0" w14:textId="18C0BF4D" w:rsidR="00D75A79" w:rsidRPr="00E54487" w:rsidRDefault="00D75A79" w:rsidP="00E54487">
      <w:pPr>
        <w:pStyle w:val="FootnoteText"/>
        <w:jc w:val="left"/>
        <w:rPr>
          <w:rFonts w:ascii="Calibri" w:hAnsi="Calibri"/>
        </w:rPr>
      </w:pPr>
      <w:r w:rsidRPr="00E54487">
        <w:rPr>
          <w:rStyle w:val="FootnoteReference"/>
          <w:rFonts w:ascii="Calibri" w:hAnsi="Calibri"/>
        </w:rPr>
        <w:footnoteRef/>
      </w:r>
      <w:r>
        <w:rPr>
          <w:rFonts w:ascii="Calibri" w:hAnsi="Calibri"/>
        </w:rPr>
        <w:t xml:space="preserve"> Human Rights Watch, ‘</w:t>
      </w:r>
      <w:r w:rsidRPr="00E54487">
        <w:rPr>
          <w:rFonts w:ascii="Calibri" w:hAnsi="Calibri"/>
        </w:rPr>
        <w:t>World Repo</w:t>
      </w:r>
      <w:r>
        <w:rPr>
          <w:rFonts w:ascii="Calibri" w:hAnsi="Calibri"/>
        </w:rPr>
        <w:t>rt on Human Rights 2014: Bosnia’ (January 2014)</w:t>
      </w:r>
      <w:r w:rsidRPr="00E54487">
        <w:rPr>
          <w:rFonts w:ascii="Calibri" w:hAnsi="Calibri"/>
        </w:rPr>
        <w:t xml:space="preserve"> available from:  http://www.hrw.org/sites/default/files/related_material/Bosnia%20and%20Herzegovina.pdf</w:t>
      </w:r>
    </w:p>
  </w:footnote>
  <w:footnote w:id="208">
    <w:p w14:paraId="05DB2390" w14:textId="203B56F0" w:rsidR="00D75A79" w:rsidRPr="00E54487" w:rsidRDefault="00D75A79" w:rsidP="00E54487">
      <w:pPr>
        <w:pStyle w:val="FootnoteText"/>
        <w:jc w:val="left"/>
        <w:rPr>
          <w:rFonts w:ascii="Calibri" w:hAnsi="Calibri"/>
        </w:rPr>
      </w:pPr>
      <w:r w:rsidRPr="00E54487">
        <w:rPr>
          <w:rStyle w:val="FootnoteReference"/>
          <w:rFonts w:ascii="Calibri" w:hAnsi="Calibri"/>
        </w:rPr>
        <w:footnoteRef/>
      </w:r>
      <w:r>
        <w:rPr>
          <w:rFonts w:ascii="Calibri" w:hAnsi="Calibri"/>
        </w:rPr>
        <w:t xml:space="preserve"> See Women Under Siege, ‘</w:t>
      </w:r>
      <w:r w:rsidRPr="00E54487">
        <w:rPr>
          <w:rFonts w:ascii="Calibri" w:hAnsi="Calibri"/>
        </w:rPr>
        <w:t>Bosnia Con</w:t>
      </w:r>
      <w:r>
        <w:rPr>
          <w:rFonts w:ascii="Calibri" w:hAnsi="Calibri"/>
        </w:rPr>
        <w:t>flict Profile’ (8 February 2012)</w:t>
      </w:r>
      <w:r w:rsidRPr="00E54487">
        <w:rPr>
          <w:rFonts w:ascii="Calibri" w:hAnsi="Calibri"/>
        </w:rPr>
        <w:t xml:space="preserve"> available from: http://www.womenundersiegeproject.org/conflicts/profile/bosnia.</w:t>
      </w:r>
    </w:p>
  </w:footnote>
  <w:footnote w:id="209">
    <w:p w14:paraId="6798F541" w14:textId="1FD631FD" w:rsidR="00D75A79" w:rsidRPr="00E54487" w:rsidRDefault="00D75A79" w:rsidP="00EC1751">
      <w:pPr>
        <w:pStyle w:val="FootnoteText"/>
        <w:jc w:val="left"/>
        <w:rPr>
          <w:rFonts w:ascii="Calibri" w:hAnsi="Calibri"/>
        </w:rPr>
      </w:pPr>
      <w:r w:rsidRPr="00E54487">
        <w:rPr>
          <w:rStyle w:val="FootnoteReference"/>
          <w:rFonts w:ascii="Calibri" w:hAnsi="Calibri"/>
        </w:rPr>
        <w:footnoteRef/>
      </w:r>
      <w:r w:rsidRPr="00E54487">
        <w:rPr>
          <w:rFonts w:ascii="Calibri" w:hAnsi="Calibri"/>
        </w:rPr>
        <w:t xml:space="preserve"> I</w:t>
      </w:r>
      <w:r>
        <w:rPr>
          <w:rFonts w:ascii="Calibri" w:hAnsi="Calibri"/>
        </w:rPr>
        <w:t>nstitute for Inclusive Security, ‘</w:t>
      </w:r>
      <w:r w:rsidRPr="00E54487">
        <w:rPr>
          <w:rFonts w:ascii="Calibri" w:hAnsi="Calibri"/>
        </w:rPr>
        <w:t>National Action Plans: Bosni</w:t>
      </w:r>
      <w:r>
        <w:rPr>
          <w:rFonts w:ascii="Calibri" w:hAnsi="Calibri"/>
        </w:rPr>
        <w:t xml:space="preserve">a and Herzegovina: Highlights’ (Second NAP) </w:t>
      </w:r>
      <w:r w:rsidRPr="00E54487">
        <w:rPr>
          <w:rFonts w:ascii="Calibri" w:hAnsi="Calibri"/>
        </w:rPr>
        <w:t xml:space="preserve">available from: http://actionplans.inclusivesecurity.org/countries/bosnia-and-herzegovina/. </w:t>
      </w:r>
    </w:p>
  </w:footnote>
  <w:footnote w:id="210">
    <w:p w14:paraId="35EC2F47" w14:textId="119D4AB0" w:rsidR="00D75A79" w:rsidRDefault="00D75A79" w:rsidP="00E54487">
      <w:pPr>
        <w:pStyle w:val="FootnoteText"/>
        <w:jc w:val="left"/>
      </w:pPr>
      <w:r w:rsidRPr="00E54487">
        <w:rPr>
          <w:rStyle w:val="FootnoteReference"/>
          <w:rFonts w:ascii="Calibri" w:hAnsi="Calibri"/>
        </w:rPr>
        <w:footnoteRef/>
      </w:r>
      <w:r w:rsidRPr="00E54487">
        <w:rPr>
          <w:rFonts w:ascii="Calibri" w:hAnsi="Calibri"/>
        </w:rPr>
        <w:t xml:space="preserve"> Gender Equality Age</w:t>
      </w:r>
      <w:r>
        <w:rPr>
          <w:rFonts w:ascii="Calibri" w:hAnsi="Calibri"/>
        </w:rPr>
        <w:t>ncy of Bosnia and Herzegovina, ‘</w:t>
      </w:r>
      <w:r w:rsidRPr="00E54487">
        <w:rPr>
          <w:rFonts w:ascii="Calibri" w:hAnsi="Calibri"/>
        </w:rPr>
        <w:t>Action Plan for Implementation of UNSCR 1325 in B</w:t>
      </w:r>
      <w:r>
        <w:rPr>
          <w:rFonts w:ascii="Calibri" w:hAnsi="Calibri"/>
        </w:rPr>
        <w:t>osnia and Herzegovina 2014-2017’</w:t>
      </w:r>
      <w:r w:rsidRPr="00E54487">
        <w:rPr>
          <w:rFonts w:ascii="Calibri" w:hAnsi="Calibri"/>
        </w:rPr>
        <w:t xml:space="preserve"> (2014) </w:t>
      </w:r>
      <w:r>
        <w:rPr>
          <w:rFonts w:ascii="Calibri" w:hAnsi="Calibri"/>
        </w:rPr>
        <w:t xml:space="preserve">(First NAP) </w:t>
      </w:r>
      <w:r w:rsidRPr="00E54487">
        <w:rPr>
          <w:rFonts w:ascii="Calibri" w:hAnsi="Calibri"/>
        </w:rPr>
        <w:t>available from: http://www.inclusivesecurity.org/wp-content/uploads/2014/12/Bosnia-NAP-ENG.pdf</w:t>
      </w:r>
      <w:r>
        <w:rPr>
          <w:rFonts w:ascii="Calibri" w:hAnsi="Calibri"/>
        </w:rPr>
        <w:t>, pp. 4-6.</w:t>
      </w:r>
    </w:p>
  </w:footnote>
  <w:footnote w:id="211">
    <w:p w14:paraId="1333C69E" w14:textId="7D82FED3" w:rsidR="00D75A79" w:rsidRPr="00B84CCF" w:rsidRDefault="00D75A79">
      <w:pPr>
        <w:pStyle w:val="FootnoteText"/>
        <w:rPr>
          <w:rFonts w:ascii="Calibri" w:hAnsi="Calibri"/>
        </w:rPr>
      </w:pPr>
      <w:r w:rsidRPr="00B84CCF">
        <w:rPr>
          <w:rStyle w:val="FootnoteReference"/>
          <w:rFonts w:ascii="Calibri" w:hAnsi="Calibri"/>
        </w:rPr>
        <w:footnoteRef/>
      </w:r>
      <w:r w:rsidRPr="00B84CCF">
        <w:rPr>
          <w:rFonts w:ascii="Calibri" w:hAnsi="Calibri"/>
        </w:rPr>
        <w:t xml:space="preserve"> Ibid, p. 6.</w:t>
      </w:r>
    </w:p>
  </w:footnote>
  <w:footnote w:id="212">
    <w:p w14:paraId="38AEE88F" w14:textId="3F1C66F3" w:rsidR="00D75A79" w:rsidRPr="00654111" w:rsidRDefault="00D75A79" w:rsidP="005C68CA">
      <w:pPr>
        <w:pStyle w:val="FootnoteText"/>
        <w:jc w:val="left"/>
        <w:rPr>
          <w:rFonts w:ascii="Calibri" w:hAnsi="Calibri"/>
          <w:lang w:val="hr-HR"/>
        </w:rPr>
      </w:pPr>
      <w:r w:rsidRPr="00654111">
        <w:rPr>
          <w:rStyle w:val="FootnoteReference"/>
          <w:rFonts w:ascii="Calibri" w:hAnsi="Calibri"/>
        </w:rPr>
        <w:footnoteRef/>
      </w:r>
      <w:r w:rsidRPr="00654111">
        <w:rPr>
          <w:rFonts w:ascii="Calibri" w:hAnsi="Calibri"/>
        </w:rPr>
        <w:t xml:space="preserve"> </w:t>
      </w:r>
      <w:r>
        <w:rPr>
          <w:rFonts w:ascii="Calibri" w:hAnsi="Calibri"/>
        </w:rPr>
        <w:t>First NAP.</w:t>
      </w:r>
      <w:r w:rsidRPr="00654111">
        <w:rPr>
          <w:rFonts w:ascii="Calibri" w:hAnsi="Calibri"/>
        </w:rPr>
        <w:t xml:space="preserve">  </w:t>
      </w:r>
    </w:p>
  </w:footnote>
  <w:footnote w:id="213">
    <w:p w14:paraId="291C8453" w14:textId="1959EAE2" w:rsidR="00D75A79" w:rsidRPr="00403F2F" w:rsidRDefault="00D75A79" w:rsidP="005C68CA">
      <w:pPr>
        <w:pStyle w:val="FootnoteText"/>
        <w:rPr>
          <w:lang w:val="en-IE"/>
        </w:rPr>
      </w:pPr>
      <w:r>
        <w:rPr>
          <w:rStyle w:val="FootnoteReference"/>
        </w:rPr>
        <w:footnoteRef/>
      </w:r>
      <w:r>
        <w:t xml:space="preserve"> </w:t>
      </w:r>
      <w:r w:rsidRPr="00403F2F">
        <w:rPr>
          <w:rFonts w:asciiTheme="majorHAnsi" w:hAnsiTheme="majorHAnsi"/>
        </w:rPr>
        <w:t xml:space="preserve">Edita Miftari, </w:t>
      </w:r>
      <w:r w:rsidRPr="00403F2F">
        <w:rPr>
          <w:rFonts w:asciiTheme="majorHAnsi" w:hAnsiTheme="majorHAnsi"/>
          <w:i/>
        </w:rPr>
        <w:t>Politicka participacija zena u Bosni i Herzegovini: analiza ucesca na stranackim listama i konacnih rezultata opcih izbora 2014</w:t>
      </w:r>
      <w:r w:rsidRPr="00403F2F">
        <w:rPr>
          <w:rFonts w:asciiTheme="majorHAnsi" w:hAnsiTheme="majorHAnsi"/>
        </w:rPr>
        <w:t>. (Fondacija CURE &amp; Sarajevski Otvoreni Centar 2015)</w:t>
      </w:r>
      <w:r>
        <w:rPr>
          <w:rFonts w:asciiTheme="majorHAnsi" w:hAnsiTheme="majorHAnsi"/>
        </w:rPr>
        <w:t>, available from:</w:t>
      </w:r>
      <w:r w:rsidRPr="00403F2F">
        <w:rPr>
          <w:rFonts w:asciiTheme="majorHAnsi" w:hAnsiTheme="majorHAnsi"/>
        </w:rPr>
        <w:t xml:space="preserve"> http://zenskamreza.ba/site/wp-content/uploads/2015/02/Mapa_Politicka-participacija_Edita_Knjizni-blok_Za-stampu.pdf.</w:t>
      </w:r>
    </w:p>
  </w:footnote>
  <w:footnote w:id="214">
    <w:p w14:paraId="050A4B35" w14:textId="1FF84055" w:rsidR="00D75A79" w:rsidRPr="00654111" w:rsidRDefault="00D75A79" w:rsidP="005C68CA">
      <w:pPr>
        <w:pStyle w:val="FootnoteText"/>
        <w:jc w:val="left"/>
        <w:rPr>
          <w:rFonts w:ascii="Calibri" w:hAnsi="Calibri"/>
        </w:rPr>
      </w:pPr>
      <w:r w:rsidRPr="00654111">
        <w:rPr>
          <w:rStyle w:val="FootnoteReference"/>
          <w:rFonts w:ascii="Calibri" w:hAnsi="Calibri"/>
        </w:rPr>
        <w:footnoteRef/>
      </w:r>
      <w:r w:rsidRPr="00654111">
        <w:rPr>
          <w:rFonts w:ascii="Calibri" w:hAnsi="Calibri"/>
        </w:rPr>
        <w:t xml:space="preserve"> Mi</w:t>
      </w:r>
      <w:r>
        <w:rPr>
          <w:rFonts w:ascii="Calibri" w:hAnsi="Calibri"/>
        </w:rPr>
        <w:t xml:space="preserve">nistry of Defence, ‘Struktura’, available from: </w:t>
      </w:r>
      <w:r w:rsidRPr="00B97296">
        <w:rPr>
          <w:rFonts w:ascii="Calibri" w:hAnsi="Calibri"/>
        </w:rPr>
        <w:t>http://www.mod.gov.ba/MO_BiH/Struktura/?id=21752</w:t>
      </w:r>
      <w:r w:rsidRPr="00654111">
        <w:rPr>
          <w:rFonts w:ascii="Calibri" w:hAnsi="Calibri"/>
        </w:rPr>
        <w:t>.</w:t>
      </w:r>
    </w:p>
  </w:footnote>
  <w:footnote w:id="215">
    <w:p w14:paraId="76F3EB85" w14:textId="0D874CCB" w:rsidR="00D75A79" w:rsidRPr="0017720C" w:rsidRDefault="00D75A79" w:rsidP="005C68CA">
      <w:pPr>
        <w:pStyle w:val="FootnoteText"/>
        <w:jc w:val="left"/>
        <w:rPr>
          <w:rFonts w:ascii="Calibri" w:hAnsi="Calibri"/>
        </w:rPr>
      </w:pPr>
      <w:r w:rsidRPr="0017720C">
        <w:rPr>
          <w:rStyle w:val="FootnoteReference"/>
          <w:rFonts w:ascii="Calibri" w:hAnsi="Calibri"/>
        </w:rPr>
        <w:footnoteRef/>
      </w:r>
      <w:r w:rsidRPr="0017720C">
        <w:rPr>
          <w:rFonts w:ascii="Calibri" w:hAnsi="Calibri"/>
        </w:rPr>
        <w:t xml:space="preserve"> </w:t>
      </w:r>
      <w:r>
        <w:rPr>
          <w:rFonts w:ascii="Calibri" w:hAnsi="Calibri"/>
        </w:rPr>
        <w:t>First NAP, p. 13.</w:t>
      </w:r>
    </w:p>
  </w:footnote>
  <w:footnote w:id="216">
    <w:p w14:paraId="069F4129" w14:textId="2A181E31" w:rsidR="00D75A79" w:rsidRPr="0017720C" w:rsidRDefault="00D75A79" w:rsidP="005C68CA">
      <w:pPr>
        <w:pStyle w:val="FootnoteText"/>
        <w:jc w:val="left"/>
        <w:rPr>
          <w:rFonts w:ascii="Calibri" w:hAnsi="Calibri"/>
        </w:rPr>
      </w:pPr>
      <w:r w:rsidRPr="0017720C">
        <w:rPr>
          <w:rStyle w:val="FootnoteReference"/>
          <w:rFonts w:ascii="Calibri" w:hAnsi="Calibri"/>
        </w:rPr>
        <w:footnoteRef/>
      </w:r>
      <w:r w:rsidRPr="0017720C">
        <w:rPr>
          <w:rFonts w:ascii="Calibri" w:hAnsi="Calibri"/>
        </w:rPr>
        <w:t xml:space="preserve"> Ibid.</w:t>
      </w:r>
    </w:p>
  </w:footnote>
  <w:footnote w:id="217">
    <w:p w14:paraId="26936E7B" w14:textId="2B3EBE20" w:rsidR="00D75A79" w:rsidRPr="0017720C" w:rsidRDefault="00D75A79" w:rsidP="005C68CA">
      <w:pPr>
        <w:pStyle w:val="FootnoteText"/>
        <w:jc w:val="left"/>
        <w:rPr>
          <w:rFonts w:ascii="Calibri" w:hAnsi="Calibri"/>
        </w:rPr>
      </w:pPr>
      <w:r w:rsidRPr="0017720C">
        <w:rPr>
          <w:rStyle w:val="FootnoteReference"/>
          <w:rFonts w:ascii="Calibri" w:hAnsi="Calibri"/>
        </w:rPr>
        <w:footnoteRef/>
      </w:r>
      <w:r w:rsidRPr="0017720C">
        <w:rPr>
          <w:rFonts w:ascii="Calibri" w:hAnsi="Calibri"/>
        </w:rPr>
        <w:t xml:space="preserve"> Ibid.</w:t>
      </w:r>
    </w:p>
  </w:footnote>
  <w:footnote w:id="218">
    <w:p w14:paraId="5E6C6BB3" w14:textId="77777777" w:rsidR="00D75A79" w:rsidRPr="00830AFB" w:rsidRDefault="00D75A79" w:rsidP="00681A7E">
      <w:pPr>
        <w:pStyle w:val="FootnoteText"/>
        <w:jc w:val="left"/>
        <w:rPr>
          <w:rFonts w:ascii="Calibri" w:hAnsi="Calibri"/>
        </w:rPr>
      </w:pPr>
      <w:r w:rsidRPr="00830AFB">
        <w:rPr>
          <w:rStyle w:val="FootnoteReference"/>
          <w:rFonts w:ascii="Calibri" w:hAnsi="Calibri"/>
        </w:rPr>
        <w:footnoteRef/>
      </w:r>
      <w:r w:rsidRPr="00830AFB">
        <w:rPr>
          <w:rFonts w:ascii="Calibri" w:hAnsi="Calibri"/>
        </w:rPr>
        <w:t xml:space="preserve"> Amnesty International, </w:t>
      </w:r>
      <w:r w:rsidRPr="00830AFB">
        <w:rPr>
          <w:rFonts w:ascii="Calibri" w:hAnsi="Calibri"/>
          <w:i/>
        </w:rPr>
        <w:t xml:space="preserve">Whose Justice? </w:t>
      </w:r>
      <w:r w:rsidRPr="00830AFB">
        <w:rPr>
          <w:rFonts w:ascii="Calibri" w:hAnsi="Calibri"/>
        </w:rPr>
        <w:t xml:space="preserve">(London: 2009). </w:t>
      </w:r>
    </w:p>
  </w:footnote>
  <w:footnote w:id="219">
    <w:p w14:paraId="2B07259E" w14:textId="387B5547" w:rsidR="00D75A79" w:rsidRPr="00830AFB" w:rsidRDefault="00D75A79">
      <w:pPr>
        <w:pStyle w:val="FootnoteText"/>
        <w:rPr>
          <w:rFonts w:ascii="Calibri" w:hAnsi="Calibri"/>
        </w:rPr>
      </w:pPr>
      <w:r w:rsidRPr="00830AFB">
        <w:rPr>
          <w:rStyle w:val="FootnoteReference"/>
          <w:rFonts w:ascii="Calibri" w:hAnsi="Calibri"/>
        </w:rPr>
        <w:footnoteRef/>
      </w:r>
      <w:r w:rsidRPr="00830AFB">
        <w:rPr>
          <w:rFonts w:ascii="Calibri" w:hAnsi="Calibri"/>
        </w:rPr>
        <w:t xml:space="preserve"> Ministry of Security, Trafficking Report 2014. </w:t>
      </w:r>
    </w:p>
  </w:footnote>
  <w:footnote w:id="220">
    <w:p w14:paraId="787F54E9" w14:textId="77777777" w:rsidR="00D75A79" w:rsidRPr="00830AFB" w:rsidRDefault="00D75A79" w:rsidP="00681A7E">
      <w:pPr>
        <w:pStyle w:val="FootnoteText"/>
        <w:jc w:val="left"/>
        <w:rPr>
          <w:rFonts w:ascii="Calibri" w:hAnsi="Calibri"/>
        </w:rPr>
      </w:pPr>
      <w:r w:rsidRPr="00830AFB">
        <w:rPr>
          <w:rStyle w:val="FootnoteReference"/>
          <w:rFonts w:ascii="Calibri" w:hAnsi="Calibri"/>
        </w:rPr>
        <w:footnoteRef/>
      </w:r>
      <w:r w:rsidRPr="00830AFB">
        <w:rPr>
          <w:rFonts w:ascii="Calibri" w:hAnsi="Calibri"/>
        </w:rPr>
        <w:t xml:space="preserve"> Ibid. </w:t>
      </w:r>
    </w:p>
  </w:footnote>
  <w:footnote w:id="221">
    <w:p w14:paraId="318DC14C" w14:textId="6C64D747" w:rsidR="00D75A79" w:rsidRPr="00830AFB" w:rsidRDefault="00D75A79">
      <w:pPr>
        <w:pStyle w:val="FootnoteText"/>
        <w:rPr>
          <w:rFonts w:ascii="Calibri" w:hAnsi="Calibri"/>
        </w:rPr>
      </w:pPr>
      <w:r w:rsidRPr="00830AFB">
        <w:rPr>
          <w:rStyle w:val="FootnoteReference"/>
          <w:rFonts w:ascii="Calibri" w:hAnsi="Calibri"/>
        </w:rPr>
        <w:footnoteRef/>
      </w:r>
      <w:r w:rsidRPr="00830AFB">
        <w:rPr>
          <w:rFonts w:ascii="Calibri" w:hAnsi="Calibri"/>
        </w:rPr>
        <w:t xml:space="preserve"> </w:t>
      </w:r>
      <w:r>
        <w:rPr>
          <w:rFonts w:ascii="Calibri" w:hAnsi="Calibri"/>
        </w:rPr>
        <w:t xml:space="preserve">Organization for Security and Cooperation in Europe (OSCE) ‘Delivering justice for wartime sexual violence in Bosnia and Herzegovina’ (3 April 2014) available from: </w:t>
      </w:r>
      <w:r w:rsidRPr="007D4A82">
        <w:rPr>
          <w:rFonts w:ascii="Calibri" w:hAnsi="Calibri"/>
        </w:rPr>
        <w:t>http://www.osce.org/bih/117037</w:t>
      </w:r>
      <w:r>
        <w:rPr>
          <w:rFonts w:ascii="Calibri" w:hAnsi="Calibri"/>
        </w:rPr>
        <w:t>.</w:t>
      </w:r>
    </w:p>
  </w:footnote>
  <w:footnote w:id="222">
    <w:p w14:paraId="274664E7" w14:textId="77777777" w:rsidR="00D75A79" w:rsidRPr="00830AFB" w:rsidRDefault="00D75A79" w:rsidP="006B02AF">
      <w:pPr>
        <w:pStyle w:val="FootnoteText"/>
        <w:jc w:val="left"/>
        <w:rPr>
          <w:rFonts w:ascii="Calibri" w:hAnsi="Calibri"/>
        </w:rPr>
      </w:pPr>
      <w:r w:rsidRPr="00830AFB">
        <w:rPr>
          <w:rStyle w:val="FootnoteReference"/>
          <w:rFonts w:ascii="Calibri" w:hAnsi="Calibri"/>
        </w:rPr>
        <w:footnoteRef/>
      </w:r>
      <w:r w:rsidRPr="00830AFB">
        <w:rPr>
          <w:rFonts w:ascii="Calibri" w:hAnsi="Calibri"/>
        </w:rPr>
        <w:t xml:space="preserve"> Ibid.</w:t>
      </w:r>
    </w:p>
  </w:footnote>
  <w:footnote w:id="223">
    <w:p w14:paraId="19280014" w14:textId="7C72DCFC" w:rsidR="00D75A79" w:rsidRPr="00654111" w:rsidRDefault="00D75A79" w:rsidP="00C47E1B">
      <w:pPr>
        <w:pStyle w:val="FootnoteText"/>
        <w:jc w:val="left"/>
        <w:rPr>
          <w:rFonts w:ascii="Calibri" w:hAnsi="Calibri"/>
        </w:rPr>
      </w:pPr>
      <w:r w:rsidRPr="00830AFB">
        <w:rPr>
          <w:rStyle w:val="FootnoteReference"/>
          <w:rFonts w:ascii="Calibri" w:hAnsi="Calibri"/>
        </w:rPr>
        <w:footnoteRef/>
      </w:r>
      <w:r w:rsidRPr="00830AFB">
        <w:rPr>
          <w:rFonts w:ascii="Calibri" w:hAnsi="Calibri"/>
        </w:rPr>
        <w:t xml:space="preserve">  Sarajev</w:t>
      </w:r>
      <w:r>
        <w:rPr>
          <w:rFonts w:ascii="Calibri" w:hAnsi="Calibri"/>
        </w:rPr>
        <w:t>ski Otvoreni Centar ‘</w:t>
      </w:r>
      <w:r w:rsidRPr="00830AFB">
        <w:rPr>
          <w:rFonts w:ascii="Calibri" w:hAnsi="Calibri"/>
        </w:rPr>
        <w:t>Skupstina KS ce traziti zastupljenost zena</w:t>
      </w:r>
      <w:r>
        <w:rPr>
          <w:rFonts w:ascii="Calibri" w:hAnsi="Calibri"/>
        </w:rPr>
        <w:t xml:space="preserve"> u vladi od minimalno 40 posto’</w:t>
      </w:r>
      <w:r w:rsidRPr="00830AFB">
        <w:rPr>
          <w:rFonts w:ascii="Calibri" w:hAnsi="Calibri"/>
        </w:rPr>
        <w:t xml:space="preserve"> available from: http://soc.ba/skupstina-ks-ce-traziti-zastupljenost-zena-u-vladi-od-minimalno-40-posto/.</w:t>
      </w:r>
    </w:p>
  </w:footnote>
  <w:footnote w:id="224">
    <w:p w14:paraId="147ACA40" w14:textId="303290BE" w:rsidR="00D75A79" w:rsidRPr="00D55C34" w:rsidRDefault="00D75A79" w:rsidP="001109DA">
      <w:pPr>
        <w:rPr>
          <w:rFonts w:ascii="Calibri" w:hAnsi="Calibri"/>
          <w:sz w:val="20"/>
          <w:szCs w:val="20"/>
        </w:rPr>
      </w:pPr>
      <w:r w:rsidRPr="00D55C34">
        <w:rPr>
          <w:rStyle w:val="FootnoteReference"/>
          <w:rFonts w:ascii="Calibri" w:hAnsi="Calibri"/>
          <w:sz w:val="20"/>
          <w:szCs w:val="20"/>
        </w:rPr>
        <w:footnoteRef/>
      </w:r>
      <w:r w:rsidRPr="00D55C34">
        <w:rPr>
          <w:rStyle w:val="FootnoteReference"/>
          <w:rFonts w:ascii="Calibri" w:hAnsi="Calibri"/>
          <w:sz w:val="20"/>
          <w:szCs w:val="20"/>
        </w:rPr>
        <w:t xml:space="preserve"> </w:t>
      </w:r>
      <w:r w:rsidRPr="00D55C34">
        <w:rPr>
          <w:rFonts w:ascii="Calibri" w:hAnsi="Calibri"/>
          <w:sz w:val="20"/>
          <w:szCs w:val="20"/>
        </w:rPr>
        <w:t>National Commission on Political Imprisonment and Torture Report</w:t>
      </w:r>
      <w:r>
        <w:rPr>
          <w:rFonts w:ascii="Calibri" w:hAnsi="Calibri"/>
          <w:sz w:val="20"/>
          <w:szCs w:val="20"/>
        </w:rPr>
        <w:t xml:space="preserve"> </w:t>
      </w:r>
      <w:r w:rsidRPr="00D55C34">
        <w:rPr>
          <w:rFonts w:ascii="Calibri" w:hAnsi="Calibri"/>
          <w:sz w:val="20"/>
          <w:szCs w:val="20"/>
        </w:rPr>
        <w:t>(</w:t>
      </w:r>
      <w:r>
        <w:rPr>
          <w:rFonts w:ascii="Calibri" w:hAnsi="Calibri"/>
          <w:sz w:val="20"/>
          <w:szCs w:val="20"/>
        </w:rPr>
        <w:t xml:space="preserve">the </w:t>
      </w:r>
      <w:r w:rsidRPr="00D55C34">
        <w:rPr>
          <w:rFonts w:ascii="Calibri" w:hAnsi="Calibri"/>
          <w:sz w:val="20"/>
          <w:szCs w:val="20"/>
        </w:rPr>
        <w:t>Valech Report) (2005), available from: http://www.derechoshumanos.net/paises/America/derechos-humanos-Chile/informes-comisiones/Informe-Comision-Valech.pdf</w:t>
      </w:r>
      <w:r>
        <w:rPr>
          <w:rFonts w:ascii="Calibri" w:hAnsi="Calibri"/>
          <w:sz w:val="20"/>
          <w:szCs w:val="20"/>
        </w:rPr>
        <w:t>.</w:t>
      </w:r>
    </w:p>
  </w:footnote>
  <w:footnote w:id="225">
    <w:p w14:paraId="1A8B17E7" w14:textId="5957932E" w:rsidR="00D75A79" w:rsidRPr="00D55C34" w:rsidRDefault="00D75A79" w:rsidP="00396B07">
      <w:pPr>
        <w:jc w:val="both"/>
        <w:rPr>
          <w:rFonts w:ascii="Calibri" w:hAnsi="Calibri"/>
          <w:sz w:val="20"/>
          <w:szCs w:val="20"/>
        </w:rPr>
      </w:pPr>
      <w:r w:rsidRPr="00D55C34">
        <w:rPr>
          <w:rStyle w:val="FootnoteReference"/>
          <w:rFonts w:ascii="Calibri" w:hAnsi="Calibri"/>
          <w:sz w:val="20"/>
          <w:szCs w:val="20"/>
        </w:rPr>
        <w:footnoteRef/>
      </w:r>
      <w:r>
        <w:rPr>
          <w:rFonts w:ascii="Calibri" w:hAnsi="Calibri"/>
          <w:sz w:val="20"/>
          <w:szCs w:val="20"/>
        </w:rPr>
        <w:t>‘</w:t>
      </w:r>
      <w:r w:rsidRPr="00D55C34">
        <w:rPr>
          <w:rFonts w:ascii="Calibri" w:hAnsi="Calibri"/>
          <w:sz w:val="20"/>
          <w:szCs w:val="20"/>
        </w:rPr>
        <w:t>Violence sexual contra mujeres en dict</w:t>
      </w:r>
      <w:r>
        <w:rPr>
          <w:rFonts w:ascii="Calibri" w:hAnsi="Calibri"/>
          <w:sz w:val="20"/>
          <w:szCs w:val="20"/>
        </w:rPr>
        <w:t>adura: un crimen invisibilizado’</w:t>
      </w:r>
      <w:r w:rsidRPr="00D55C34">
        <w:rPr>
          <w:rFonts w:ascii="Calibri" w:hAnsi="Calibri"/>
          <w:sz w:val="20"/>
          <w:szCs w:val="20"/>
        </w:rPr>
        <w:t xml:space="preserve"> (3 September 2013) available from: http://radio.uchile.cl/2013/09/03/violencia-sexual-contra-mujeres-en-dictadura-un-crimen-invisibilizado</w:t>
      </w:r>
    </w:p>
  </w:footnote>
  <w:footnote w:id="226">
    <w:p w14:paraId="5A21BA9C" w14:textId="5D2359A2" w:rsidR="00D75A79" w:rsidRDefault="00D75A79" w:rsidP="00211F9F">
      <w:pPr>
        <w:pStyle w:val="FootnoteText"/>
        <w:jc w:val="left"/>
      </w:pPr>
      <w:r>
        <w:rPr>
          <w:rStyle w:val="FootnoteReference"/>
        </w:rPr>
        <w:footnoteRef/>
      </w:r>
      <w:r>
        <w:t xml:space="preserve"> </w:t>
      </w:r>
      <w:r w:rsidRPr="00211F9F">
        <w:rPr>
          <w:rFonts w:ascii="Calibri" w:hAnsi="Calibri"/>
        </w:rPr>
        <w:t>Ins</w:t>
      </w:r>
      <w:r>
        <w:rPr>
          <w:rFonts w:ascii="Calibri" w:hAnsi="Calibri"/>
        </w:rPr>
        <w:t xml:space="preserve">titute for Inclusive Security, ‘National Action Plan: Chile’ (2014) available from: </w:t>
      </w:r>
      <w:r w:rsidRPr="00211F9F">
        <w:rPr>
          <w:rFonts w:ascii="Calibri" w:hAnsi="Calibri"/>
        </w:rPr>
        <w:t>http://actionplans.inclusivesecurity.org/countries/chile/</w:t>
      </w:r>
      <w:r>
        <w:rPr>
          <w:rFonts w:ascii="Calibri" w:hAnsi="Calibri"/>
        </w:rPr>
        <w:t>.</w:t>
      </w:r>
    </w:p>
  </w:footnote>
  <w:footnote w:id="227">
    <w:p w14:paraId="24F529AC" w14:textId="1EE78A4A" w:rsidR="00D75A79" w:rsidRDefault="00D75A79">
      <w:pPr>
        <w:pStyle w:val="FootnoteText"/>
      </w:pPr>
      <w:r>
        <w:rPr>
          <w:rStyle w:val="FootnoteReference"/>
        </w:rPr>
        <w:footnoteRef/>
      </w:r>
      <w:r>
        <w:t xml:space="preserve"> </w:t>
      </w:r>
      <w:r w:rsidRPr="008B6E37">
        <w:rPr>
          <w:rFonts w:ascii="Calibri" w:eastAsia="Times New Roman" w:hAnsi="Calibri" w:cs="Times New Roman"/>
        </w:rPr>
        <w:t>Barbara Miller, M</w:t>
      </w:r>
      <w:r>
        <w:rPr>
          <w:rFonts w:ascii="Calibri" w:eastAsia="Times New Roman" w:hAnsi="Calibri" w:cs="Times New Roman"/>
        </w:rPr>
        <w:t>ilad Pournik and Aisling Swaine</w:t>
      </w:r>
      <w:r>
        <w:rPr>
          <w:rFonts w:ascii="Calibri" w:hAnsi="Calibri"/>
        </w:rPr>
        <w:t xml:space="preserve">, ‘Analysis of Chile’s National Action Plan’ (2014) available from: </w:t>
      </w:r>
      <w:r w:rsidRPr="00211F9F">
        <w:rPr>
          <w:rFonts w:ascii="Calibri" w:hAnsi="Calibri"/>
        </w:rPr>
        <w:t>http://peacewomen.org/sites/default/files/chile_specificity_pournik_2014.pdf</w:t>
      </w:r>
      <w:r>
        <w:rPr>
          <w:rFonts w:ascii="Calibri" w:hAnsi="Calibri"/>
        </w:rPr>
        <w:t>.</w:t>
      </w:r>
    </w:p>
  </w:footnote>
  <w:footnote w:id="228">
    <w:p w14:paraId="1119C163" w14:textId="1BD02235" w:rsidR="00D75A79" w:rsidRPr="00D55C34" w:rsidRDefault="00D75A79" w:rsidP="00211F9F">
      <w:pPr>
        <w:pStyle w:val="FootnoteText"/>
        <w:jc w:val="left"/>
        <w:rPr>
          <w:rFonts w:ascii="Calibri" w:hAnsi="Calibri"/>
        </w:rPr>
      </w:pPr>
      <w:r w:rsidRPr="00D55C34">
        <w:rPr>
          <w:rStyle w:val="FootnoteReference"/>
          <w:rFonts w:ascii="Calibri" w:hAnsi="Calibri"/>
        </w:rPr>
        <w:footnoteRef/>
      </w:r>
      <w:r w:rsidRPr="00D55C34">
        <w:rPr>
          <w:rFonts w:ascii="Calibri" w:hAnsi="Calibri"/>
        </w:rPr>
        <w:t xml:space="preserve"> </w:t>
      </w:r>
      <w:r>
        <w:rPr>
          <w:rFonts w:ascii="Calibri" w:eastAsia="Times New Roman" w:hAnsi="Calibri" w:cs="Times New Roman"/>
        </w:rPr>
        <w:t>Ibid.</w:t>
      </w:r>
    </w:p>
  </w:footnote>
  <w:footnote w:id="229">
    <w:p w14:paraId="16275952" w14:textId="16584F63" w:rsidR="00D75A79" w:rsidRPr="008D4C60" w:rsidRDefault="00D75A79">
      <w:pPr>
        <w:pStyle w:val="FootnoteText"/>
        <w:rPr>
          <w:rFonts w:ascii="Calibri" w:hAnsi="Calibri"/>
        </w:rPr>
      </w:pPr>
      <w:r w:rsidRPr="008D4C60">
        <w:rPr>
          <w:rStyle w:val="FootnoteReference"/>
          <w:rFonts w:ascii="Calibri" w:hAnsi="Calibri"/>
        </w:rPr>
        <w:footnoteRef/>
      </w:r>
      <w:r w:rsidRPr="008D4C60">
        <w:rPr>
          <w:rFonts w:ascii="Calibri" w:hAnsi="Calibri"/>
        </w:rPr>
        <w:t xml:space="preserve"> Ministry of Foreign Affairs, Ministry of National Defense, National Women’s Service, </w:t>
      </w:r>
      <w:r w:rsidRPr="008D4C60">
        <w:rPr>
          <w:rFonts w:ascii="Calibri" w:hAnsi="Calibri"/>
          <w:i/>
        </w:rPr>
        <w:t>National Action Plan for the implementation of the UN Security Council Resolution 1325: women, peace, security</w:t>
      </w:r>
      <w:r>
        <w:rPr>
          <w:rFonts w:ascii="Calibri" w:hAnsi="Calibri"/>
        </w:rPr>
        <w:t>,</w:t>
      </w:r>
      <w:r w:rsidRPr="008D4C60">
        <w:rPr>
          <w:rFonts w:ascii="Calibri" w:hAnsi="Calibri"/>
        </w:rPr>
        <w:t xml:space="preserve"> available from: http://www.gnwp.org/sites/default/files/resource-field_media/Chile%20NAP.pdf, pp.11-13.</w:t>
      </w:r>
    </w:p>
  </w:footnote>
  <w:footnote w:id="230">
    <w:p w14:paraId="10700667" w14:textId="7A6BDE4F" w:rsidR="00D75A79" w:rsidRPr="008D4C60" w:rsidRDefault="00D75A79">
      <w:pPr>
        <w:pStyle w:val="FootnoteText"/>
        <w:rPr>
          <w:rFonts w:ascii="Calibri" w:hAnsi="Calibri"/>
        </w:rPr>
      </w:pPr>
      <w:r w:rsidRPr="008D4C60">
        <w:rPr>
          <w:rStyle w:val="FootnoteReference"/>
          <w:rFonts w:ascii="Calibri" w:hAnsi="Calibri"/>
        </w:rPr>
        <w:footnoteRef/>
      </w:r>
      <w:r w:rsidRPr="008D4C60">
        <w:rPr>
          <w:rFonts w:ascii="Calibri" w:hAnsi="Calibri"/>
        </w:rPr>
        <w:t xml:space="preserve"> Ibid, p. 11. </w:t>
      </w:r>
    </w:p>
  </w:footnote>
  <w:footnote w:id="231">
    <w:p w14:paraId="1EFBE36A" w14:textId="4C4A31ED" w:rsidR="00D75A79" w:rsidRPr="008D4C60" w:rsidRDefault="00D75A79" w:rsidP="00151500">
      <w:pPr>
        <w:rPr>
          <w:rFonts w:ascii="Calibri" w:eastAsia="Times New Roman" w:hAnsi="Calibri" w:cs="Times New Roman"/>
          <w:color w:val="3F3F3F"/>
          <w:sz w:val="20"/>
          <w:szCs w:val="20"/>
        </w:rPr>
      </w:pPr>
      <w:r w:rsidRPr="008D4C60">
        <w:rPr>
          <w:rStyle w:val="FootnoteReference"/>
          <w:rFonts w:ascii="Calibri" w:hAnsi="Calibri"/>
          <w:sz w:val="20"/>
          <w:szCs w:val="20"/>
        </w:rPr>
        <w:footnoteRef/>
      </w:r>
      <w:r w:rsidRPr="008D4C60">
        <w:rPr>
          <w:rFonts w:ascii="Calibri" w:hAnsi="Calibri"/>
          <w:sz w:val="20"/>
          <w:szCs w:val="20"/>
        </w:rPr>
        <w:t xml:space="preserve"> </w:t>
      </w:r>
      <w:r w:rsidRPr="0090438F">
        <w:rPr>
          <w:rFonts w:ascii="Calibri" w:eastAsia="Times New Roman" w:hAnsi="Calibri" w:cs="Times New Roman"/>
          <w:color w:val="000000" w:themeColor="text1"/>
          <w:sz w:val="20"/>
          <w:szCs w:val="20"/>
        </w:rPr>
        <w:t>CEDAW Committee,</w:t>
      </w:r>
      <w:r w:rsidRPr="0090438F">
        <w:rPr>
          <w:rFonts w:ascii="Calibri" w:eastAsia="Times New Roman" w:hAnsi="Calibri" w:cs="Times New Roman"/>
          <w:i/>
          <w:color w:val="000000" w:themeColor="text1"/>
          <w:sz w:val="20"/>
          <w:szCs w:val="20"/>
        </w:rPr>
        <w:t xml:space="preserve"> </w:t>
      </w:r>
      <w:r w:rsidRPr="008D4C60">
        <w:rPr>
          <w:rFonts w:ascii="Calibri" w:eastAsia="Times New Roman" w:hAnsi="Calibri" w:cs="Times New Roman"/>
          <w:i/>
          <w:color w:val="000000" w:themeColor="text1"/>
          <w:sz w:val="20"/>
          <w:szCs w:val="20"/>
        </w:rPr>
        <w:t>Consideration of reports submitted by States parties under article 18 of the Convention on the Elimination of All Forms of Discrimination against Women, Combined 5</w:t>
      </w:r>
      <w:r w:rsidRPr="008D4C60">
        <w:rPr>
          <w:rFonts w:ascii="Calibri" w:eastAsia="Times New Roman" w:hAnsi="Calibri" w:cs="Times New Roman"/>
          <w:i/>
          <w:color w:val="000000" w:themeColor="text1"/>
          <w:sz w:val="20"/>
          <w:szCs w:val="20"/>
          <w:vertAlign w:val="superscript"/>
        </w:rPr>
        <w:t>th</w:t>
      </w:r>
      <w:r w:rsidRPr="008D4C60">
        <w:rPr>
          <w:rFonts w:ascii="Calibri" w:eastAsia="Times New Roman" w:hAnsi="Calibri" w:cs="Times New Roman"/>
          <w:i/>
          <w:color w:val="000000" w:themeColor="text1"/>
          <w:sz w:val="20"/>
          <w:szCs w:val="20"/>
        </w:rPr>
        <w:t xml:space="preserve"> and 6th periodic report of States Parties: Chile, </w:t>
      </w:r>
      <w:r w:rsidRPr="008D4C60">
        <w:rPr>
          <w:rFonts w:ascii="Calibri" w:eastAsia="Times New Roman" w:hAnsi="Calibri" w:cs="Times New Roman"/>
          <w:iCs/>
          <w:color w:val="000000" w:themeColor="text1"/>
          <w:sz w:val="20"/>
          <w:szCs w:val="20"/>
        </w:rPr>
        <w:t xml:space="preserve">17 March 2011, </w:t>
      </w:r>
      <w:r w:rsidRPr="008D4C60">
        <w:rPr>
          <w:rFonts w:ascii="Calibri" w:eastAsia="Times New Roman" w:hAnsi="Calibri" w:cs="Times New Roman"/>
          <w:color w:val="000000" w:themeColor="text1"/>
          <w:sz w:val="20"/>
          <w:szCs w:val="20"/>
        </w:rPr>
        <w:t xml:space="preserve">CEDAW/C/CHL/5-6, p. 10. </w:t>
      </w:r>
    </w:p>
    <w:p w14:paraId="3206AA6A" w14:textId="77777777" w:rsidR="00D75A79" w:rsidRPr="003756F9" w:rsidRDefault="00D75A79" w:rsidP="00874314">
      <w:pPr>
        <w:pStyle w:val="FootnoteText"/>
        <w:rPr>
          <w:rFonts w:ascii="Calibri" w:hAnsi="Calibri"/>
        </w:rPr>
      </w:pPr>
    </w:p>
  </w:footnote>
  <w:footnote w:id="232">
    <w:p w14:paraId="42068764" w14:textId="58127F5B" w:rsidR="00D75A79" w:rsidRPr="00AF5015" w:rsidRDefault="00D75A79">
      <w:pPr>
        <w:pStyle w:val="FootnoteText"/>
        <w:rPr>
          <w:rFonts w:ascii="Calibri" w:hAnsi="Calibri"/>
        </w:rPr>
      </w:pPr>
      <w:r w:rsidRPr="00AF5015">
        <w:rPr>
          <w:rStyle w:val="FootnoteReference"/>
          <w:rFonts w:ascii="Calibri" w:hAnsi="Calibri"/>
        </w:rPr>
        <w:footnoteRef/>
      </w:r>
      <w:r w:rsidRPr="00AF5015">
        <w:rPr>
          <w:rFonts w:ascii="Calibri" w:hAnsi="Calibri"/>
        </w:rPr>
        <w:t xml:space="preserve"> UN Women and the Inter-Parliamentary </w:t>
      </w:r>
      <w:r>
        <w:rPr>
          <w:rFonts w:ascii="Calibri" w:hAnsi="Calibri"/>
        </w:rPr>
        <w:t>Union, ‘Women in Politics: 2014’</w:t>
      </w:r>
      <w:r w:rsidRPr="00AF5015">
        <w:rPr>
          <w:rFonts w:ascii="Calibri" w:hAnsi="Calibri"/>
        </w:rPr>
        <w:t xml:space="preserve"> (1 January 2014), available from: http://ipu.org/pdf/publications/wmnmap14_en.pdf. </w:t>
      </w:r>
    </w:p>
  </w:footnote>
  <w:footnote w:id="233">
    <w:p w14:paraId="31383F0C" w14:textId="50BD7987" w:rsidR="00D75A79" w:rsidRPr="00AF5015" w:rsidRDefault="00D75A79">
      <w:pPr>
        <w:pStyle w:val="FootnoteText"/>
        <w:rPr>
          <w:rFonts w:ascii="Calibri" w:hAnsi="Calibri"/>
        </w:rPr>
      </w:pPr>
      <w:r w:rsidRPr="00AF5015">
        <w:rPr>
          <w:rStyle w:val="FootnoteReference"/>
          <w:rFonts w:ascii="Calibri" w:hAnsi="Calibri"/>
        </w:rPr>
        <w:footnoteRef/>
      </w:r>
      <w:r w:rsidRPr="00AF5015">
        <w:rPr>
          <w:rFonts w:ascii="Calibri" w:hAnsi="Calibri"/>
        </w:rPr>
        <w:t xml:space="preserve"> Ibid. </w:t>
      </w:r>
    </w:p>
  </w:footnote>
  <w:footnote w:id="234">
    <w:p w14:paraId="3729B9AA" w14:textId="3E44C0F2" w:rsidR="00D75A79" w:rsidRPr="00AF5015" w:rsidRDefault="00D75A79">
      <w:pPr>
        <w:pStyle w:val="FootnoteText"/>
        <w:rPr>
          <w:rFonts w:ascii="Calibri" w:hAnsi="Calibri"/>
        </w:rPr>
      </w:pPr>
      <w:r w:rsidRPr="00AF5015">
        <w:rPr>
          <w:rStyle w:val="FootnoteReference"/>
          <w:rFonts w:ascii="Calibri" w:hAnsi="Calibri"/>
        </w:rPr>
        <w:footnoteRef/>
      </w:r>
      <w:r w:rsidRPr="00AF5015">
        <w:rPr>
          <w:rFonts w:ascii="Calibri" w:hAnsi="Calibri"/>
        </w:rPr>
        <w:t xml:space="preserve"> CEDAW Committee, </w:t>
      </w:r>
      <w:r w:rsidRPr="00AF5015">
        <w:rPr>
          <w:rFonts w:ascii="Calibri" w:hAnsi="Calibri"/>
          <w:i/>
        </w:rPr>
        <w:t>Concluding Observations on the 5</w:t>
      </w:r>
      <w:r w:rsidRPr="00AF5015">
        <w:rPr>
          <w:rFonts w:ascii="Calibri" w:hAnsi="Calibri"/>
          <w:i/>
          <w:vertAlign w:val="superscript"/>
        </w:rPr>
        <w:t>th</w:t>
      </w:r>
      <w:r w:rsidRPr="00AF5015">
        <w:rPr>
          <w:rFonts w:ascii="Calibri" w:hAnsi="Calibri"/>
          <w:i/>
        </w:rPr>
        <w:t xml:space="preserve"> and 6</w:t>
      </w:r>
      <w:r w:rsidRPr="00AF5015">
        <w:rPr>
          <w:rFonts w:ascii="Calibri" w:hAnsi="Calibri"/>
          <w:i/>
          <w:vertAlign w:val="superscript"/>
        </w:rPr>
        <w:t>th</w:t>
      </w:r>
      <w:r w:rsidRPr="00AF5015">
        <w:rPr>
          <w:rFonts w:ascii="Calibri" w:hAnsi="Calibri"/>
          <w:i/>
        </w:rPr>
        <w:t xml:space="preserve"> periodic reports of Chile </w:t>
      </w:r>
      <w:r w:rsidRPr="00AF5015">
        <w:rPr>
          <w:rFonts w:ascii="Calibri" w:hAnsi="Calibri"/>
        </w:rPr>
        <w:t>(12 November 2012)</w:t>
      </w:r>
      <w:r>
        <w:rPr>
          <w:rFonts w:ascii="Calibri" w:hAnsi="Calibri"/>
        </w:rPr>
        <w:t xml:space="preserve"> CEDAW/C/CHL/CO/5-6, </w:t>
      </w:r>
      <w:r w:rsidRPr="00AF5015">
        <w:rPr>
          <w:rFonts w:ascii="Calibri" w:hAnsi="Calibri"/>
        </w:rPr>
        <w:t>(CEDAW Committee C</w:t>
      </w:r>
      <w:r>
        <w:rPr>
          <w:rFonts w:ascii="Calibri" w:hAnsi="Calibri"/>
        </w:rPr>
        <w:t>oncluding Observations: Chile) p. 6.</w:t>
      </w:r>
    </w:p>
  </w:footnote>
  <w:footnote w:id="235">
    <w:p w14:paraId="032F58B4" w14:textId="456EA049" w:rsidR="00D75A79" w:rsidRPr="00AF5015" w:rsidRDefault="00D75A79">
      <w:pPr>
        <w:pStyle w:val="FootnoteText"/>
        <w:rPr>
          <w:rFonts w:ascii="Calibri" w:hAnsi="Calibri"/>
        </w:rPr>
      </w:pPr>
      <w:r w:rsidRPr="00AF5015">
        <w:rPr>
          <w:rStyle w:val="FootnoteReference"/>
          <w:rFonts w:ascii="Calibri" w:hAnsi="Calibri"/>
        </w:rPr>
        <w:footnoteRef/>
      </w:r>
      <w:r w:rsidRPr="00AF5015">
        <w:rPr>
          <w:rFonts w:ascii="Calibri" w:hAnsi="Calibri"/>
        </w:rPr>
        <w:t xml:space="preserve"> Ibid. </w:t>
      </w:r>
    </w:p>
  </w:footnote>
  <w:footnote w:id="236">
    <w:p w14:paraId="234A922A" w14:textId="1EC99DE2" w:rsidR="00D75A79" w:rsidRPr="00AF5015" w:rsidRDefault="00D75A79">
      <w:pPr>
        <w:pStyle w:val="FootnoteText"/>
        <w:rPr>
          <w:rFonts w:ascii="Calibri" w:hAnsi="Calibri"/>
        </w:rPr>
      </w:pPr>
      <w:r w:rsidRPr="00AF5015">
        <w:rPr>
          <w:rStyle w:val="FootnoteReference"/>
          <w:rFonts w:ascii="Calibri" w:hAnsi="Calibri"/>
        </w:rPr>
        <w:footnoteRef/>
      </w:r>
      <w:r>
        <w:rPr>
          <w:rFonts w:ascii="Calibri" w:hAnsi="Calibri"/>
        </w:rPr>
        <w:t xml:space="preserve"> See UN Women, ‘</w:t>
      </w:r>
      <w:r w:rsidRPr="00AF5015">
        <w:rPr>
          <w:rFonts w:ascii="Calibri" w:hAnsi="Calibri"/>
        </w:rPr>
        <w:t>Violence against Women Prevalence Data: Surveys by Co</w:t>
      </w:r>
      <w:r>
        <w:rPr>
          <w:rFonts w:ascii="Calibri" w:hAnsi="Calibri"/>
        </w:rPr>
        <w:t>untry’</w:t>
      </w:r>
      <w:r w:rsidRPr="00AF5015">
        <w:rPr>
          <w:rFonts w:ascii="Calibri" w:hAnsi="Calibri"/>
        </w:rPr>
        <w:t xml:space="preserve"> (December 2012) available from: </w:t>
      </w:r>
      <w:hyperlink r:id="rId7" w:history="1">
        <w:r w:rsidRPr="00AF5015">
          <w:rPr>
            <w:rStyle w:val="Hyperlink"/>
            <w:rFonts w:ascii="Calibri" w:hAnsi="Calibri"/>
            <w:color w:val="000000" w:themeColor="text1"/>
            <w:u w:val="none"/>
          </w:rPr>
          <w:t>http://www.endvawnow.org/uploads/browser/files/vawprevalence_matrix_june2013.pdf</w:t>
        </w:r>
      </w:hyperlink>
      <w:r w:rsidRPr="00AF5015">
        <w:rPr>
          <w:rFonts w:ascii="Calibri" w:hAnsi="Calibri"/>
          <w:color w:val="000000" w:themeColor="text1"/>
        </w:rPr>
        <w:t>,</w:t>
      </w:r>
      <w:r w:rsidRPr="00AF5015">
        <w:rPr>
          <w:rFonts w:ascii="Calibri" w:hAnsi="Calibri"/>
        </w:rPr>
        <w:t xml:space="preserve"> p. 2.</w:t>
      </w:r>
    </w:p>
  </w:footnote>
  <w:footnote w:id="237">
    <w:p w14:paraId="2B0D9C02" w14:textId="635B6560" w:rsidR="00D75A79" w:rsidRPr="00AF5015" w:rsidRDefault="00D75A79">
      <w:pPr>
        <w:pStyle w:val="FootnoteText"/>
        <w:rPr>
          <w:rFonts w:ascii="Calibri" w:hAnsi="Calibri"/>
        </w:rPr>
      </w:pPr>
      <w:r w:rsidRPr="00AF5015">
        <w:rPr>
          <w:rStyle w:val="FootnoteReference"/>
          <w:rFonts w:ascii="Calibri" w:hAnsi="Calibri"/>
        </w:rPr>
        <w:footnoteRef/>
      </w:r>
      <w:r w:rsidRPr="00AF5015">
        <w:rPr>
          <w:rFonts w:ascii="Calibri" w:hAnsi="Calibri"/>
        </w:rPr>
        <w:t xml:space="preserve"> CEDAW Committee Concluding Observations: Chile, p. 4.</w:t>
      </w:r>
    </w:p>
  </w:footnote>
  <w:footnote w:id="238">
    <w:p w14:paraId="371B582D" w14:textId="5D3535C8" w:rsidR="00D75A79" w:rsidRPr="005F1E16" w:rsidRDefault="00D75A79">
      <w:pPr>
        <w:pStyle w:val="FootnoteText"/>
        <w:rPr>
          <w:rFonts w:ascii="Calibri" w:hAnsi="Calibri"/>
        </w:rPr>
      </w:pPr>
      <w:r w:rsidRPr="005F1E16">
        <w:rPr>
          <w:rStyle w:val="FootnoteReference"/>
          <w:rFonts w:ascii="Calibri" w:hAnsi="Calibri"/>
        </w:rPr>
        <w:footnoteRef/>
      </w:r>
      <w:r w:rsidRPr="005F1E16">
        <w:rPr>
          <w:rFonts w:ascii="Calibri" w:hAnsi="Calibri"/>
        </w:rPr>
        <w:t xml:space="preserve"> Ibid, p. 34. </w:t>
      </w:r>
    </w:p>
  </w:footnote>
  <w:footnote w:id="239">
    <w:p w14:paraId="02F6D886" w14:textId="08161BC8" w:rsidR="00D75A79" w:rsidRPr="005F1E16" w:rsidRDefault="00D75A79">
      <w:pPr>
        <w:pStyle w:val="FootnoteText"/>
        <w:rPr>
          <w:rFonts w:ascii="Calibri" w:hAnsi="Calibri"/>
        </w:rPr>
      </w:pPr>
      <w:r w:rsidRPr="005F1E16">
        <w:rPr>
          <w:rStyle w:val="FootnoteReference"/>
          <w:rFonts w:ascii="Calibri" w:hAnsi="Calibri"/>
        </w:rPr>
        <w:footnoteRef/>
      </w:r>
      <w:r w:rsidRPr="005F1E16">
        <w:rPr>
          <w:rFonts w:ascii="Calibri" w:hAnsi="Calibri"/>
        </w:rPr>
        <w:t xml:space="preserve"> Ibid, p. 8.</w:t>
      </w:r>
    </w:p>
  </w:footnote>
  <w:footnote w:id="240">
    <w:p w14:paraId="517B17A2" w14:textId="1B758C14" w:rsidR="00D75A79" w:rsidRPr="005F1E16" w:rsidRDefault="00D75A79">
      <w:pPr>
        <w:pStyle w:val="FootnoteText"/>
        <w:rPr>
          <w:rFonts w:ascii="Calibri" w:hAnsi="Calibri"/>
        </w:rPr>
      </w:pPr>
      <w:r w:rsidRPr="005F1E16">
        <w:rPr>
          <w:rStyle w:val="FootnoteReference"/>
          <w:rFonts w:ascii="Calibri" w:hAnsi="Calibri"/>
        </w:rPr>
        <w:footnoteRef/>
      </w:r>
      <w:r w:rsidRPr="005F1E16">
        <w:rPr>
          <w:rFonts w:ascii="Calibri" w:hAnsi="Calibri"/>
        </w:rPr>
        <w:t xml:space="preserve"> See ‘President Bachelet on women in the Armed Forces: ‘They are the ones who broaden the horizons of what is possible in peace missions’’ (9 March 2015) available from: http://www.gob.cl/2015/03/09/president-bachelet-on-women-in-the-armed-forces-they-are-the-ones-who-broaden-the-horizons-of-what-is-possible-in-peace-missions/.</w:t>
      </w:r>
    </w:p>
  </w:footnote>
  <w:footnote w:id="241">
    <w:p w14:paraId="245D31BE" w14:textId="4B08DD75" w:rsidR="00D75A79" w:rsidRPr="00DF6336" w:rsidRDefault="00D75A79" w:rsidP="001031A6">
      <w:pPr>
        <w:pStyle w:val="FootnoteText"/>
        <w:jc w:val="left"/>
        <w:rPr>
          <w:rFonts w:ascii="Calibri" w:hAnsi="Calibri"/>
        </w:rPr>
      </w:pPr>
      <w:r w:rsidRPr="005F1E16">
        <w:rPr>
          <w:rStyle w:val="FootnoteReference"/>
          <w:rFonts w:ascii="Calibri" w:hAnsi="Calibri"/>
        </w:rPr>
        <w:footnoteRef/>
      </w:r>
      <w:r w:rsidRPr="005F1E16">
        <w:rPr>
          <w:rFonts w:ascii="Calibri" w:hAnsi="Calibri"/>
        </w:rPr>
        <w:t xml:space="preserve"> World Economic Forum, </w:t>
      </w:r>
      <w:r w:rsidRPr="005F1E16">
        <w:rPr>
          <w:rFonts w:ascii="Calibri" w:hAnsi="Calibri"/>
          <w:i/>
        </w:rPr>
        <w:t xml:space="preserve">Global Gender Gap Report 2014: Chile </w:t>
      </w:r>
      <w:r w:rsidRPr="005F1E16">
        <w:rPr>
          <w:rFonts w:ascii="Calibri" w:hAnsi="Calibri"/>
        </w:rPr>
        <w:t>(2014) available from: http://reports.weforum.org/global-gender-gap-report-2014/economies/#economy=CHL</w:t>
      </w:r>
    </w:p>
  </w:footnote>
  <w:footnote w:id="242">
    <w:p w14:paraId="1F94DF3B" w14:textId="5A6FEE3F"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sidRPr="00836E89">
        <w:rPr>
          <w:rFonts w:ascii="Calibri" w:hAnsi="Calibri"/>
        </w:rPr>
        <w:t xml:space="preserve"> Iraqi Women in Armed Conflict an</w:t>
      </w:r>
      <w:r>
        <w:rPr>
          <w:rFonts w:ascii="Calibri" w:hAnsi="Calibri"/>
        </w:rPr>
        <w:t xml:space="preserve">d Post Conflict Situations, </w:t>
      </w:r>
      <w:r w:rsidRPr="008F4AC7">
        <w:rPr>
          <w:rFonts w:ascii="Calibri" w:hAnsi="Calibri"/>
          <w:i/>
        </w:rPr>
        <w:t>Shadow Report Submitted to the CEDAW Committee at the 57</w:t>
      </w:r>
      <w:r w:rsidRPr="008F4AC7">
        <w:rPr>
          <w:rFonts w:ascii="Calibri" w:hAnsi="Calibri"/>
          <w:i/>
          <w:vertAlign w:val="superscript"/>
        </w:rPr>
        <w:t>th</w:t>
      </w:r>
      <w:r w:rsidRPr="008F4AC7">
        <w:rPr>
          <w:rFonts w:ascii="Calibri" w:hAnsi="Calibri"/>
          <w:i/>
        </w:rPr>
        <w:t xml:space="preserve"> Session</w:t>
      </w:r>
      <w:r>
        <w:rPr>
          <w:rFonts w:ascii="Calibri" w:hAnsi="Calibri"/>
        </w:rPr>
        <w:t xml:space="preserve"> (February 2014)</w:t>
      </w:r>
      <w:r w:rsidRPr="005F1E16">
        <w:rPr>
          <w:rFonts w:ascii="Calibri" w:hAnsi="Calibri"/>
        </w:rPr>
        <w:t xml:space="preserve"> </w:t>
      </w:r>
      <w:r>
        <w:rPr>
          <w:rFonts w:ascii="Calibri" w:hAnsi="Calibri"/>
        </w:rPr>
        <w:t>(</w:t>
      </w:r>
      <w:r w:rsidRPr="00836E89">
        <w:rPr>
          <w:rFonts w:ascii="Calibri" w:hAnsi="Calibri"/>
        </w:rPr>
        <w:t>Sha</w:t>
      </w:r>
      <w:r>
        <w:rPr>
          <w:rFonts w:ascii="Calibri" w:hAnsi="Calibri"/>
        </w:rPr>
        <w:t>dow Report) p. 22.</w:t>
      </w:r>
    </w:p>
  </w:footnote>
  <w:footnote w:id="243">
    <w:p w14:paraId="2D448D03" w14:textId="13030237"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Pr>
          <w:rFonts w:ascii="Calibri" w:hAnsi="Calibri"/>
        </w:rPr>
        <w:t xml:space="preserve"> I</w:t>
      </w:r>
      <w:r w:rsidRPr="00836E89">
        <w:rPr>
          <w:rFonts w:ascii="Calibri" w:hAnsi="Calibri"/>
        </w:rPr>
        <w:t>bid</w:t>
      </w:r>
    </w:p>
  </w:footnote>
  <w:footnote w:id="244">
    <w:p w14:paraId="39E276DE" w14:textId="2FE9699A"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Pr>
          <w:rFonts w:ascii="Calibri" w:hAnsi="Calibri"/>
        </w:rPr>
        <w:t xml:space="preserve"> I</w:t>
      </w:r>
      <w:r w:rsidRPr="00836E89">
        <w:rPr>
          <w:rFonts w:ascii="Calibri" w:hAnsi="Calibri"/>
        </w:rPr>
        <w:t xml:space="preserve">bid, </w:t>
      </w:r>
      <w:r>
        <w:rPr>
          <w:rFonts w:ascii="Calibri" w:hAnsi="Calibri"/>
        </w:rPr>
        <w:t xml:space="preserve">p. </w:t>
      </w:r>
      <w:r w:rsidRPr="00836E89">
        <w:rPr>
          <w:rFonts w:ascii="Calibri" w:hAnsi="Calibri"/>
        </w:rPr>
        <w:t>8</w:t>
      </w:r>
      <w:r>
        <w:rPr>
          <w:rFonts w:ascii="Calibri" w:hAnsi="Calibri"/>
        </w:rPr>
        <w:t>.</w:t>
      </w:r>
    </w:p>
  </w:footnote>
  <w:footnote w:id="245">
    <w:p w14:paraId="3FF70721" w14:textId="12121302"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Pr>
          <w:rFonts w:ascii="Calibri" w:hAnsi="Calibri"/>
        </w:rPr>
        <w:t xml:space="preserve"> I</w:t>
      </w:r>
      <w:r w:rsidRPr="00836E89">
        <w:rPr>
          <w:rFonts w:ascii="Calibri" w:hAnsi="Calibri"/>
        </w:rPr>
        <w:t xml:space="preserve">bid, </w:t>
      </w:r>
      <w:r>
        <w:rPr>
          <w:rFonts w:ascii="Calibri" w:hAnsi="Calibri"/>
        </w:rPr>
        <w:t xml:space="preserve">pp. </w:t>
      </w:r>
      <w:r w:rsidRPr="00836E89">
        <w:rPr>
          <w:rFonts w:ascii="Calibri" w:hAnsi="Calibri"/>
        </w:rPr>
        <w:t>7-9</w:t>
      </w:r>
      <w:r>
        <w:rPr>
          <w:rFonts w:ascii="Calibri" w:hAnsi="Calibri"/>
        </w:rPr>
        <w:t>.</w:t>
      </w:r>
    </w:p>
  </w:footnote>
  <w:footnote w:id="246">
    <w:p w14:paraId="02D946B9" w14:textId="3CDED2AD"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sidRPr="00836E89">
        <w:rPr>
          <w:rFonts w:ascii="Calibri" w:hAnsi="Calibri"/>
        </w:rPr>
        <w:t xml:space="preserve"> O</w:t>
      </w:r>
      <w:r>
        <w:rPr>
          <w:rFonts w:ascii="Calibri" w:hAnsi="Calibri"/>
        </w:rPr>
        <w:t>ffice of the High Commissioner for Human Rights,</w:t>
      </w:r>
      <w:r w:rsidRPr="00836E89">
        <w:rPr>
          <w:rFonts w:ascii="Calibri" w:hAnsi="Calibri"/>
        </w:rPr>
        <w:t xml:space="preserve"> </w:t>
      </w:r>
      <w:r w:rsidRPr="00213F5E">
        <w:rPr>
          <w:rFonts w:ascii="Calibri" w:hAnsi="Calibri"/>
          <w:i/>
        </w:rPr>
        <w:t>Report on the human rights situation in Iraq in the light of abuses committed by the so-called Islamic State in Iraq and Levant and associated groups</w:t>
      </w:r>
      <w:r>
        <w:rPr>
          <w:rFonts w:ascii="Calibri" w:hAnsi="Calibri"/>
          <w:i/>
        </w:rPr>
        <w:t xml:space="preserve"> </w:t>
      </w:r>
      <w:r>
        <w:rPr>
          <w:rFonts w:ascii="Calibri" w:hAnsi="Calibri"/>
        </w:rPr>
        <w:t>(13 March 2015)</w:t>
      </w:r>
      <w:r w:rsidRPr="00836E89">
        <w:rPr>
          <w:rFonts w:ascii="Calibri" w:hAnsi="Calibri"/>
        </w:rPr>
        <w:t xml:space="preserve"> UN Doc A/HRC/28/18</w:t>
      </w:r>
      <w:r>
        <w:rPr>
          <w:rFonts w:ascii="Calibri" w:hAnsi="Calibri"/>
        </w:rPr>
        <w:t>.</w:t>
      </w:r>
    </w:p>
  </w:footnote>
  <w:footnote w:id="247">
    <w:p w14:paraId="647AD07E" w14:textId="2C2EFF74" w:rsidR="00D75A79" w:rsidRPr="00213F5E" w:rsidRDefault="00D75A79" w:rsidP="005C68CA">
      <w:pPr>
        <w:pStyle w:val="FootnoteText"/>
        <w:jc w:val="left"/>
        <w:rPr>
          <w:rFonts w:ascii="Calibri" w:hAnsi="Calibri"/>
          <w:color w:val="000000" w:themeColor="text1"/>
        </w:rPr>
      </w:pPr>
      <w:r w:rsidRPr="00836E89">
        <w:rPr>
          <w:rStyle w:val="FootnoteReference"/>
          <w:rFonts w:ascii="Calibri" w:hAnsi="Calibri"/>
        </w:rPr>
        <w:footnoteRef/>
      </w:r>
      <w:r w:rsidRPr="00836E89">
        <w:rPr>
          <w:rFonts w:ascii="Calibri" w:hAnsi="Calibri"/>
        </w:rPr>
        <w:t xml:space="preserve"> Human Rights Watch ‘No One is Safe: Abuse of Women in Iraq’s Criminal Justice System’ (6 February </w:t>
      </w:r>
      <w:r>
        <w:rPr>
          <w:rFonts w:ascii="Calibri" w:hAnsi="Calibri"/>
        </w:rPr>
        <w:t>2014</w:t>
      </w:r>
      <w:r w:rsidRPr="00836E89">
        <w:rPr>
          <w:rFonts w:ascii="Calibri" w:hAnsi="Calibri"/>
        </w:rPr>
        <w:t>)</w:t>
      </w:r>
      <w:r>
        <w:rPr>
          <w:rFonts w:ascii="Calibri" w:hAnsi="Calibri"/>
        </w:rPr>
        <w:t xml:space="preserve"> available from:</w:t>
      </w:r>
      <w:r w:rsidRPr="00836E89">
        <w:rPr>
          <w:rFonts w:ascii="Calibri" w:hAnsi="Calibri"/>
        </w:rPr>
        <w:t xml:space="preserve"> </w:t>
      </w:r>
      <w:hyperlink r:id="rId8" w:history="1">
        <w:r w:rsidRPr="00213F5E">
          <w:rPr>
            <w:rStyle w:val="Hyperlink"/>
            <w:rFonts w:ascii="Calibri" w:hAnsi="Calibri"/>
            <w:color w:val="000000" w:themeColor="text1"/>
            <w:u w:val="none"/>
          </w:rPr>
          <w:t>http://www.hrw.org/sites/default/files/reports/iraq0214webwcover.pdf</w:t>
        </w:r>
      </w:hyperlink>
      <w:r w:rsidRPr="00213F5E">
        <w:rPr>
          <w:rFonts w:ascii="Calibri" w:hAnsi="Calibri"/>
          <w:color w:val="000000" w:themeColor="text1"/>
        </w:rPr>
        <w:t xml:space="preserve">. </w:t>
      </w:r>
    </w:p>
  </w:footnote>
  <w:footnote w:id="248">
    <w:p w14:paraId="569D4ED6" w14:textId="220AD996" w:rsidR="00D75A79" w:rsidRPr="00836E89" w:rsidRDefault="00D75A79" w:rsidP="005C68CA">
      <w:pPr>
        <w:pStyle w:val="FootnoteText"/>
        <w:jc w:val="left"/>
        <w:rPr>
          <w:rFonts w:ascii="Calibri" w:hAnsi="Calibri"/>
        </w:rPr>
      </w:pPr>
      <w:r w:rsidRPr="00213F5E">
        <w:rPr>
          <w:rStyle w:val="FootnoteReference"/>
          <w:rFonts w:ascii="Calibri" w:hAnsi="Calibri"/>
          <w:color w:val="000000" w:themeColor="text1"/>
        </w:rPr>
        <w:footnoteRef/>
      </w:r>
      <w:r w:rsidRPr="00213F5E">
        <w:rPr>
          <w:rFonts w:ascii="Calibri" w:hAnsi="Calibri"/>
          <w:color w:val="000000" w:themeColor="text1"/>
        </w:rPr>
        <w:t xml:space="preserve"> Shadow Report, </w:t>
      </w:r>
      <w:r>
        <w:rPr>
          <w:rFonts w:ascii="Calibri" w:hAnsi="Calibri"/>
          <w:color w:val="000000" w:themeColor="text1"/>
        </w:rPr>
        <w:t xml:space="preserve">pp. </w:t>
      </w:r>
      <w:r w:rsidRPr="00213F5E">
        <w:rPr>
          <w:rFonts w:ascii="Calibri" w:hAnsi="Calibri"/>
          <w:color w:val="000000" w:themeColor="text1"/>
        </w:rPr>
        <w:t>7-8.</w:t>
      </w:r>
    </w:p>
  </w:footnote>
  <w:footnote w:id="249">
    <w:p w14:paraId="41AB1D5A" w14:textId="1C9276F3" w:rsidR="00D75A79" w:rsidRPr="002C24D1" w:rsidRDefault="00D75A79" w:rsidP="00D768DD">
      <w:pPr>
        <w:pStyle w:val="FootnoteText"/>
        <w:jc w:val="left"/>
        <w:rPr>
          <w:rFonts w:ascii="Calibri" w:hAnsi="Calibri"/>
        </w:rPr>
      </w:pPr>
      <w:r w:rsidRPr="002C24D1">
        <w:rPr>
          <w:rStyle w:val="FootnoteReference"/>
          <w:rFonts w:ascii="Calibri" w:hAnsi="Calibri"/>
        </w:rPr>
        <w:footnoteRef/>
      </w:r>
      <w:r w:rsidRPr="002C24D1">
        <w:rPr>
          <w:rFonts w:ascii="Calibri" w:hAnsi="Calibri"/>
        </w:rPr>
        <w:t xml:space="preserve"> Government of Iraq, </w:t>
      </w:r>
      <w:r w:rsidRPr="002C24D1">
        <w:rPr>
          <w:rFonts w:ascii="Calibri" w:hAnsi="Calibri"/>
          <w:i/>
        </w:rPr>
        <w:t xml:space="preserve">National Action Plan for Implementation of the United Nations Security Council Resolution 1325: Women, Peace and Security </w:t>
      </w:r>
      <w:r>
        <w:rPr>
          <w:rFonts w:ascii="Calibri" w:hAnsi="Calibri"/>
        </w:rPr>
        <w:t xml:space="preserve">(2014) </w:t>
      </w:r>
      <w:r w:rsidRPr="002C24D1">
        <w:rPr>
          <w:rFonts w:ascii="Calibri" w:hAnsi="Calibri"/>
        </w:rPr>
        <w:t xml:space="preserve"> available from: http://www.peacewomen.org/assets/image/iraq_nap.pdf, p. 10. </w:t>
      </w:r>
    </w:p>
  </w:footnote>
  <w:footnote w:id="250">
    <w:p w14:paraId="72298A94" w14:textId="3A6F2F13" w:rsidR="00D75A79" w:rsidRDefault="00D75A79">
      <w:pPr>
        <w:pStyle w:val="FootnoteText"/>
      </w:pPr>
      <w:r w:rsidRPr="002C24D1">
        <w:rPr>
          <w:rStyle w:val="FootnoteReference"/>
          <w:rFonts w:ascii="Calibri" w:hAnsi="Calibri"/>
        </w:rPr>
        <w:footnoteRef/>
      </w:r>
      <w:r>
        <w:t xml:space="preserve"> </w:t>
      </w:r>
      <w:r>
        <w:rPr>
          <w:rFonts w:ascii="Calibri" w:hAnsi="Calibri"/>
        </w:rPr>
        <w:t xml:space="preserve">UN in Iraq, ‘SC Resolution 1325 Open Day: SRSG Mladenov calls for implementation of the National Action Plan’, available from: </w:t>
      </w:r>
      <w:r w:rsidRPr="002C24D1">
        <w:rPr>
          <w:rFonts w:ascii="Calibri" w:hAnsi="Calibri"/>
        </w:rPr>
        <w:t>http://www.uniraq.org/index.php?option=com_k2&amp;view=item&amp;id=2739:sc-resolution-1325-open-day-srsg-mladenov-calls-for-implementation-of-the-national-action-plan&amp;Itemid=605&amp;lang=en</w:t>
      </w:r>
      <w:r>
        <w:rPr>
          <w:rFonts w:ascii="Calibri" w:hAnsi="Calibri"/>
        </w:rPr>
        <w:t>.</w:t>
      </w:r>
    </w:p>
  </w:footnote>
  <w:footnote w:id="251">
    <w:p w14:paraId="6BE64926" w14:textId="58B98B66"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Pr>
          <w:rFonts w:ascii="Calibri" w:hAnsi="Calibri"/>
        </w:rPr>
        <w:t xml:space="preserve"> Euromed Feminist Initiative, ‘One Year of NAP 1325 in Iraq’, available from:</w:t>
      </w:r>
      <w:r w:rsidRPr="00836E89">
        <w:rPr>
          <w:rFonts w:ascii="Calibri" w:hAnsi="Calibri"/>
        </w:rPr>
        <w:t xml:space="preserve"> </w:t>
      </w:r>
      <w:hyperlink r:id="rId9" w:history="1">
        <w:r w:rsidRPr="00213F5E">
          <w:rPr>
            <w:rStyle w:val="Hyperlink"/>
            <w:rFonts w:ascii="Calibri" w:hAnsi="Calibri"/>
            <w:color w:val="000000" w:themeColor="text1"/>
            <w:u w:val="none"/>
          </w:rPr>
          <w:t>http://www.efi-ife.org/news/one-year-nap-1325-iraq</w:t>
        </w:r>
      </w:hyperlink>
      <w:r w:rsidRPr="00213F5E">
        <w:rPr>
          <w:rFonts w:ascii="Calibri" w:hAnsi="Calibri"/>
          <w:color w:val="000000" w:themeColor="text1"/>
        </w:rPr>
        <w:t>.</w:t>
      </w:r>
      <w:r>
        <w:rPr>
          <w:rFonts w:ascii="Calibri" w:hAnsi="Calibri"/>
        </w:rPr>
        <w:t xml:space="preserve"> </w:t>
      </w:r>
    </w:p>
  </w:footnote>
  <w:footnote w:id="252">
    <w:p w14:paraId="7C9115BC" w14:textId="21FE1A35" w:rsidR="00D75A79" w:rsidRPr="00836E89" w:rsidRDefault="00D75A79" w:rsidP="005C68CA">
      <w:pPr>
        <w:pStyle w:val="FootnoteText"/>
        <w:jc w:val="left"/>
        <w:rPr>
          <w:rFonts w:ascii="Calibri" w:hAnsi="Calibri"/>
          <w:i/>
        </w:rPr>
      </w:pPr>
      <w:r w:rsidRPr="00836E89">
        <w:rPr>
          <w:rStyle w:val="FootnoteReference"/>
          <w:rFonts w:ascii="Calibri" w:hAnsi="Calibri"/>
        </w:rPr>
        <w:footnoteRef/>
      </w:r>
      <w:r>
        <w:rPr>
          <w:rFonts w:ascii="Calibri" w:hAnsi="Calibri"/>
        </w:rPr>
        <w:t xml:space="preserve"> I</w:t>
      </w:r>
      <w:r w:rsidRPr="00836E89">
        <w:rPr>
          <w:rFonts w:ascii="Calibri" w:hAnsi="Calibri"/>
        </w:rPr>
        <w:t>bid</w:t>
      </w:r>
      <w:r>
        <w:rPr>
          <w:rFonts w:ascii="Calibri" w:hAnsi="Calibri"/>
        </w:rPr>
        <w:t>.</w:t>
      </w:r>
    </w:p>
  </w:footnote>
  <w:footnote w:id="253">
    <w:p w14:paraId="1DCCA825" w14:textId="61703F2F" w:rsidR="00D75A79" w:rsidRPr="00836E89" w:rsidRDefault="00D75A79" w:rsidP="00A33528">
      <w:pPr>
        <w:pStyle w:val="FootnoteText"/>
        <w:jc w:val="left"/>
        <w:rPr>
          <w:rFonts w:ascii="Calibri" w:hAnsi="Calibri"/>
          <w:b/>
        </w:rPr>
      </w:pPr>
      <w:r w:rsidRPr="00836E89">
        <w:rPr>
          <w:rStyle w:val="FootnoteReference"/>
          <w:rFonts w:ascii="Calibri" w:hAnsi="Calibri"/>
        </w:rPr>
        <w:footnoteRef/>
      </w:r>
      <w:r w:rsidRPr="00836E89">
        <w:rPr>
          <w:rFonts w:ascii="Calibri" w:hAnsi="Calibri"/>
        </w:rPr>
        <w:t xml:space="preserve"> Committee on the Elimination o</w:t>
      </w:r>
      <w:r>
        <w:rPr>
          <w:rFonts w:ascii="Calibri" w:hAnsi="Calibri"/>
        </w:rPr>
        <w:t xml:space="preserve">f Discrimination Against Women (CEDAW Committee) </w:t>
      </w:r>
      <w:r w:rsidRPr="00213F5E">
        <w:rPr>
          <w:rFonts w:ascii="Calibri" w:hAnsi="Calibri"/>
          <w:i/>
        </w:rPr>
        <w:t>C</w:t>
      </w:r>
      <w:r w:rsidRPr="00213F5E">
        <w:rPr>
          <w:rFonts w:ascii="Calibri" w:hAnsi="Calibri" w:cs="Arial"/>
          <w:i/>
        </w:rPr>
        <w:t>oncluding observations on the combined fourth to sixth periodic reports of Iraq</w:t>
      </w:r>
      <w:r>
        <w:rPr>
          <w:rFonts w:ascii="Calibri" w:hAnsi="Calibri" w:cs="Arial"/>
        </w:rPr>
        <w:t>,</w:t>
      </w:r>
      <w:r w:rsidRPr="00836E89">
        <w:rPr>
          <w:rFonts w:ascii="Calibri" w:hAnsi="Calibri" w:cs="Arial"/>
        </w:rPr>
        <w:t xml:space="preserve"> (10 March 2014) CEDAW/C/IRQ/CO/</w:t>
      </w:r>
      <w:r>
        <w:rPr>
          <w:rFonts w:ascii="Calibri" w:hAnsi="Calibri" w:cs="Arial"/>
        </w:rPr>
        <w:t xml:space="preserve"> pp. </w:t>
      </w:r>
      <w:r w:rsidRPr="00836E89">
        <w:rPr>
          <w:rFonts w:ascii="Calibri" w:hAnsi="Calibri" w:cs="Arial"/>
        </w:rPr>
        <w:t>4-6</w:t>
      </w:r>
      <w:r>
        <w:rPr>
          <w:rFonts w:ascii="Calibri" w:hAnsi="Calibri" w:cs="Arial"/>
        </w:rPr>
        <w:t>.</w:t>
      </w:r>
    </w:p>
  </w:footnote>
  <w:footnote w:id="254">
    <w:p w14:paraId="64FBD2E4" w14:textId="10427ADE" w:rsidR="00D75A79" w:rsidRPr="00836E89" w:rsidRDefault="00D75A79" w:rsidP="005C68CA">
      <w:pPr>
        <w:pStyle w:val="FootnoteText"/>
        <w:jc w:val="left"/>
        <w:rPr>
          <w:rFonts w:ascii="Calibri" w:hAnsi="Calibri"/>
        </w:rPr>
      </w:pPr>
      <w:r w:rsidRPr="00836E89">
        <w:rPr>
          <w:rStyle w:val="FootnoteReference"/>
          <w:rFonts w:ascii="Calibri" w:hAnsi="Calibri"/>
        </w:rPr>
        <w:footnoteRef/>
      </w:r>
      <w:r w:rsidRPr="00836E89">
        <w:rPr>
          <w:rFonts w:ascii="Calibri" w:hAnsi="Calibri"/>
        </w:rPr>
        <w:t xml:space="preserve"> Shadow Report, </w:t>
      </w:r>
      <w:r>
        <w:rPr>
          <w:rFonts w:ascii="Calibri" w:hAnsi="Calibri"/>
        </w:rPr>
        <w:t>p. 10.</w:t>
      </w:r>
    </w:p>
  </w:footnote>
  <w:footnote w:id="255">
    <w:p w14:paraId="5C910E5F" w14:textId="269BE942" w:rsidR="00D75A79" w:rsidRPr="007958B6" w:rsidRDefault="00D75A79" w:rsidP="005C68CA">
      <w:pPr>
        <w:pStyle w:val="FootnoteText"/>
        <w:jc w:val="left"/>
      </w:pPr>
      <w:r w:rsidRPr="00836E89">
        <w:rPr>
          <w:rStyle w:val="FootnoteReference"/>
          <w:rFonts w:ascii="Calibri" w:hAnsi="Calibri"/>
        </w:rPr>
        <w:footnoteRef/>
      </w:r>
      <w:r w:rsidRPr="00836E89">
        <w:rPr>
          <w:rFonts w:ascii="Calibri" w:hAnsi="Calibri"/>
        </w:rPr>
        <w:t xml:space="preserve"> Organizat</w:t>
      </w:r>
      <w:r>
        <w:rPr>
          <w:rFonts w:ascii="Calibri" w:hAnsi="Calibri"/>
        </w:rPr>
        <w:t>ion of Women’s Freedom in Iraq ‘Militants Sweep Towards Ba</w:t>
      </w:r>
      <w:r w:rsidRPr="00836E89">
        <w:rPr>
          <w:rFonts w:ascii="Calibri" w:hAnsi="Calibri"/>
        </w:rPr>
        <w:t>ghdad: Women’s Rights Groups Mobilize</w:t>
      </w:r>
      <w:r>
        <w:rPr>
          <w:rFonts w:ascii="Calibri" w:hAnsi="Calibri"/>
        </w:rPr>
        <w:t>’</w:t>
      </w:r>
      <w:r w:rsidRPr="00836E89">
        <w:rPr>
          <w:rFonts w:ascii="Calibri" w:hAnsi="Calibri"/>
        </w:rPr>
        <w:t xml:space="preserve"> (12 June 2015)</w:t>
      </w:r>
      <w:r>
        <w:rPr>
          <w:rFonts w:ascii="Calibri" w:hAnsi="Calibri"/>
        </w:rPr>
        <w:t xml:space="preserve"> available from: </w:t>
      </w:r>
      <w:r w:rsidRPr="00213F5E">
        <w:rPr>
          <w:rFonts w:ascii="Calibri" w:hAnsi="Calibri"/>
        </w:rPr>
        <w:t>www.owfi.info/EN/article/militants-sweep-towards-baghdad-womens-rights-groups-mobilize/</w:t>
      </w:r>
      <w:r>
        <w:t>.</w:t>
      </w:r>
    </w:p>
  </w:footnote>
  <w:footnote w:id="256">
    <w:p w14:paraId="7DE01921" w14:textId="042A7349" w:rsidR="00D75A79" w:rsidRPr="00BD3456" w:rsidRDefault="00D75A79">
      <w:pPr>
        <w:pStyle w:val="FootnoteText"/>
        <w:rPr>
          <w:rFonts w:ascii="Calibri" w:hAnsi="Calibri"/>
        </w:rPr>
      </w:pPr>
      <w:r w:rsidRPr="00BD3456">
        <w:rPr>
          <w:rStyle w:val="FootnoteReference"/>
          <w:rFonts w:ascii="Calibri" w:hAnsi="Calibri"/>
        </w:rPr>
        <w:footnoteRef/>
      </w:r>
      <w:r w:rsidRPr="00BD3456">
        <w:rPr>
          <w:rFonts w:ascii="Calibri" w:hAnsi="Calibri"/>
        </w:rPr>
        <w:t xml:space="preserve"> UN Security Council Resolution 1325 (30 O</w:t>
      </w:r>
      <w:r>
        <w:rPr>
          <w:rFonts w:ascii="Calibri" w:hAnsi="Calibri"/>
        </w:rPr>
        <w:t xml:space="preserve">ctober 2000) UN Doc S/RES/1325 (SCR 1325). </w:t>
      </w:r>
    </w:p>
  </w:footnote>
  <w:footnote w:id="257">
    <w:p w14:paraId="73DD7BE5" w14:textId="7B119C9D" w:rsidR="00D75A79" w:rsidRPr="00BD3456" w:rsidRDefault="00D75A79">
      <w:pPr>
        <w:pStyle w:val="FootnoteText"/>
        <w:rPr>
          <w:rFonts w:ascii="Calibri" w:hAnsi="Calibri"/>
        </w:rPr>
      </w:pPr>
      <w:r w:rsidRPr="00BD3456">
        <w:rPr>
          <w:rStyle w:val="FootnoteReference"/>
          <w:rFonts w:ascii="Calibri" w:hAnsi="Calibri"/>
        </w:rPr>
        <w:footnoteRef/>
      </w:r>
      <w:r w:rsidRPr="00BD3456">
        <w:rPr>
          <w:rFonts w:ascii="Calibri" w:hAnsi="Calibri"/>
        </w:rPr>
        <w:t xml:space="preserve"> </w:t>
      </w:r>
      <w:r w:rsidRPr="00BD3456">
        <w:rPr>
          <w:rFonts w:ascii="Calibri" w:hAnsi="Calibri" w:cs="Times New Roman"/>
        </w:rPr>
        <w:t>Convention on the Elimination of All Forms of Discrimination against Women (adopted on 18 December 1979, entered into force 3 September 1981) 1249 UNTS 13 (CEDAW); Committee on the Elimination of Discrimination against Women (CEDAW Committee) General Recommendation No. 30 on women in conflict prevention, conflict and post-conflict situations (adopted on 18 October 2013) CEDAW/C/GC/30 (CEDAW GR No. 30).</w:t>
      </w:r>
    </w:p>
  </w:footnote>
  <w:footnote w:id="258">
    <w:p w14:paraId="2C33151B" w14:textId="637826CB" w:rsidR="00D75A79" w:rsidRPr="0044651F" w:rsidRDefault="00D75A79" w:rsidP="0044651F">
      <w:pPr>
        <w:jc w:val="both"/>
        <w:rPr>
          <w:rFonts w:ascii="Calibri" w:hAnsi="Calibri" w:cs="Times New Roman"/>
          <w:sz w:val="20"/>
          <w:szCs w:val="20"/>
        </w:rPr>
      </w:pPr>
      <w:r w:rsidRPr="0044651F">
        <w:rPr>
          <w:rStyle w:val="FootnoteReference"/>
          <w:rFonts w:ascii="Calibri" w:hAnsi="Calibri"/>
          <w:sz w:val="20"/>
          <w:szCs w:val="20"/>
        </w:rPr>
        <w:footnoteRef/>
      </w:r>
      <w:r w:rsidRPr="0044651F">
        <w:rPr>
          <w:rFonts w:ascii="Calibri" w:hAnsi="Calibri"/>
          <w:sz w:val="20"/>
          <w:szCs w:val="20"/>
        </w:rPr>
        <w:t xml:space="preserve"> The following are not discussed but are acknowledged as relevant </w:t>
      </w:r>
      <w:r>
        <w:rPr>
          <w:rFonts w:ascii="Calibri" w:hAnsi="Calibri"/>
          <w:sz w:val="20"/>
          <w:szCs w:val="20"/>
        </w:rPr>
        <w:t xml:space="preserve">UN </w:t>
      </w:r>
      <w:r w:rsidRPr="0044651F">
        <w:rPr>
          <w:rFonts w:ascii="Calibri" w:hAnsi="Calibri"/>
          <w:sz w:val="20"/>
          <w:szCs w:val="20"/>
        </w:rPr>
        <w:t xml:space="preserve">monitoring and accountability processes that could assist with tracking states’ implementation of SCR 1325 and the legal framework on women, peace and security: </w:t>
      </w:r>
      <w:r>
        <w:rPr>
          <w:rFonts w:ascii="Calibri" w:hAnsi="Calibri"/>
          <w:sz w:val="20"/>
          <w:szCs w:val="20"/>
        </w:rPr>
        <w:t xml:space="preserve">reporting by the Security Council; </w:t>
      </w:r>
      <w:r w:rsidRPr="0044651F">
        <w:rPr>
          <w:rFonts w:ascii="Calibri" w:hAnsi="Calibri" w:cs="Times New Roman"/>
          <w:sz w:val="20"/>
          <w:szCs w:val="20"/>
        </w:rPr>
        <w:t xml:space="preserve">the </w:t>
      </w:r>
      <w:r>
        <w:rPr>
          <w:rFonts w:ascii="Calibri" w:hAnsi="Calibri" w:cs="Times New Roman"/>
          <w:sz w:val="20"/>
          <w:szCs w:val="20"/>
        </w:rPr>
        <w:t xml:space="preserve">reporting requirements and communications procedures of </w:t>
      </w:r>
      <w:r w:rsidRPr="0044651F">
        <w:rPr>
          <w:rFonts w:ascii="Calibri" w:hAnsi="Calibri" w:cs="Times New Roman"/>
          <w:sz w:val="20"/>
          <w:szCs w:val="20"/>
        </w:rPr>
        <w:t xml:space="preserve">committees of </w:t>
      </w:r>
      <w:r>
        <w:rPr>
          <w:rFonts w:ascii="Calibri" w:hAnsi="Calibri" w:cs="Times New Roman"/>
          <w:sz w:val="20"/>
          <w:szCs w:val="20"/>
        </w:rPr>
        <w:t xml:space="preserve">other UN human rights treaties; </w:t>
      </w:r>
      <w:r w:rsidRPr="007B54BE">
        <w:rPr>
          <w:rFonts w:ascii="Calibri" w:hAnsi="Calibri"/>
          <w:sz w:val="20"/>
          <w:szCs w:val="20"/>
        </w:rPr>
        <w:t xml:space="preserve">the UN System-Wide Action Plan (UN SWAP); </w:t>
      </w:r>
      <w:r>
        <w:rPr>
          <w:rFonts w:ascii="Calibri" w:hAnsi="Calibri"/>
          <w:sz w:val="20"/>
          <w:szCs w:val="20"/>
        </w:rPr>
        <w:t xml:space="preserve">the </w:t>
      </w:r>
      <w:r w:rsidRPr="007B54BE">
        <w:rPr>
          <w:rFonts w:ascii="Calibri" w:hAnsi="Calibri"/>
          <w:sz w:val="20"/>
          <w:szCs w:val="20"/>
        </w:rPr>
        <w:t>UN Action against Sexual Violence in Conflict (UN Action)</w:t>
      </w:r>
      <w:r>
        <w:rPr>
          <w:rFonts w:ascii="Calibri" w:hAnsi="Calibri"/>
          <w:sz w:val="20"/>
          <w:szCs w:val="20"/>
        </w:rPr>
        <w:t xml:space="preserve">; </w:t>
      </w:r>
      <w:r>
        <w:rPr>
          <w:rFonts w:ascii="Calibri" w:hAnsi="Calibri" w:cs="Times New Roman"/>
          <w:sz w:val="20"/>
          <w:szCs w:val="20"/>
        </w:rPr>
        <w:t>reporting by</w:t>
      </w:r>
      <w:r w:rsidRPr="0044651F">
        <w:rPr>
          <w:rFonts w:ascii="Calibri" w:hAnsi="Calibri" w:cs="Times New Roman"/>
          <w:sz w:val="20"/>
          <w:szCs w:val="20"/>
        </w:rPr>
        <w:t xml:space="preserve"> the Secretary-General relevant to WPS; </w:t>
      </w:r>
      <w:r>
        <w:rPr>
          <w:rFonts w:ascii="Calibri" w:hAnsi="Calibri" w:cs="Times New Roman"/>
          <w:sz w:val="20"/>
          <w:szCs w:val="20"/>
        </w:rPr>
        <w:t>reporting by</w:t>
      </w:r>
      <w:r w:rsidRPr="0044651F">
        <w:rPr>
          <w:rFonts w:ascii="Calibri" w:hAnsi="Calibri" w:cs="Times New Roman"/>
          <w:sz w:val="20"/>
          <w:szCs w:val="20"/>
        </w:rPr>
        <w:t xml:space="preserve"> the Special Representatives of the Secretary-General on Sexual Violence in Conflict and Children and Armed Conflict; and </w:t>
      </w:r>
      <w:r>
        <w:rPr>
          <w:rFonts w:ascii="Calibri" w:hAnsi="Calibri" w:cs="Times New Roman"/>
          <w:sz w:val="20"/>
          <w:szCs w:val="20"/>
        </w:rPr>
        <w:t>reporting</w:t>
      </w:r>
      <w:r w:rsidRPr="0044651F">
        <w:rPr>
          <w:rFonts w:ascii="Calibri" w:hAnsi="Calibri" w:cs="Times New Roman"/>
          <w:sz w:val="20"/>
          <w:szCs w:val="20"/>
        </w:rPr>
        <w:t xml:space="preserve"> by the special procedures of the Human Rights Council on thematic issues and territories relevant to WPS, including: the Special Rapporteurs on: Violence against Women, its causes and consequences; the human rights of internally displaced persons; truth, justice, reparation and guarantees of non-recurrence; and the Special Rapport</w:t>
      </w:r>
      <w:r w:rsidRPr="007B54BE">
        <w:rPr>
          <w:rFonts w:ascii="Calibri" w:hAnsi="Calibri" w:cs="Times New Roman"/>
          <w:sz w:val="20"/>
          <w:szCs w:val="20"/>
        </w:rPr>
        <w:t>eurs on: the situation of human rights in Somalia; the Sudan; the Syrian Arab Republic; and the Palestinian territories occupied since 1967.</w:t>
      </w:r>
      <w:r w:rsidRPr="007B54BE">
        <w:rPr>
          <w:rFonts w:ascii="Calibri" w:hAnsi="Calibri"/>
          <w:sz w:val="20"/>
          <w:szCs w:val="20"/>
        </w:rPr>
        <w:t xml:space="preserve"> </w:t>
      </w:r>
    </w:p>
  </w:footnote>
  <w:footnote w:id="259">
    <w:p w14:paraId="2EF97289" w14:textId="29404BE7" w:rsidR="00D75A79" w:rsidRDefault="00D75A79">
      <w:pPr>
        <w:pStyle w:val="FootnoteText"/>
      </w:pPr>
      <w:r w:rsidRPr="00BD3456">
        <w:rPr>
          <w:rStyle w:val="FootnoteReference"/>
          <w:rFonts w:ascii="Calibri" w:hAnsi="Calibri"/>
        </w:rPr>
        <w:footnoteRef/>
      </w:r>
      <w:r>
        <w:t xml:space="preserve"> </w:t>
      </w:r>
      <w:r>
        <w:rPr>
          <w:rFonts w:ascii="Calibri" w:hAnsi="Calibri"/>
        </w:rPr>
        <w:t>I/A Court H.R</w:t>
      </w:r>
      <w:r w:rsidRPr="00883EB4">
        <w:rPr>
          <w:rFonts w:ascii="Calibri" w:hAnsi="Calibri"/>
        </w:rPr>
        <w:t xml:space="preserve">, </w:t>
      </w:r>
      <w:r w:rsidRPr="00883EB4">
        <w:rPr>
          <w:rFonts w:ascii="Calibri" w:hAnsi="Calibri"/>
          <w:i/>
        </w:rPr>
        <w:t>Case of González et al. (“Cotton Field”) v. Mexico</w:t>
      </w:r>
      <w:r>
        <w:rPr>
          <w:rFonts w:ascii="Calibri" w:hAnsi="Calibri"/>
        </w:rPr>
        <w:t xml:space="preserve">, </w:t>
      </w:r>
      <w:r w:rsidRPr="00883EB4">
        <w:rPr>
          <w:rFonts w:ascii="Calibri" w:hAnsi="Calibri"/>
        </w:rPr>
        <w:t>Preliminary Objection</w:t>
      </w:r>
      <w:r>
        <w:rPr>
          <w:rFonts w:ascii="Calibri" w:hAnsi="Calibri"/>
        </w:rPr>
        <w:t xml:space="preserve">, Merits, Reparations and Costs, </w:t>
      </w:r>
      <w:r w:rsidRPr="00883EB4">
        <w:rPr>
          <w:rFonts w:ascii="Calibri" w:hAnsi="Calibri"/>
        </w:rPr>
        <w:t>Judgment of Novembe</w:t>
      </w:r>
      <w:r>
        <w:rPr>
          <w:rFonts w:ascii="Calibri" w:hAnsi="Calibri"/>
        </w:rPr>
        <w:t>r 16, 2009.</w:t>
      </w:r>
    </w:p>
  </w:footnote>
  <w:footnote w:id="260">
    <w:p w14:paraId="5205DF38" w14:textId="4C48EFEA" w:rsidR="00D75A79" w:rsidRPr="00E05DBB" w:rsidRDefault="00D75A79" w:rsidP="00ED0533">
      <w:pPr>
        <w:pStyle w:val="FootnoteText"/>
        <w:rPr>
          <w:rFonts w:ascii="Calibri" w:hAnsi="Calibri"/>
          <w:lang w:val="en-GB"/>
        </w:rPr>
      </w:pPr>
      <w:r w:rsidRPr="00DB6A68">
        <w:rPr>
          <w:rStyle w:val="FootnoteReference"/>
          <w:rFonts w:ascii="Calibri" w:hAnsi="Calibri"/>
          <w:lang w:val="en-GB"/>
        </w:rPr>
        <w:footnoteRef/>
      </w:r>
      <w:r>
        <w:rPr>
          <w:rFonts w:ascii="Calibri" w:hAnsi="Calibri"/>
          <w:lang w:val="en-GB"/>
        </w:rPr>
        <w:t xml:space="preserve"> Aisling Swaine, ‘</w:t>
      </w:r>
      <w:r w:rsidRPr="00DB6A68">
        <w:rPr>
          <w:rFonts w:ascii="Calibri" w:hAnsi="Calibri"/>
          <w:lang w:val="en-GB"/>
        </w:rPr>
        <w:t>Assessing the Potential of National Action Plans to Advance Implementation of United Nations Se</w:t>
      </w:r>
      <w:r>
        <w:rPr>
          <w:rFonts w:ascii="Calibri" w:hAnsi="Calibri"/>
          <w:lang w:val="en-GB"/>
        </w:rPr>
        <w:t>curity Council Resolution 1325’</w:t>
      </w:r>
      <w:r w:rsidRPr="00E05DBB">
        <w:rPr>
          <w:rFonts w:ascii="Calibri" w:hAnsi="Calibri"/>
          <w:lang w:val="en-GB"/>
        </w:rPr>
        <w:t xml:space="preserve">(2009) 12 </w:t>
      </w:r>
      <w:r w:rsidRPr="00004951">
        <w:rPr>
          <w:rFonts w:ascii="Calibri" w:hAnsi="Calibri"/>
          <w:i/>
          <w:lang w:val="en-GB"/>
        </w:rPr>
        <w:t>Yearbook of International Humanitarian Law</w:t>
      </w:r>
      <w:r w:rsidRPr="00E05DBB">
        <w:rPr>
          <w:rFonts w:ascii="Calibri" w:hAnsi="Calibri"/>
          <w:lang w:val="en-GB"/>
        </w:rPr>
        <w:t xml:space="preserve"> pp. 403-33, </w:t>
      </w:r>
      <w:r>
        <w:rPr>
          <w:rFonts w:ascii="Calibri" w:hAnsi="Calibri"/>
          <w:lang w:val="en-GB"/>
        </w:rPr>
        <w:t>(Swaine) p. 409.</w:t>
      </w:r>
    </w:p>
  </w:footnote>
  <w:footnote w:id="261">
    <w:p w14:paraId="46513CE9" w14:textId="3E997E8C" w:rsidR="00D75A79" w:rsidRPr="00E05DBB" w:rsidRDefault="00D75A79" w:rsidP="00ED0533">
      <w:pPr>
        <w:pStyle w:val="FootnoteText"/>
        <w:rPr>
          <w:rFonts w:ascii="Calibri" w:hAnsi="Calibri"/>
          <w:lang w:val="en-GB"/>
        </w:rPr>
      </w:pPr>
      <w:r w:rsidRPr="00E05DBB">
        <w:rPr>
          <w:rStyle w:val="FootnoteReference"/>
          <w:rFonts w:ascii="Calibri" w:hAnsi="Calibri"/>
          <w:lang w:val="en-GB"/>
        </w:rPr>
        <w:footnoteRef/>
      </w:r>
      <w:r w:rsidRPr="00E05DBB">
        <w:rPr>
          <w:rFonts w:ascii="Calibri" w:hAnsi="Calibri"/>
          <w:lang w:val="en-GB"/>
        </w:rPr>
        <w:t xml:space="preserve"> Ibid p. 416.</w:t>
      </w:r>
    </w:p>
  </w:footnote>
  <w:footnote w:id="262">
    <w:p w14:paraId="359AA11E" w14:textId="21989F32" w:rsidR="00D75A79" w:rsidRPr="00E05DBB" w:rsidRDefault="00D75A79" w:rsidP="00ED0533">
      <w:pPr>
        <w:pStyle w:val="FootnoteText"/>
        <w:rPr>
          <w:rFonts w:ascii="Calibri" w:hAnsi="Calibri"/>
          <w:lang w:val="en-GB"/>
        </w:rPr>
      </w:pPr>
      <w:r w:rsidRPr="00E05DBB">
        <w:rPr>
          <w:rStyle w:val="FootnoteReference"/>
          <w:rFonts w:ascii="Calibri" w:hAnsi="Calibri"/>
          <w:lang w:val="en-GB"/>
        </w:rPr>
        <w:footnoteRef/>
      </w:r>
      <w:r w:rsidRPr="00E05DBB">
        <w:rPr>
          <w:rFonts w:ascii="Calibri" w:hAnsi="Calibri"/>
          <w:lang w:val="en-GB"/>
        </w:rPr>
        <w:t xml:space="preserve"> Ibid p. 423.</w:t>
      </w:r>
    </w:p>
  </w:footnote>
  <w:footnote w:id="263">
    <w:p w14:paraId="1CB881D8" w14:textId="4F4E3676" w:rsidR="00D75A79" w:rsidRPr="00017FAB" w:rsidRDefault="00D75A79">
      <w:pPr>
        <w:pStyle w:val="FootnoteText"/>
        <w:rPr>
          <w:rFonts w:ascii="Calibri" w:hAnsi="Calibri"/>
        </w:rPr>
      </w:pPr>
      <w:r w:rsidRPr="00E05DBB">
        <w:rPr>
          <w:rStyle w:val="FootnoteReference"/>
          <w:rFonts w:ascii="Calibri" w:hAnsi="Calibri"/>
        </w:rPr>
        <w:footnoteRef/>
      </w:r>
      <w:r w:rsidRPr="00E05DBB">
        <w:rPr>
          <w:rFonts w:ascii="Calibri" w:hAnsi="Calibri"/>
        </w:rPr>
        <w:t xml:space="preserve"> </w:t>
      </w:r>
      <w:r w:rsidRPr="00E05DBB">
        <w:rPr>
          <w:rFonts w:ascii="Calibri" w:hAnsi="Calibri" w:cs="Times New Roman"/>
        </w:rPr>
        <w:t xml:space="preserve">The related UN Security Council Resolutions on women, peace and security are: </w:t>
      </w:r>
      <w:r w:rsidRPr="00E05DBB">
        <w:rPr>
          <w:rFonts w:ascii="Calibri" w:hAnsi="Calibri"/>
        </w:rPr>
        <w:t>UN Security Council Resolution 1820 (19 June 2008) UN Doc S/RES/1820 (SCR 1820); UN Security Council Resolution 1888 (30 September 2009) UN Doc S/RES/1888 (SCR 1888)</w:t>
      </w:r>
      <w:r w:rsidRPr="00E05DBB">
        <w:rPr>
          <w:rFonts w:ascii="Calibri" w:hAnsi="Calibri" w:cs="Times New Roman"/>
        </w:rPr>
        <w:t xml:space="preserve">; </w:t>
      </w:r>
      <w:r w:rsidRPr="00E05DBB">
        <w:rPr>
          <w:rFonts w:ascii="Calibri" w:hAnsi="Calibri"/>
        </w:rPr>
        <w:t>UN Security</w:t>
      </w:r>
      <w:r>
        <w:rPr>
          <w:rFonts w:ascii="Calibri" w:hAnsi="Calibri"/>
        </w:rPr>
        <w:t xml:space="preserve"> Council Resolution </w:t>
      </w:r>
      <w:r w:rsidRPr="009850ED">
        <w:rPr>
          <w:rFonts w:ascii="Calibri" w:hAnsi="Calibri" w:cs="Times New Roman"/>
        </w:rPr>
        <w:t>1889</w:t>
      </w:r>
      <w:r>
        <w:rPr>
          <w:rFonts w:ascii="Calibri" w:hAnsi="Calibri" w:cs="Times New Roman"/>
        </w:rPr>
        <w:t xml:space="preserve"> (5 October 2009) UN Doc S/RES/1889 (SCR 1889); UN Security Council Resolution </w:t>
      </w:r>
      <w:r w:rsidRPr="009850ED">
        <w:rPr>
          <w:rFonts w:ascii="Calibri" w:hAnsi="Calibri" w:cs="Times New Roman"/>
        </w:rPr>
        <w:t>1960</w:t>
      </w:r>
      <w:r>
        <w:rPr>
          <w:rFonts w:ascii="Calibri" w:hAnsi="Calibri" w:cs="Times New Roman"/>
        </w:rPr>
        <w:t xml:space="preserve"> (</w:t>
      </w:r>
      <w:r w:rsidRPr="00017FAB">
        <w:rPr>
          <w:rFonts w:ascii="Calibri" w:hAnsi="Calibri" w:cs="Times New Roman"/>
        </w:rPr>
        <w:t>16 December 2010) UN Doc S/RES/1960 (SCR 1960); UN Security Council Resolution 2106 (24 June 2013) UN Doc S/RES/2106 (SCR 2106); and UN Security Council Resolution 2122 (18 October 2013) UN Doc S/RES/2122 (SCR 2122).</w:t>
      </w:r>
    </w:p>
  </w:footnote>
  <w:footnote w:id="264">
    <w:p w14:paraId="0823DA03" w14:textId="7564FF0D" w:rsidR="00D75A79" w:rsidRPr="00017FAB" w:rsidRDefault="00D75A79" w:rsidP="00ED0533">
      <w:pPr>
        <w:pStyle w:val="FootnoteText"/>
        <w:rPr>
          <w:rFonts w:ascii="Calibri" w:hAnsi="Calibri"/>
          <w:lang w:val="en-GB"/>
        </w:rPr>
      </w:pPr>
      <w:r w:rsidRPr="00017FAB">
        <w:rPr>
          <w:rStyle w:val="FootnoteReference"/>
          <w:rFonts w:ascii="Calibri" w:hAnsi="Calibri"/>
          <w:lang w:val="en-GB"/>
        </w:rPr>
        <w:footnoteRef/>
      </w:r>
      <w:r w:rsidRPr="00017FAB">
        <w:rPr>
          <w:rFonts w:ascii="Calibri" w:hAnsi="Calibri"/>
          <w:lang w:val="en-GB"/>
        </w:rPr>
        <w:t xml:space="preserve"> Swaine, p. 424.</w:t>
      </w:r>
    </w:p>
  </w:footnote>
  <w:footnote w:id="265">
    <w:p w14:paraId="626F5DF5" w14:textId="77200EF0" w:rsidR="00D75A79" w:rsidRPr="00017FAB" w:rsidRDefault="00D75A79" w:rsidP="00ED0533">
      <w:pPr>
        <w:pStyle w:val="FootnoteText"/>
        <w:rPr>
          <w:rFonts w:ascii="Calibri" w:hAnsi="Calibri"/>
          <w:lang w:val="en-GB"/>
        </w:rPr>
      </w:pPr>
      <w:r w:rsidRPr="00017FAB">
        <w:rPr>
          <w:rStyle w:val="FootnoteReference"/>
          <w:rFonts w:ascii="Calibri" w:hAnsi="Calibri"/>
          <w:lang w:val="en-GB"/>
        </w:rPr>
        <w:footnoteRef/>
      </w:r>
      <w:r w:rsidRPr="00017FAB">
        <w:rPr>
          <w:rFonts w:ascii="Calibri" w:hAnsi="Calibri"/>
          <w:lang w:val="en-GB"/>
        </w:rPr>
        <w:t xml:space="preserve"> Ibid p. 409.</w:t>
      </w:r>
    </w:p>
  </w:footnote>
  <w:footnote w:id="266">
    <w:p w14:paraId="300CBD24" w14:textId="463E25B4" w:rsidR="00D75A79" w:rsidRPr="007B31DF" w:rsidRDefault="00D75A79" w:rsidP="00F03460">
      <w:pPr>
        <w:pStyle w:val="FootnoteText"/>
        <w:rPr>
          <w:rFonts w:ascii="Calibri" w:hAnsi="Calibri"/>
        </w:rPr>
      </w:pPr>
      <w:r w:rsidRPr="007B31DF">
        <w:rPr>
          <w:rStyle w:val="FootnoteReference"/>
          <w:rFonts w:ascii="Calibri" w:hAnsi="Calibri"/>
        </w:rPr>
        <w:footnoteRef/>
      </w:r>
      <w:r w:rsidRPr="007B31DF">
        <w:rPr>
          <w:rFonts w:ascii="Calibri" w:hAnsi="Calibri"/>
        </w:rPr>
        <w:t xml:space="preserve"> UN General Assembly,</w:t>
      </w:r>
      <w:r w:rsidRPr="007B31DF">
        <w:rPr>
          <w:rFonts w:ascii="Calibri" w:hAnsi="Calibri"/>
          <w:i/>
        </w:rPr>
        <w:t xml:space="preserve"> </w:t>
      </w:r>
      <w:r w:rsidRPr="007B31DF">
        <w:rPr>
          <w:rFonts w:ascii="Calibri" w:hAnsi="Calibri"/>
        </w:rPr>
        <w:t>Resolution 60/251</w:t>
      </w:r>
      <w:r w:rsidRPr="007B31DF">
        <w:rPr>
          <w:rFonts w:ascii="Calibri" w:hAnsi="Calibri"/>
          <w:i/>
        </w:rPr>
        <w:t xml:space="preserve"> </w:t>
      </w:r>
      <w:r w:rsidRPr="007B31DF">
        <w:rPr>
          <w:rFonts w:ascii="Calibri" w:hAnsi="Calibri"/>
        </w:rPr>
        <w:t>(15 March 2006) UN Doc A/60/251, p. 3.</w:t>
      </w:r>
    </w:p>
  </w:footnote>
  <w:footnote w:id="267">
    <w:p w14:paraId="711E4F7F" w14:textId="12D28928" w:rsidR="00D75A79" w:rsidRPr="007B31DF" w:rsidRDefault="00D75A79">
      <w:pPr>
        <w:pStyle w:val="FootnoteText"/>
        <w:rPr>
          <w:rFonts w:ascii="Calibri" w:hAnsi="Calibri"/>
        </w:rPr>
      </w:pPr>
      <w:r w:rsidRPr="007B31DF">
        <w:rPr>
          <w:rStyle w:val="FootnoteReference"/>
          <w:rFonts w:ascii="Calibri" w:hAnsi="Calibri"/>
        </w:rPr>
        <w:footnoteRef/>
      </w:r>
      <w:r w:rsidRPr="007B31DF">
        <w:rPr>
          <w:rFonts w:ascii="Calibri" w:hAnsi="Calibri"/>
        </w:rPr>
        <w:t xml:space="preserve"> See Hilary Charlesworth, Emma Larking (eds) </w:t>
      </w:r>
      <w:r w:rsidRPr="007B31DF">
        <w:rPr>
          <w:rFonts w:ascii="Calibri" w:hAnsi="Calibri"/>
          <w:i/>
        </w:rPr>
        <w:t>Human Rights and the Universal Periodic Review, Rituals and Ritualism</w:t>
      </w:r>
      <w:r w:rsidRPr="007B31DF">
        <w:rPr>
          <w:rFonts w:ascii="Calibri" w:hAnsi="Calibri"/>
        </w:rPr>
        <w:t xml:space="preserve"> (Cambri</w:t>
      </w:r>
      <w:r>
        <w:rPr>
          <w:rFonts w:ascii="Calibri" w:hAnsi="Calibri"/>
        </w:rPr>
        <w:t xml:space="preserve">dge University Press 2014) (Charlesworth and Larking) p. 3.  </w:t>
      </w:r>
    </w:p>
  </w:footnote>
  <w:footnote w:id="268">
    <w:p w14:paraId="2422C04D" w14:textId="20338632" w:rsidR="00D75A79" w:rsidRPr="00630096" w:rsidRDefault="00D75A79" w:rsidP="00017FAB">
      <w:pPr>
        <w:rPr>
          <w:rFonts w:ascii="Calibri" w:eastAsia="Times New Roman" w:hAnsi="Calibri" w:cs="Times New Roman"/>
          <w:sz w:val="20"/>
          <w:szCs w:val="20"/>
        </w:rPr>
      </w:pPr>
      <w:r w:rsidRPr="007B31DF">
        <w:rPr>
          <w:rStyle w:val="FootnoteReference"/>
          <w:rFonts w:ascii="Calibri" w:hAnsi="Calibri"/>
          <w:sz w:val="20"/>
          <w:szCs w:val="20"/>
        </w:rPr>
        <w:footnoteRef/>
      </w:r>
      <w:r w:rsidRPr="007B31DF">
        <w:rPr>
          <w:rFonts w:ascii="Calibri" w:hAnsi="Calibri"/>
          <w:sz w:val="20"/>
          <w:szCs w:val="20"/>
        </w:rPr>
        <w:t xml:space="preserve"> Navanathem Pillay, “Women’s Rights in Human Rights Systems: Past, Present and Future” (</w:t>
      </w:r>
      <w:r w:rsidRPr="007B31DF">
        <w:rPr>
          <w:rFonts w:ascii="Calibri" w:eastAsia="Times New Roman" w:hAnsi="Calibri" w:cs="Times New Roman"/>
          <w:sz w:val="20"/>
          <w:szCs w:val="20"/>
        </w:rPr>
        <w:t>Sixth Dullah Omar Memorial Lecture delivered at the University of the Western Cape on 1 July 2009)</w:t>
      </w:r>
      <w:r>
        <w:rPr>
          <w:rFonts w:ascii="Calibri" w:eastAsia="Times New Roman" w:hAnsi="Calibri" w:cs="Times New Roman"/>
          <w:sz w:val="20"/>
          <w:szCs w:val="20"/>
        </w:rPr>
        <w:t xml:space="preserve"> 13(2)</w:t>
      </w:r>
      <w:r w:rsidRPr="007B31DF">
        <w:rPr>
          <w:rFonts w:ascii="Calibri" w:eastAsia="Times New Roman" w:hAnsi="Calibri" w:cs="Times New Roman"/>
          <w:sz w:val="20"/>
          <w:szCs w:val="20"/>
        </w:rPr>
        <w:t xml:space="preserve"> </w:t>
      </w:r>
      <w:r w:rsidRPr="007B31DF">
        <w:rPr>
          <w:rFonts w:ascii="Calibri" w:eastAsia="Times New Roman" w:hAnsi="Calibri" w:cs="Times New Roman"/>
          <w:i/>
          <w:sz w:val="20"/>
          <w:szCs w:val="20"/>
        </w:rPr>
        <w:t>Law, Democracy and Development</w:t>
      </w:r>
      <w:r w:rsidRPr="00004951">
        <w:rPr>
          <w:rFonts w:ascii="Calibri" w:eastAsia="Times New Roman" w:hAnsi="Calibri" w:cs="Times New Roman"/>
          <w:sz w:val="20"/>
          <w:szCs w:val="20"/>
        </w:rPr>
        <w:t>,</w:t>
      </w:r>
      <w:r>
        <w:rPr>
          <w:rFonts w:ascii="Calibri" w:eastAsia="Times New Roman" w:hAnsi="Calibri" w:cs="Times New Roman"/>
          <w:i/>
          <w:sz w:val="20"/>
          <w:szCs w:val="20"/>
        </w:rPr>
        <w:t xml:space="preserve"> </w:t>
      </w:r>
      <w:r w:rsidRPr="007B31DF">
        <w:rPr>
          <w:rFonts w:ascii="Calibri" w:eastAsia="Times New Roman" w:hAnsi="Calibri" w:cs="Times New Roman"/>
          <w:sz w:val="20"/>
          <w:szCs w:val="20"/>
        </w:rPr>
        <w:t>pp. 3-46, p. 45.</w:t>
      </w:r>
      <w:r w:rsidRPr="00630096">
        <w:rPr>
          <w:rFonts w:ascii="Calibri" w:eastAsia="Times New Roman" w:hAnsi="Calibri" w:cs="Times New Roman"/>
          <w:sz w:val="20"/>
          <w:szCs w:val="20"/>
        </w:rPr>
        <w:t xml:space="preserve"> </w:t>
      </w:r>
    </w:p>
  </w:footnote>
  <w:footnote w:id="269">
    <w:p w14:paraId="52CBCA7F" w14:textId="3E803914" w:rsidR="00D75A79" w:rsidRPr="00630096" w:rsidRDefault="00D75A79" w:rsidP="00F03460">
      <w:pPr>
        <w:pStyle w:val="FootnoteText"/>
        <w:rPr>
          <w:rFonts w:ascii="Calibri" w:hAnsi="Calibri"/>
        </w:rPr>
      </w:pPr>
      <w:r w:rsidRPr="00630096">
        <w:rPr>
          <w:rStyle w:val="FootnoteReference"/>
          <w:rFonts w:ascii="Calibri" w:hAnsi="Calibri"/>
        </w:rPr>
        <w:footnoteRef/>
      </w:r>
      <w:r w:rsidRPr="00630096">
        <w:rPr>
          <w:rFonts w:ascii="Calibri" w:hAnsi="Calibri"/>
        </w:rPr>
        <w:t xml:space="preserve"> </w:t>
      </w:r>
      <w:r>
        <w:rPr>
          <w:rFonts w:ascii="Calibri" w:hAnsi="Calibri"/>
        </w:rPr>
        <w:t xml:space="preserve">Charlesworth and Larking, ibid. </w:t>
      </w:r>
    </w:p>
  </w:footnote>
  <w:footnote w:id="270">
    <w:p w14:paraId="1D4ED7F5" w14:textId="28569F41" w:rsidR="00D75A79" w:rsidRDefault="00D75A79">
      <w:pPr>
        <w:pStyle w:val="FootnoteText"/>
      </w:pPr>
      <w:r w:rsidRPr="00630096">
        <w:rPr>
          <w:rStyle w:val="FootnoteReference"/>
          <w:rFonts w:ascii="Calibri" w:hAnsi="Calibri"/>
        </w:rPr>
        <w:footnoteRef/>
      </w:r>
      <w:r>
        <w:t xml:space="preserve"> </w:t>
      </w:r>
      <w:r w:rsidRPr="00361A2D">
        <w:rPr>
          <w:rFonts w:ascii="Calibri" w:hAnsi="Calibri" w:cs="Times New Roman"/>
          <w:i/>
          <w:iCs/>
        </w:rPr>
        <w:t>Beijing Declaration and Platform of Action, adopted at the Fourth World Conference on Women</w:t>
      </w:r>
      <w:r w:rsidRPr="00361A2D">
        <w:rPr>
          <w:rFonts w:ascii="Calibri" w:hAnsi="Calibri" w:cs="Times New Roman"/>
        </w:rPr>
        <w:t>, 27 October 1995</w:t>
      </w:r>
      <w:r>
        <w:rPr>
          <w:rFonts w:ascii="Calibri" w:hAnsi="Calibri" w:cs="Times New Roman"/>
        </w:rPr>
        <w:t xml:space="preserve"> (BPfA).</w:t>
      </w:r>
    </w:p>
  </w:footnote>
  <w:footnote w:id="271">
    <w:p w14:paraId="27D5B288" w14:textId="6B004D2A" w:rsidR="00D75A79" w:rsidRPr="002B069A" w:rsidRDefault="00D75A79">
      <w:pPr>
        <w:pStyle w:val="FootnoteText"/>
        <w:rPr>
          <w:rFonts w:ascii="Calibri" w:hAnsi="Calibri"/>
        </w:rPr>
      </w:pPr>
      <w:r w:rsidRPr="002B069A">
        <w:rPr>
          <w:rStyle w:val="FootnoteReference"/>
          <w:rFonts w:ascii="Calibri" w:hAnsi="Calibri"/>
        </w:rPr>
        <w:footnoteRef/>
      </w:r>
      <w:r w:rsidRPr="002B069A">
        <w:rPr>
          <w:rFonts w:ascii="Calibri" w:hAnsi="Calibri"/>
        </w:rPr>
        <w:t xml:space="preserve"> </w:t>
      </w:r>
      <w:r>
        <w:rPr>
          <w:rFonts w:ascii="Calibri" w:hAnsi="Calibri"/>
        </w:rPr>
        <w:t xml:space="preserve">Niamh Reilly, ‘Seeking gender justice in post-conflict situations: towards a transformative women’s human rights approach’ (2007) 3 </w:t>
      </w:r>
      <w:r>
        <w:rPr>
          <w:rFonts w:ascii="Calibri" w:hAnsi="Calibri"/>
          <w:i/>
        </w:rPr>
        <w:t>International Journal of Law in Context,</w:t>
      </w:r>
      <w:r>
        <w:rPr>
          <w:rFonts w:ascii="Calibri" w:hAnsi="Calibri"/>
        </w:rPr>
        <w:t xml:space="preserve"> pp. 155-72, p. 168. </w:t>
      </w:r>
    </w:p>
  </w:footnote>
  <w:footnote w:id="272">
    <w:p w14:paraId="54D17708" w14:textId="77777777" w:rsidR="00D75A79" w:rsidRPr="00D459E3" w:rsidRDefault="00D75A79" w:rsidP="00D12FC3">
      <w:pPr>
        <w:pStyle w:val="FootnoteText"/>
        <w:rPr>
          <w:rFonts w:ascii="Calibri" w:hAnsi="Calibri"/>
        </w:rPr>
      </w:pPr>
      <w:r w:rsidRPr="00EE7BDB">
        <w:rPr>
          <w:rStyle w:val="FootnoteReference"/>
          <w:rFonts w:ascii="Calibri" w:hAnsi="Calibri"/>
        </w:rPr>
        <w:footnoteRef/>
      </w:r>
      <w:r w:rsidRPr="00EE7BDB">
        <w:rPr>
          <w:rFonts w:ascii="Calibri" w:hAnsi="Calibri"/>
        </w:rPr>
        <w:t xml:space="preserve"> </w:t>
      </w:r>
      <w:r>
        <w:rPr>
          <w:rFonts w:ascii="Calibri" w:hAnsi="Calibri"/>
        </w:rPr>
        <w:t xml:space="preserve">CEDAW </w:t>
      </w:r>
      <w:r w:rsidRPr="00D459E3">
        <w:rPr>
          <w:rFonts w:ascii="Calibri" w:hAnsi="Calibri"/>
        </w:rPr>
        <w:t xml:space="preserve">Committee, ‘General Recommendation No. 30 on women in conflict prevention, conflict and post-conflict situations‘ (18 October 2013) UN Doc CEDAW/C/GC/30. </w:t>
      </w:r>
    </w:p>
  </w:footnote>
  <w:footnote w:id="273">
    <w:p w14:paraId="02D052B0" w14:textId="77777777" w:rsidR="00D75A79" w:rsidRPr="00D459E3" w:rsidRDefault="00D75A79" w:rsidP="00D12FC3">
      <w:pPr>
        <w:pStyle w:val="FootnoteText"/>
        <w:rPr>
          <w:rFonts w:ascii="Calibri" w:hAnsi="Calibri"/>
        </w:rPr>
      </w:pPr>
      <w:r w:rsidRPr="00D459E3">
        <w:rPr>
          <w:rStyle w:val="FootnoteReference"/>
          <w:rFonts w:ascii="Calibri" w:hAnsi="Calibri"/>
        </w:rPr>
        <w:footnoteRef/>
      </w:r>
      <w:r w:rsidRPr="00D459E3">
        <w:rPr>
          <w:rFonts w:ascii="Calibri" w:hAnsi="Calibri"/>
        </w:rPr>
        <w:t xml:space="preserve"> CEDAW GR No. 30, para 83.</w:t>
      </w:r>
      <w:r>
        <w:rPr>
          <w:rFonts w:ascii="Calibri" w:hAnsi="Calibri"/>
        </w:rPr>
        <w:t xml:space="preserve"> Note that SCR 2122 was adopted on the same day as the CEDAW GR No. 30, and as such is not included in the list of SCRs on WPS.</w:t>
      </w:r>
    </w:p>
  </w:footnote>
  <w:footnote w:id="274">
    <w:p w14:paraId="6947EE7F" w14:textId="00126437" w:rsidR="00D75A79" w:rsidRPr="00B63151" w:rsidRDefault="00D75A79">
      <w:pPr>
        <w:pStyle w:val="FootnoteText"/>
        <w:rPr>
          <w:rFonts w:ascii="Calibri" w:hAnsi="Calibri"/>
        </w:rPr>
      </w:pPr>
      <w:r w:rsidRPr="002B069A">
        <w:rPr>
          <w:rStyle w:val="FootnoteReference"/>
          <w:rFonts w:ascii="Calibri" w:hAnsi="Calibri"/>
        </w:rPr>
        <w:footnoteRef/>
      </w:r>
      <w:r w:rsidRPr="002B069A">
        <w:rPr>
          <w:rFonts w:ascii="Calibri" w:hAnsi="Calibri"/>
        </w:rPr>
        <w:t xml:space="preserve"> Yoko Hayashi </w:t>
      </w:r>
      <w:r>
        <w:rPr>
          <w:rFonts w:ascii="Calibri" w:hAnsi="Calibri"/>
        </w:rPr>
        <w:t>(Chairperson, CEDAW Committee) ‘</w:t>
      </w:r>
      <w:r w:rsidRPr="002B069A">
        <w:rPr>
          <w:rFonts w:ascii="Calibri" w:hAnsi="Calibri"/>
        </w:rPr>
        <w:t>Open Letter to Ms. Radhika Coomaraswamy, Lead Author of the Global Study on the Implement</w:t>
      </w:r>
      <w:r>
        <w:rPr>
          <w:rFonts w:ascii="Calibri" w:hAnsi="Calibri"/>
        </w:rPr>
        <w:t>ation of Resolution 1325 (2000)’</w:t>
      </w:r>
      <w:r w:rsidRPr="002B069A">
        <w:rPr>
          <w:rFonts w:ascii="Calibri" w:hAnsi="Calibri"/>
        </w:rPr>
        <w:t xml:space="preserve"> (6 March 2015) available from: </w:t>
      </w:r>
      <w:r w:rsidRPr="00B63151">
        <w:rPr>
          <w:rFonts w:ascii="Calibri" w:hAnsi="Calibri"/>
        </w:rPr>
        <w:t>http://www.ohchr.org/Documents/HRBodies/CEDAW/OpenLetterGlobalStudy1325.pdf, p. 3.</w:t>
      </w:r>
    </w:p>
  </w:footnote>
  <w:footnote w:id="275">
    <w:p w14:paraId="526D4A46" w14:textId="771E33DD" w:rsidR="00D75A79" w:rsidRPr="00D459E3" w:rsidRDefault="00D75A79">
      <w:pPr>
        <w:pStyle w:val="FootnoteText"/>
        <w:rPr>
          <w:rFonts w:ascii="Calibri" w:hAnsi="Calibri"/>
        </w:rPr>
      </w:pPr>
      <w:r w:rsidRPr="00D459E3">
        <w:rPr>
          <w:rStyle w:val="FootnoteReference"/>
          <w:rFonts w:ascii="Calibri" w:hAnsi="Calibri"/>
        </w:rPr>
        <w:footnoteRef/>
      </w:r>
      <w:r w:rsidRPr="00D459E3">
        <w:rPr>
          <w:rFonts w:ascii="Calibri" w:hAnsi="Calibri"/>
        </w:rPr>
        <w:t xml:space="preserve"> CEDAW, Article 18. </w:t>
      </w:r>
    </w:p>
  </w:footnote>
  <w:footnote w:id="276">
    <w:p w14:paraId="7A77BCF4" w14:textId="1F3E6291" w:rsidR="00D75A79" w:rsidRPr="00D459E3" w:rsidRDefault="00D75A79">
      <w:pPr>
        <w:pStyle w:val="FootnoteText"/>
        <w:rPr>
          <w:rFonts w:ascii="Calibri" w:hAnsi="Calibri"/>
        </w:rPr>
      </w:pPr>
      <w:r w:rsidRPr="00D459E3">
        <w:rPr>
          <w:rStyle w:val="FootnoteReference"/>
          <w:rFonts w:ascii="Calibri" w:hAnsi="Calibri"/>
        </w:rPr>
        <w:footnoteRef/>
      </w:r>
      <w:r w:rsidRPr="00D459E3">
        <w:rPr>
          <w:rFonts w:ascii="Calibri" w:hAnsi="Calibri"/>
        </w:rPr>
        <w:t xml:space="preserve"> </w:t>
      </w:r>
      <w:r w:rsidRPr="00097368">
        <w:rPr>
          <w:rFonts w:ascii="Calibri" w:eastAsia="Times New Roman" w:hAnsi="Calibri" w:cs="Times New Roman"/>
        </w:rPr>
        <w:t xml:space="preserve">UN General Assembly, </w:t>
      </w:r>
      <w:r w:rsidRPr="00E2540E">
        <w:rPr>
          <w:rFonts w:ascii="Calibri" w:eastAsia="Times New Roman" w:hAnsi="Calibri" w:cs="Times New Roman"/>
          <w:iCs/>
        </w:rPr>
        <w:t>Optional Protocol to the Convention on the Elimination of All Forms of Discrimination Against Women (6 October 1999)</w:t>
      </w:r>
      <w:r w:rsidRPr="00CA2E0F">
        <w:rPr>
          <w:rFonts w:ascii="Calibri" w:eastAsia="Times New Roman" w:hAnsi="Calibri" w:cs="Times New Roman"/>
        </w:rPr>
        <w:t xml:space="preserve">, </w:t>
      </w:r>
      <w:r>
        <w:rPr>
          <w:rFonts w:ascii="Calibri" w:eastAsia="Times New Roman" w:hAnsi="Calibri" w:cs="Times New Roman"/>
        </w:rPr>
        <w:t xml:space="preserve">UN Doc </w:t>
      </w:r>
      <w:r w:rsidRPr="00CA2E0F">
        <w:rPr>
          <w:rFonts w:ascii="Calibri" w:hAnsi="Calibri"/>
        </w:rPr>
        <w:t>A/RES/54/4</w:t>
      </w:r>
      <w:r>
        <w:rPr>
          <w:rFonts w:ascii="Calibri" w:hAnsi="Calibri"/>
        </w:rPr>
        <w:t xml:space="preserve"> (Optional Protocol).</w:t>
      </w:r>
    </w:p>
  </w:footnote>
  <w:footnote w:id="277">
    <w:p w14:paraId="5D6EDC9B" w14:textId="2D9A181B" w:rsidR="00D75A79" w:rsidRPr="00B63151" w:rsidRDefault="00D75A79" w:rsidP="00787CA7">
      <w:pPr>
        <w:pStyle w:val="FootnoteText"/>
        <w:rPr>
          <w:rFonts w:ascii="Calibri" w:hAnsi="Calibri"/>
        </w:rPr>
      </w:pPr>
      <w:r w:rsidRPr="00D459E3">
        <w:rPr>
          <w:rStyle w:val="FootnoteReference"/>
          <w:rFonts w:ascii="Calibri" w:hAnsi="Calibri"/>
        </w:rPr>
        <w:footnoteRef/>
      </w:r>
      <w:r w:rsidRPr="00D459E3">
        <w:rPr>
          <w:rFonts w:ascii="Calibri" w:hAnsi="Calibri"/>
        </w:rPr>
        <w:t xml:space="preserve"> </w:t>
      </w:r>
      <w:r>
        <w:rPr>
          <w:rFonts w:ascii="Calibri" w:hAnsi="Calibri"/>
        </w:rPr>
        <w:t>Ineke Boerefijn, ‘Article 18’</w:t>
      </w:r>
      <w:r w:rsidRPr="00A97303">
        <w:rPr>
          <w:rFonts w:ascii="Calibri" w:hAnsi="Calibri"/>
        </w:rPr>
        <w:t xml:space="preserve">, </w:t>
      </w:r>
      <w:r>
        <w:rPr>
          <w:rFonts w:ascii="Calibri" w:hAnsi="Calibri"/>
        </w:rPr>
        <w:t xml:space="preserve">in </w:t>
      </w:r>
      <w:r w:rsidRPr="00A97303">
        <w:rPr>
          <w:rFonts w:ascii="Calibri" w:hAnsi="Calibri"/>
          <w:lang w:val="en-GB"/>
        </w:rPr>
        <w:t>Marsha A</w:t>
      </w:r>
      <w:r>
        <w:rPr>
          <w:rFonts w:ascii="Calibri" w:hAnsi="Calibri"/>
          <w:lang w:val="en-GB"/>
        </w:rPr>
        <w:t>.</w:t>
      </w:r>
      <w:r w:rsidRPr="00A97303">
        <w:rPr>
          <w:rFonts w:ascii="Calibri" w:hAnsi="Calibri"/>
          <w:lang w:val="en-GB"/>
        </w:rPr>
        <w:t xml:space="preserve"> Freeman, </w:t>
      </w:r>
      <w:r>
        <w:rPr>
          <w:rFonts w:ascii="Calibri" w:hAnsi="Calibri"/>
          <w:lang w:val="en-GB"/>
        </w:rPr>
        <w:t>Christine Chinkin, Beate Rudolf (eds)</w:t>
      </w:r>
      <w:r w:rsidRPr="00A97303">
        <w:rPr>
          <w:rFonts w:ascii="Calibri" w:hAnsi="Calibri"/>
          <w:lang w:val="en-GB"/>
        </w:rPr>
        <w:t xml:space="preserve"> </w:t>
      </w:r>
      <w:r w:rsidRPr="00A97303">
        <w:rPr>
          <w:rFonts w:ascii="Calibri" w:hAnsi="Calibri"/>
          <w:i/>
          <w:lang w:val="en-GB"/>
        </w:rPr>
        <w:t>The UN Convention on the Elimination of all Forms of D</w:t>
      </w:r>
      <w:r>
        <w:rPr>
          <w:rFonts w:ascii="Calibri" w:hAnsi="Calibri"/>
          <w:i/>
          <w:lang w:val="en-GB"/>
        </w:rPr>
        <w:t>iscrimination against Women: A C</w:t>
      </w:r>
      <w:r w:rsidRPr="00A97303">
        <w:rPr>
          <w:rFonts w:ascii="Calibri" w:hAnsi="Calibri"/>
          <w:i/>
          <w:lang w:val="en-GB"/>
        </w:rPr>
        <w:t xml:space="preserve">ommentary </w:t>
      </w:r>
      <w:r w:rsidRPr="00A97303">
        <w:rPr>
          <w:rFonts w:ascii="Calibri" w:hAnsi="Calibri"/>
          <w:lang w:val="en-GB"/>
        </w:rPr>
        <w:t>(</w:t>
      </w:r>
      <w:r>
        <w:rPr>
          <w:rFonts w:ascii="Calibri" w:hAnsi="Calibri"/>
        </w:rPr>
        <w:t xml:space="preserve">Oxford, </w:t>
      </w:r>
      <w:r w:rsidRPr="00A97303">
        <w:rPr>
          <w:rFonts w:ascii="Calibri" w:hAnsi="Calibri"/>
          <w:lang w:val="en-GB"/>
        </w:rPr>
        <w:t>Oxford University Press, 2012</w:t>
      </w:r>
      <w:r>
        <w:rPr>
          <w:rFonts w:ascii="Calibri" w:hAnsi="Calibri"/>
        </w:rPr>
        <w:t>) pp.489-508 (Boerefijn)</w:t>
      </w:r>
      <w:r w:rsidRPr="00A97303">
        <w:rPr>
          <w:rFonts w:ascii="Calibri" w:hAnsi="Calibri"/>
        </w:rPr>
        <w:t xml:space="preserve"> p. 4</w:t>
      </w:r>
      <w:r>
        <w:rPr>
          <w:rFonts w:ascii="Calibri" w:hAnsi="Calibri"/>
        </w:rPr>
        <w:t>91</w:t>
      </w:r>
      <w:r w:rsidRPr="00B63151">
        <w:rPr>
          <w:rFonts w:ascii="Calibri" w:hAnsi="Calibri"/>
        </w:rPr>
        <w:t>. For a list on the status of report submissions by country as of 2006: United Nations, ‘Report of the Committee on the Elimination of Discrimination against Women‘ 2006 A/61/38, Annex VI.</w:t>
      </w:r>
    </w:p>
  </w:footnote>
  <w:footnote w:id="278">
    <w:p w14:paraId="2F2C9D9B" w14:textId="78274907" w:rsidR="00D75A79" w:rsidRDefault="00D75A79" w:rsidP="00B63151">
      <w:pPr>
        <w:pStyle w:val="FootnoteText"/>
        <w:jc w:val="left"/>
      </w:pPr>
      <w:r w:rsidRPr="00B63151">
        <w:rPr>
          <w:rStyle w:val="FootnoteReference"/>
          <w:rFonts w:ascii="Calibri" w:hAnsi="Calibri"/>
        </w:rPr>
        <w:footnoteRef/>
      </w:r>
      <w:r>
        <w:t xml:space="preserve"> </w:t>
      </w:r>
      <w:r w:rsidRPr="00B63151">
        <w:rPr>
          <w:rFonts w:ascii="Calibri" w:hAnsi="Calibri"/>
        </w:rPr>
        <w:t xml:space="preserve">See </w:t>
      </w:r>
      <w:r>
        <w:rPr>
          <w:rFonts w:ascii="Calibri" w:hAnsi="Calibri"/>
        </w:rPr>
        <w:t xml:space="preserve">Office of the High Commissioner for Human Rights (OHCHR) </w:t>
      </w:r>
      <w:r w:rsidRPr="00B63151">
        <w:rPr>
          <w:rFonts w:ascii="Calibri" w:hAnsi="Calibri"/>
        </w:rPr>
        <w:t>“Sessions for CEDAW”, available from: http://tbinternet.ohchr.org/_layouts/TreatyBodyExternal/SessionsList.aspx?Treaty=CEDAW</w:t>
      </w:r>
    </w:p>
  </w:footnote>
  <w:footnote w:id="279">
    <w:p w14:paraId="03000A38" w14:textId="7CAFEF34" w:rsidR="00D75A79" w:rsidRPr="00A37317" w:rsidRDefault="00D75A79" w:rsidP="00C65D1A">
      <w:pPr>
        <w:pStyle w:val="FootnoteText"/>
        <w:rPr>
          <w:rFonts w:ascii="Calibri" w:hAnsi="Calibri"/>
        </w:rPr>
      </w:pPr>
      <w:r w:rsidRPr="002D04CE">
        <w:rPr>
          <w:rStyle w:val="FootnoteReference"/>
          <w:rFonts w:ascii="Calibri" w:hAnsi="Calibri"/>
        </w:rPr>
        <w:footnoteRef/>
      </w:r>
      <w:r w:rsidRPr="002D04CE">
        <w:rPr>
          <w:rFonts w:ascii="Calibri" w:hAnsi="Calibri"/>
        </w:rPr>
        <w:t xml:space="preserve"> </w:t>
      </w:r>
      <w:r w:rsidRPr="00A37317">
        <w:rPr>
          <w:rFonts w:ascii="Calibri" w:hAnsi="Calibri"/>
        </w:rPr>
        <w:t>See “Optional Protocol to CEDAW’, available from: https://opcedaw.wordpress.com/communications/all-communications/.</w:t>
      </w:r>
    </w:p>
  </w:footnote>
  <w:footnote w:id="280">
    <w:p w14:paraId="3394BA6C" w14:textId="2EEDB5C8" w:rsidR="00D75A79" w:rsidRPr="009C7F2E" w:rsidRDefault="00D75A79" w:rsidP="00A97303">
      <w:pPr>
        <w:rPr>
          <w:rFonts w:ascii="Calibri" w:eastAsia="Times New Roman" w:hAnsi="Calibri" w:cs="Times New Roman"/>
          <w:sz w:val="20"/>
          <w:szCs w:val="20"/>
        </w:rPr>
      </w:pPr>
      <w:r w:rsidRPr="009C7F2E">
        <w:rPr>
          <w:rStyle w:val="FootnoteReference"/>
          <w:rFonts w:ascii="Calibri" w:hAnsi="Calibri"/>
          <w:sz w:val="20"/>
          <w:szCs w:val="20"/>
        </w:rPr>
        <w:footnoteRef/>
      </w:r>
      <w:r w:rsidRPr="009C7F2E">
        <w:rPr>
          <w:rFonts w:ascii="Calibri" w:hAnsi="Calibri"/>
          <w:sz w:val="20"/>
          <w:szCs w:val="20"/>
        </w:rPr>
        <w:t xml:space="preserve"> Boerefijn, p. 491.</w:t>
      </w:r>
    </w:p>
  </w:footnote>
  <w:footnote w:id="281">
    <w:p w14:paraId="6BC07DED" w14:textId="77777777" w:rsidR="00D75A79" w:rsidRPr="009C7F2E" w:rsidRDefault="00D75A79" w:rsidP="00C65D1A">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Ibid.</w:t>
      </w:r>
    </w:p>
  </w:footnote>
  <w:footnote w:id="282">
    <w:p w14:paraId="52ABE2E2" w14:textId="77777777" w:rsidR="00D75A79" w:rsidRPr="009C7F2E" w:rsidRDefault="00D75A79" w:rsidP="00C65D1A">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Ibid.</w:t>
      </w:r>
    </w:p>
  </w:footnote>
  <w:footnote w:id="283">
    <w:p w14:paraId="272BE69F" w14:textId="77777777" w:rsidR="00D75A79" w:rsidRPr="009C7F2E" w:rsidRDefault="00D75A79" w:rsidP="00C65D1A">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Ibid.</w:t>
      </w:r>
    </w:p>
  </w:footnote>
  <w:footnote w:id="284">
    <w:p w14:paraId="5A3B3887" w14:textId="1C0A100F" w:rsidR="00D75A79" w:rsidRPr="009C7F2E" w:rsidRDefault="00D75A79" w:rsidP="00C65D1A">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Committee on the Elimination of Discrimination against Women, ‘General Recommendation No. 28 on the core obligations of States parties under article 2 of the Convention on the Elimination of All Forms of Discrimination against Women‘ (16 Dece</w:t>
      </w:r>
      <w:r>
        <w:rPr>
          <w:rFonts w:ascii="Calibri" w:hAnsi="Calibri"/>
        </w:rPr>
        <w:t xml:space="preserve">mber 2010) UN Doc CEDAW/C/GC/28 (CEDAW GR No. 28). </w:t>
      </w:r>
    </w:p>
  </w:footnote>
  <w:footnote w:id="285">
    <w:p w14:paraId="4F236AE7" w14:textId="77777777" w:rsidR="00D75A79" w:rsidRPr="009C7F2E" w:rsidRDefault="00D75A79" w:rsidP="009C7F2E">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Ibid, 3.</w:t>
      </w:r>
    </w:p>
  </w:footnote>
  <w:footnote w:id="286">
    <w:p w14:paraId="39F61545" w14:textId="059D2DC3" w:rsidR="00D75A79" w:rsidRPr="009C7F2E" w:rsidRDefault="00D75A79" w:rsidP="00C65D1A">
      <w:pPr>
        <w:pStyle w:val="FootnoteText"/>
        <w:rPr>
          <w:rFonts w:ascii="Calibri" w:hAnsi="Calibri"/>
        </w:rPr>
      </w:pPr>
      <w:r w:rsidRPr="009C7F2E">
        <w:rPr>
          <w:rStyle w:val="FootnoteReference"/>
          <w:rFonts w:ascii="Calibri" w:hAnsi="Calibri"/>
        </w:rPr>
        <w:footnoteRef/>
      </w:r>
      <w:r>
        <w:rPr>
          <w:rFonts w:ascii="Calibri" w:hAnsi="Calibri"/>
        </w:rPr>
        <w:t xml:space="preserve"> Laboni Amena Hoq, ‘</w:t>
      </w:r>
      <w:r w:rsidRPr="009C7F2E">
        <w:rPr>
          <w:rFonts w:ascii="Calibri" w:hAnsi="Calibri"/>
        </w:rPr>
        <w:t>The Women’s Convention and its Optional Protocol: Empowering Women to Claim Their Internationa</w:t>
      </w:r>
      <w:r>
        <w:rPr>
          <w:rFonts w:ascii="Calibri" w:hAnsi="Calibri"/>
        </w:rPr>
        <w:t>lly Protected Rights’</w:t>
      </w:r>
      <w:r w:rsidRPr="009C7F2E">
        <w:rPr>
          <w:rFonts w:ascii="Calibri" w:hAnsi="Calibri"/>
        </w:rPr>
        <w:t xml:space="preserve"> (2001</w:t>
      </w:r>
      <w:r>
        <w:rPr>
          <w:rFonts w:ascii="Calibri" w:hAnsi="Calibri"/>
        </w:rPr>
        <w:t>)</w:t>
      </w:r>
      <w:r w:rsidRPr="009C7F2E">
        <w:rPr>
          <w:rFonts w:ascii="Calibri" w:hAnsi="Calibri"/>
        </w:rPr>
        <w:t xml:space="preserve"> 32 (3) </w:t>
      </w:r>
      <w:r w:rsidRPr="009C7F2E">
        <w:rPr>
          <w:rFonts w:ascii="Calibri" w:hAnsi="Calibri"/>
          <w:i/>
        </w:rPr>
        <w:t>Columbia Human Rights Law Review</w:t>
      </w:r>
      <w:r w:rsidRPr="009C7F2E">
        <w:rPr>
          <w:rFonts w:ascii="Calibri" w:hAnsi="Calibri"/>
        </w:rPr>
        <w:t xml:space="preserve"> p. 677-726, p.703.</w:t>
      </w:r>
    </w:p>
  </w:footnote>
  <w:footnote w:id="287">
    <w:p w14:paraId="309ADD4C" w14:textId="77777777" w:rsidR="00D75A79" w:rsidRPr="009C7F2E" w:rsidRDefault="00D75A79" w:rsidP="00C65D1A">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Ibid 723.</w:t>
      </w:r>
    </w:p>
  </w:footnote>
  <w:footnote w:id="288">
    <w:p w14:paraId="5F274782" w14:textId="7C0DF20A" w:rsidR="00D75A79" w:rsidRPr="009C7F2E" w:rsidRDefault="00D75A79">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Global N</w:t>
      </w:r>
      <w:r>
        <w:rPr>
          <w:rFonts w:ascii="Calibri" w:hAnsi="Calibri"/>
        </w:rPr>
        <w:t>etwork of Women Peacebuilders, ‘</w:t>
      </w:r>
      <w:r w:rsidRPr="009C7F2E">
        <w:rPr>
          <w:rFonts w:ascii="Calibri" w:hAnsi="Calibri"/>
        </w:rPr>
        <w:t>Training on CEDAW GR 30, December 15-16</w:t>
      </w:r>
      <w:r w:rsidRPr="009C7F2E">
        <w:rPr>
          <w:rFonts w:ascii="Calibri" w:hAnsi="Calibri"/>
          <w:vertAlign w:val="superscript"/>
        </w:rPr>
        <w:t>th</w:t>
      </w:r>
      <w:r>
        <w:rPr>
          <w:rFonts w:ascii="Calibri" w:hAnsi="Calibri"/>
        </w:rPr>
        <w:t>, Jakarta, Indonesia’</w:t>
      </w:r>
      <w:r w:rsidRPr="009C7F2E">
        <w:rPr>
          <w:rFonts w:ascii="Calibri" w:hAnsi="Calibri"/>
        </w:rPr>
        <w:t>, available from: http://www.gnwp.org/news/training-cedaw-gr-30-december-15th-16th-jakarta-indonesia (GNWP).</w:t>
      </w:r>
    </w:p>
  </w:footnote>
  <w:footnote w:id="289">
    <w:p w14:paraId="7C247F3D" w14:textId="67871BAB" w:rsidR="00D75A79" w:rsidRPr="009C7F2E" w:rsidRDefault="00D75A79">
      <w:pPr>
        <w:pStyle w:val="FootnoteText"/>
        <w:rPr>
          <w:rFonts w:ascii="Calibri" w:hAnsi="Calibri"/>
        </w:rPr>
      </w:pPr>
      <w:r w:rsidRPr="009C7F2E">
        <w:rPr>
          <w:rStyle w:val="FootnoteReference"/>
          <w:rFonts w:ascii="Calibri" w:hAnsi="Calibri"/>
        </w:rPr>
        <w:footnoteRef/>
      </w:r>
      <w:r w:rsidRPr="009C7F2E">
        <w:rPr>
          <w:rFonts w:ascii="Calibri" w:hAnsi="Calibri"/>
        </w:rPr>
        <w:t xml:space="preserve"> O’Reilly, ibid. </w:t>
      </w:r>
    </w:p>
  </w:footnote>
  <w:footnote w:id="290">
    <w:p w14:paraId="11EB1D3F" w14:textId="5E28227A" w:rsidR="00D75A79" w:rsidRDefault="00D75A79">
      <w:pPr>
        <w:pStyle w:val="FootnoteText"/>
      </w:pPr>
      <w:r w:rsidRPr="009C7F2E">
        <w:rPr>
          <w:rStyle w:val="FootnoteReference"/>
          <w:rFonts w:ascii="Calibri" w:hAnsi="Calibri"/>
        </w:rPr>
        <w:footnoteRef/>
      </w:r>
      <w:r w:rsidRPr="009C7F2E">
        <w:rPr>
          <w:rFonts w:ascii="Calibri" w:hAnsi="Calibri"/>
        </w:rPr>
        <w:t xml:space="preserve"> GNWP.</w:t>
      </w:r>
    </w:p>
  </w:footnote>
  <w:footnote w:id="291">
    <w:p w14:paraId="33807DE2" w14:textId="66A02AA1" w:rsidR="00D75A79" w:rsidRPr="00E054BC" w:rsidRDefault="00D75A79">
      <w:pPr>
        <w:pStyle w:val="FootnoteText"/>
        <w:rPr>
          <w:rFonts w:ascii="Calibri" w:hAnsi="Calibri"/>
        </w:rPr>
      </w:pPr>
      <w:r w:rsidRPr="00E054BC">
        <w:rPr>
          <w:rStyle w:val="FootnoteReference"/>
          <w:rFonts w:ascii="Calibri" w:hAnsi="Calibri"/>
        </w:rPr>
        <w:footnoteRef/>
      </w:r>
      <w:r w:rsidRPr="00E054BC">
        <w:rPr>
          <w:rFonts w:ascii="Calibri" w:hAnsi="Calibri"/>
        </w:rPr>
        <w:t xml:space="preserve"> </w:t>
      </w:r>
      <w:r w:rsidRPr="001B48B3">
        <w:rPr>
          <w:rFonts w:ascii="Calibri" w:hAnsi="Calibri"/>
        </w:rPr>
        <w:t>UN Security Council Resolution 1325 (30 O</w:t>
      </w:r>
      <w:r>
        <w:rPr>
          <w:rFonts w:ascii="Calibri" w:hAnsi="Calibri"/>
        </w:rPr>
        <w:t>ctober 2000) UN Doc S/RES/1325, preparatory paragraph 6 (PP 6) (SCR 1325).</w:t>
      </w:r>
    </w:p>
  </w:footnote>
  <w:footnote w:id="292">
    <w:p w14:paraId="48A7D9DC" w14:textId="618B87CC" w:rsidR="00D75A79" w:rsidRPr="002D04CE" w:rsidRDefault="00D75A79" w:rsidP="00E054BC">
      <w:pPr>
        <w:pStyle w:val="FootnoteText"/>
        <w:jc w:val="left"/>
        <w:rPr>
          <w:rFonts w:ascii="Calibri" w:hAnsi="Calibri"/>
        </w:rPr>
      </w:pPr>
      <w:r w:rsidRPr="00E054BC">
        <w:rPr>
          <w:rStyle w:val="FootnoteReference"/>
          <w:rFonts w:ascii="Calibri" w:hAnsi="Calibri"/>
        </w:rPr>
        <w:footnoteRef/>
      </w:r>
      <w:r w:rsidRPr="00E054BC">
        <w:rPr>
          <w:rFonts w:ascii="Calibri" w:hAnsi="Calibri"/>
        </w:rPr>
        <w:t xml:space="preserve"> Un</w:t>
      </w:r>
      <w:r>
        <w:rPr>
          <w:rFonts w:ascii="Calibri" w:hAnsi="Calibri"/>
        </w:rPr>
        <w:t>ited Nations General Assembly, ‘</w:t>
      </w:r>
      <w:r w:rsidRPr="00E054BC">
        <w:rPr>
          <w:rFonts w:ascii="Calibri" w:hAnsi="Calibri"/>
        </w:rPr>
        <w:t>Basic Principles and Guidelines on the Right to a Remedy and Reparation for Victims of Gross Violations of International Human Rights Law and Serious Violations of</w:t>
      </w:r>
      <w:r>
        <w:rPr>
          <w:rFonts w:ascii="Calibri" w:hAnsi="Calibri"/>
        </w:rPr>
        <w:t xml:space="preserve"> International Humanitarian Law’</w:t>
      </w:r>
      <w:r w:rsidRPr="00E054BC">
        <w:rPr>
          <w:rFonts w:ascii="Calibri" w:hAnsi="Calibri"/>
        </w:rPr>
        <w:t xml:space="preserve"> (adopted on 16 December 2005) A/RES/60/147.</w:t>
      </w:r>
      <w:r>
        <w:rPr>
          <w:rFonts w:ascii="Calibri" w:hAnsi="Calibri"/>
        </w:rPr>
        <w:t xml:space="preserve"> </w:t>
      </w:r>
    </w:p>
  </w:footnote>
  <w:footnote w:id="293">
    <w:p w14:paraId="6596DEA0" w14:textId="5C1FB348" w:rsidR="00D75A79" w:rsidRDefault="00D75A79">
      <w:pPr>
        <w:pStyle w:val="FootnoteText"/>
      </w:pPr>
      <w:r>
        <w:rPr>
          <w:rStyle w:val="FootnoteReference"/>
        </w:rPr>
        <w:footnoteRef/>
      </w:r>
      <w:r>
        <w:t xml:space="preserve"> </w:t>
      </w:r>
      <w:r w:rsidRPr="00E054BC">
        <w:rPr>
          <w:rFonts w:ascii="Calibri" w:hAnsi="Calibri"/>
        </w:rPr>
        <w:t xml:space="preserve">SCR 1325, </w:t>
      </w:r>
      <w:r>
        <w:rPr>
          <w:rFonts w:ascii="Calibri" w:hAnsi="Calibri"/>
        </w:rPr>
        <w:t>operative paragraph 8(a) (OP 8(a)).</w:t>
      </w:r>
    </w:p>
  </w:footnote>
  <w:footnote w:id="294">
    <w:p w14:paraId="79FABB36" w14:textId="5531B1A3" w:rsidR="00D75A79" w:rsidRDefault="00D75A79">
      <w:pPr>
        <w:pStyle w:val="FootnoteText"/>
      </w:pPr>
      <w:r>
        <w:rPr>
          <w:rStyle w:val="FootnoteReference"/>
        </w:rPr>
        <w:footnoteRef/>
      </w:r>
      <w:r>
        <w:t xml:space="preserve"> </w:t>
      </w:r>
      <w:r w:rsidRPr="00E054BC">
        <w:rPr>
          <w:rFonts w:ascii="Calibri" w:hAnsi="Calibri"/>
        </w:rPr>
        <w:t>SCR 1325,</w:t>
      </w:r>
      <w:r>
        <w:rPr>
          <w:rFonts w:ascii="Calibri" w:hAnsi="Calibri"/>
        </w:rPr>
        <w:t xml:space="preserve"> OP 9.</w:t>
      </w:r>
    </w:p>
  </w:footnote>
  <w:footnote w:id="295">
    <w:p w14:paraId="244458A1" w14:textId="0C155187" w:rsidR="00D75A79" w:rsidRPr="00E054BC" w:rsidRDefault="00D75A79">
      <w:pPr>
        <w:pStyle w:val="FootnoteText"/>
        <w:rPr>
          <w:rFonts w:ascii="Calibri" w:hAnsi="Calibri"/>
        </w:rPr>
      </w:pPr>
      <w:r w:rsidRPr="00E054BC">
        <w:rPr>
          <w:rStyle w:val="FootnoteReference"/>
          <w:rFonts w:ascii="Calibri" w:hAnsi="Calibri"/>
        </w:rPr>
        <w:footnoteRef/>
      </w:r>
      <w:r w:rsidRPr="00E054BC">
        <w:rPr>
          <w:rFonts w:ascii="Calibri" w:hAnsi="Calibri"/>
        </w:rPr>
        <w:t xml:space="preserve"> SCR 1325, OP 11. </w:t>
      </w:r>
    </w:p>
  </w:footnote>
  <w:footnote w:id="296">
    <w:p w14:paraId="4EAA3EBD" w14:textId="1E854C59" w:rsidR="00D75A79" w:rsidRPr="00E054BC" w:rsidRDefault="00D75A79" w:rsidP="006F35AD">
      <w:pPr>
        <w:pStyle w:val="FootnoteText"/>
        <w:rPr>
          <w:rFonts w:ascii="Calibri" w:hAnsi="Calibri"/>
        </w:rPr>
      </w:pPr>
      <w:r w:rsidRPr="00E054BC">
        <w:rPr>
          <w:rStyle w:val="FootnoteReference"/>
          <w:rFonts w:ascii="Calibri" w:hAnsi="Calibri"/>
        </w:rPr>
        <w:footnoteRef/>
      </w:r>
      <w:r w:rsidRPr="00E054BC">
        <w:rPr>
          <w:rFonts w:ascii="Calibri" w:hAnsi="Calibri"/>
        </w:rPr>
        <w:t xml:space="preserve"> UN Secretary-General, </w:t>
      </w:r>
      <w:r>
        <w:rPr>
          <w:rFonts w:ascii="Calibri" w:hAnsi="Calibri"/>
        </w:rPr>
        <w:t>‘</w:t>
      </w:r>
      <w:r w:rsidRPr="00E054BC">
        <w:rPr>
          <w:rFonts w:ascii="Calibri" w:hAnsi="Calibri"/>
        </w:rPr>
        <w:t>Guidance Note of the Secretary General: Reparations for C</w:t>
      </w:r>
      <w:r>
        <w:rPr>
          <w:rFonts w:ascii="Calibri" w:hAnsi="Calibri"/>
        </w:rPr>
        <w:t xml:space="preserve">onflict-Related Sexual Violence’, (June 2014) p. 8 (UNSG Guidance Note). </w:t>
      </w:r>
    </w:p>
  </w:footnote>
  <w:footnote w:id="297">
    <w:p w14:paraId="7435B472" w14:textId="5F430C82" w:rsidR="00D75A79" w:rsidRPr="00E054BC" w:rsidRDefault="00D75A79" w:rsidP="006F35AD">
      <w:pPr>
        <w:pStyle w:val="FootnoteText"/>
        <w:rPr>
          <w:rFonts w:ascii="Calibri" w:hAnsi="Calibri"/>
        </w:rPr>
      </w:pPr>
      <w:r w:rsidRPr="00E054BC">
        <w:rPr>
          <w:rStyle w:val="FootnoteReference"/>
          <w:rFonts w:ascii="Calibri" w:hAnsi="Calibri"/>
        </w:rPr>
        <w:footnoteRef/>
      </w:r>
      <w:r w:rsidRPr="00E054BC">
        <w:rPr>
          <w:rFonts w:ascii="Calibri" w:hAnsi="Calibri"/>
        </w:rPr>
        <w:t xml:space="preserve"> </w:t>
      </w:r>
      <w:r>
        <w:rPr>
          <w:rFonts w:ascii="Calibri" w:hAnsi="Calibri"/>
        </w:rPr>
        <w:t>UNSG Guidance Note, p.</w:t>
      </w:r>
      <w:r w:rsidRPr="00E054BC">
        <w:rPr>
          <w:rFonts w:ascii="Calibri" w:hAnsi="Calibri"/>
        </w:rPr>
        <w:t xml:space="preserve"> 11.</w:t>
      </w:r>
    </w:p>
  </w:footnote>
  <w:footnote w:id="298">
    <w:p w14:paraId="4B5866CF" w14:textId="77777777" w:rsidR="00D75A79" w:rsidRPr="00E054BC" w:rsidRDefault="00D75A79" w:rsidP="006F35AD">
      <w:pPr>
        <w:pStyle w:val="FootnoteText"/>
        <w:rPr>
          <w:rFonts w:ascii="Calibri" w:hAnsi="Calibri"/>
        </w:rPr>
      </w:pPr>
      <w:r w:rsidRPr="00E054BC">
        <w:rPr>
          <w:rStyle w:val="FootnoteReference"/>
          <w:rFonts w:ascii="Calibri" w:hAnsi="Calibri"/>
        </w:rPr>
        <w:footnoteRef/>
      </w:r>
      <w:r w:rsidRPr="00E054BC">
        <w:rPr>
          <w:rFonts w:ascii="Calibri" w:hAnsi="Calibri"/>
        </w:rPr>
        <w:t xml:space="preserve"> I/A Court H.R, </w:t>
      </w:r>
      <w:r w:rsidRPr="00E054BC">
        <w:rPr>
          <w:rFonts w:ascii="Calibri" w:hAnsi="Calibri"/>
          <w:i/>
        </w:rPr>
        <w:t>Case of González et al. (“Cotton Field”) v. Mexico</w:t>
      </w:r>
      <w:r w:rsidRPr="00E054BC">
        <w:rPr>
          <w:rFonts w:ascii="Calibri" w:hAnsi="Calibri"/>
        </w:rPr>
        <w:t>, Preliminary Objection, Merits, Reparations and Costs, Judgment of November 16, 2009. Series C No. 205 at [114]-[121].</w:t>
      </w:r>
    </w:p>
  </w:footnote>
  <w:footnote w:id="299">
    <w:p w14:paraId="196CF489" w14:textId="77777777" w:rsidR="00D75A79" w:rsidRPr="002D04CE" w:rsidRDefault="00D75A79" w:rsidP="006F35AD">
      <w:pPr>
        <w:pStyle w:val="FootnoteText"/>
        <w:rPr>
          <w:rFonts w:ascii="Calibri" w:hAnsi="Calibri"/>
        </w:rPr>
      </w:pPr>
      <w:r w:rsidRPr="00E054BC">
        <w:rPr>
          <w:rStyle w:val="FootnoteReference"/>
          <w:rFonts w:ascii="Calibri" w:hAnsi="Calibri"/>
        </w:rPr>
        <w:footnoteRef/>
      </w:r>
      <w:r w:rsidRPr="00E054BC">
        <w:rPr>
          <w:rFonts w:ascii="Calibri" w:hAnsi="Calibri"/>
        </w:rPr>
        <w:t xml:space="preserve"> Ibid at [450].</w:t>
      </w:r>
    </w:p>
  </w:footnote>
  <w:footnote w:id="300">
    <w:p w14:paraId="03EDDD60" w14:textId="13CAFB7E" w:rsidR="00D75A79" w:rsidRPr="00FC7B79" w:rsidRDefault="00D75A79" w:rsidP="006F35AD">
      <w:pPr>
        <w:pStyle w:val="FootnoteText"/>
        <w:rPr>
          <w:rFonts w:ascii="Calibri" w:hAnsi="Calibri"/>
        </w:rPr>
      </w:pPr>
      <w:r w:rsidRPr="002D04CE">
        <w:rPr>
          <w:rStyle w:val="FootnoteReference"/>
          <w:rFonts w:ascii="Calibri" w:hAnsi="Calibri"/>
        </w:rPr>
        <w:footnoteRef/>
      </w:r>
      <w:r w:rsidRPr="002D04CE">
        <w:rPr>
          <w:rFonts w:ascii="Calibri" w:hAnsi="Calibri"/>
        </w:rPr>
        <w:t xml:space="preserve"> </w:t>
      </w:r>
      <w:r w:rsidRPr="00F540D3">
        <w:rPr>
          <w:rFonts w:ascii="Calibri" w:hAnsi="Calibri"/>
        </w:rPr>
        <w:t>Katrin Tiroch</w:t>
      </w:r>
      <w:r>
        <w:rPr>
          <w:rFonts w:ascii="Calibri" w:hAnsi="Calibri"/>
          <w:color w:val="000000" w:themeColor="text1"/>
        </w:rPr>
        <w:t xml:space="preserve">, </w:t>
      </w:r>
      <w:r>
        <w:rPr>
          <w:rFonts w:ascii="Calibri" w:hAnsi="Calibri"/>
          <w:lang w:val="en-GB"/>
        </w:rPr>
        <w:t>‘</w:t>
      </w:r>
      <w:r w:rsidRPr="00FA49B0">
        <w:rPr>
          <w:rFonts w:ascii="Calibri" w:hAnsi="Calibri"/>
          <w:color w:val="000000" w:themeColor="text1"/>
        </w:rPr>
        <w:t>V</w:t>
      </w:r>
      <w:r w:rsidRPr="00FC7B79">
        <w:rPr>
          <w:rFonts w:ascii="Calibri" w:hAnsi="Calibri"/>
        </w:rPr>
        <w:t>iolence against Women by Private Actors: The Inter-American Court’s Judgment in the Case of</w:t>
      </w:r>
    </w:p>
    <w:p w14:paraId="575268CA" w14:textId="38E72F20" w:rsidR="00D75A79" w:rsidRPr="00FC7B79" w:rsidRDefault="00D75A79" w:rsidP="006F35AD">
      <w:pPr>
        <w:pStyle w:val="FootnoteText"/>
        <w:rPr>
          <w:rFonts w:ascii="Calibri" w:hAnsi="Calibri"/>
        </w:rPr>
      </w:pPr>
      <w:r w:rsidRPr="00FC7B79">
        <w:rPr>
          <w:rFonts w:ascii="Calibri" w:hAnsi="Calibri"/>
        </w:rPr>
        <w:t>Gonzalez et al. (“Cotton Field”) v. Mexico</w:t>
      </w:r>
      <w:r>
        <w:rPr>
          <w:rFonts w:ascii="Calibri" w:hAnsi="Calibri"/>
        </w:rPr>
        <w:t>’’</w:t>
      </w:r>
      <w:r w:rsidRPr="00E2540E">
        <w:rPr>
          <w:rFonts w:ascii="Calibri" w:hAnsi="Calibri"/>
        </w:rPr>
        <w:t>(2010)</w:t>
      </w:r>
      <w:r>
        <w:rPr>
          <w:rFonts w:ascii="Calibri" w:hAnsi="Calibri"/>
        </w:rPr>
        <w:t xml:space="preserve"> </w:t>
      </w:r>
      <w:r w:rsidRPr="00E2540E">
        <w:rPr>
          <w:rFonts w:ascii="Calibri" w:hAnsi="Calibri"/>
        </w:rPr>
        <w:t xml:space="preserve">14 </w:t>
      </w:r>
      <w:r w:rsidRPr="00004951">
        <w:rPr>
          <w:rFonts w:ascii="Calibri" w:hAnsi="Calibri"/>
          <w:i/>
        </w:rPr>
        <w:t>Max Planck Yearbook of United Nations Law</w:t>
      </w:r>
      <w:r w:rsidRPr="00FA49B0">
        <w:rPr>
          <w:rFonts w:ascii="Calibri" w:hAnsi="Calibri"/>
        </w:rPr>
        <w:t xml:space="preserve"> </w:t>
      </w:r>
      <w:r>
        <w:rPr>
          <w:rFonts w:ascii="Calibri" w:hAnsi="Calibri"/>
        </w:rPr>
        <w:t>pp.371-408, p.</w:t>
      </w:r>
      <w:r w:rsidRPr="00FA49B0">
        <w:rPr>
          <w:rFonts w:ascii="Calibri" w:hAnsi="Calibri"/>
        </w:rPr>
        <w:t xml:space="preserve"> 379</w:t>
      </w:r>
      <w:r>
        <w:rPr>
          <w:rFonts w:ascii="Calibri" w:hAnsi="Calibri"/>
        </w:rPr>
        <w:t>;</w:t>
      </w:r>
      <w:r w:rsidRPr="00F540D3">
        <w:rPr>
          <w:rFonts w:ascii="Calibri" w:hAnsi="Calibri"/>
        </w:rPr>
        <w:t xml:space="preserve"> </w:t>
      </w:r>
      <w:r>
        <w:rPr>
          <w:rFonts w:ascii="Calibri" w:hAnsi="Calibri"/>
        </w:rPr>
        <w:t xml:space="preserve">Ruth Rubio-Marin and Clara Sandoval, </w:t>
      </w:r>
      <w:r>
        <w:rPr>
          <w:rFonts w:ascii="Calibri" w:hAnsi="Calibri"/>
          <w:lang w:val="en-GB"/>
        </w:rPr>
        <w:t>‘</w:t>
      </w:r>
      <w:r>
        <w:rPr>
          <w:rFonts w:ascii="Calibri" w:hAnsi="Calibri"/>
        </w:rPr>
        <w:t xml:space="preserve">Engendering </w:t>
      </w:r>
      <w:r w:rsidRPr="00FC7B79">
        <w:rPr>
          <w:rFonts w:ascii="Calibri" w:hAnsi="Calibri"/>
        </w:rPr>
        <w:t>th</w:t>
      </w:r>
      <w:r>
        <w:rPr>
          <w:rFonts w:ascii="Calibri" w:hAnsi="Calibri"/>
        </w:rPr>
        <w:t xml:space="preserve">e </w:t>
      </w:r>
      <w:r w:rsidRPr="00FC7B79">
        <w:rPr>
          <w:rFonts w:ascii="Calibri" w:hAnsi="Calibri"/>
        </w:rPr>
        <w:t>Reparations</w:t>
      </w:r>
      <w:r>
        <w:rPr>
          <w:rFonts w:ascii="Calibri" w:hAnsi="Calibri"/>
        </w:rPr>
        <w:t xml:space="preserve"> </w:t>
      </w:r>
      <w:r w:rsidRPr="00FC7B79">
        <w:rPr>
          <w:rFonts w:ascii="Calibri" w:hAnsi="Calibri"/>
        </w:rPr>
        <w:t>Jurisprudence</w:t>
      </w:r>
      <w:r>
        <w:rPr>
          <w:rFonts w:ascii="Calibri" w:hAnsi="Calibri"/>
        </w:rPr>
        <w:t xml:space="preserve"> </w:t>
      </w:r>
      <w:r w:rsidRPr="00FC7B79">
        <w:rPr>
          <w:rFonts w:ascii="Calibri" w:hAnsi="Calibri"/>
        </w:rPr>
        <w:t>of</w:t>
      </w:r>
      <w:r>
        <w:rPr>
          <w:rFonts w:ascii="Calibri" w:hAnsi="Calibri"/>
        </w:rPr>
        <w:t xml:space="preserve"> </w:t>
      </w:r>
      <w:r w:rsidRPr="00FC7B79">
        <w:rPr>
          <w:rFonts w:ascii="Calibri" w:hAnsi="Calibri"/>
        </w:rPr>
        <w:t>the</w:t>
      </w:r>
      <w:r>
        <w:rPr>
          <w:rFonts w:ascii="Calibri" w:hAnsi="Calibri"/>
        </w:rPr>
        <w:t xml:space="preserve"> </w:t>
      </w:r>
      <w:r w:rsidRPr="00FC7B79">
        <w:rPr>
          <w:rFonts w:ascii="Calibri" w:hAnsi="Calibri"/>
        </w:rPr>
        <w:t>Inter-American</w:t>
      </w:r>
      <w:r>
        <w:rPr>
          <w:rFonts w:ascii="Calibri" w:hAnsi="Calibri"/>
        </w:rPr>
        <w:t xml:space="preserve"> </w:t>
      </w:r>
      <w:r w:rsidRPr="00FC7B79">
        <w:rPr>
          <w:rFonts w:ascii="Calibri" w:hAnsi="Calibri"/>
        </w:rPr>
        <w:t>Court</w:t>
      </w:r>
      <w:r>
        <w:rPr>
          <w:rFonts w:ascii="Calibri" w:hAnsi="Calibri"/>
        </w:rPr>
        <w:t xml:space="preserve"> </w:t>
      </w:r>
      <w:r w:rsidRPr="00FC7B79">
        <w:rPr>
          <w:rFonts w:ascii="Calibri" w:hAnsi="Calibri"/>
        </w:rPr>
        <w:t>of</w:t>
      </w:r>
      <w:r>
        <w:rPr>
          <w:rFonts w:ascii="Calibri" w:hAnsi="Calibri"/>
        </w:rPr>
        <w:t xml:space="preserve"> </w:t>
      </w:r>
      <w:r w:rsidRPr="00FC7B79">
        <w:rPr>
          <w:rFonts w:ascii="Calibri" w:hAnsi="Calibri"/>
        </w:rPr>
        <w:t>Human</w:t>
      </w:r>
      <w:r>
        <w:rPr>
          <w:rFonts w:ascii="Calibri" w:hAnsi="Calibri"/>
        </w:rPr>
        <w:t xml:space="preserve"> </w:t>
      </w:r>
      <w:r w:rsidRPr="00FC7B79">
        <w:rPr>
          <w:rFonts w:ascii="Calibri" w:hAnsi="Calibri"/>
        </w:rPr>
        <w:t>Rights:</w:t>
      </w:r>
      <w:r>
        <w:rPr>
          <w:rFonts w:ascii="Calibri" w:hAnsi="Calibri"/>
        </w:rPr>
        <w:t xml:space="preserve"> </w:t>
      </w:r>
      <w:r w:rsidRPr="00FC7B79">
        <w:rPr>
          <w:rFonts w:ascii="Calibri" w:hAnsi="Calibri"/>
        </w:rPr>
        <w:t>The</w:t>
      </w:r>
      <w:r>
        <w:rPr>
          <w:rFonts w:ascii="Calibri" w:hAnsi="Calibri"/>
        </w:rPr>
        <w:t xml:space="preserve"> </w:t>
      </w:r>
      <w:r w:rsidRPr="00FC7B79">
        <w:rPr>
          <w:rFonts w:ascii="Calibri" w:hAnsi="Calibri"/>
        </w:rPr>
        <w:t>Promise</w:t>
      </w:r>
      <w:r>
        <w:rPr>
          <w:rFonts w:ascii="Calibri" w:hAnsi="Calibri"/>
        </w:rPr>
        <w:t xml:space="preserve"> </w:t>
      </w:r>
      <w:r w:rsidRPr="00FC7B79">
        <w:rPr>
          <w:rFonts w:ascii="Calibri" w:hAnsi="Calibri"/>
        </w:rPr>
        <w:t>of</w:t>
      </w:r>
      <w:r>
        <w:rPr>
          <w:rFonts w:ascii="Calibri" w:hAnsi="Calibri"/>
        </w:rPr>
        <w:t xml:space="preserve"> </w:t>
      </w:r>
      <w:r w:rsidRPr="00FC7B79">
        <w:rPr>
          <w:rFonts w:ascii="Calibri" w:hAnsi="Calibri"/>
        </w:rPr>
        <w:t>the</w:t>
      </w:r>
      <w:r>
        <w:rPr>
          <w:rFonts w:ascii="Calibri" w:hAnsi="Calibri"/>
        </w:rPr>
        <w:t xml:space="preserve"> </w:t>
      </w:r>
      <w:r w:rsidRPr="00FC7B79">
        <w:rPr>
          <w:rFonts w:ascii="Calibri" w:hAnsi="Calibri"/>
        </w:rPr>
        <w:t>Cottonfield</w:t>
      </w:r>
      <w:r>
        <w:rPr>
          <w:rFonts w:ascii="Calibri" w:hAnsi="Calibri"/>
        </w:rPr>
        <w:t xml:space="preserve"> </w:t>
      </w:r>
      <w:r w:rsidRPr="00FC7B79">
        <w:rPr>
          <w:rFonts w:ascii="Calibri" w:hAnsi="Calibri"/>
        </w:rPr>
        <w:t>Judgme</w:t>
      </w:r>
      <w:r>
        <w:rPr>
          <w:rFonts w:ascii="Calibri" w:hAnsi="Calibri"/>
        </w:rPr>
        <w:t>nt</w:t>
      </w:r>
      <w:r>
        <w:rPr>
          <w:rFonts w:ascii="Calibri" w:hAnsi="Calibri"/>
          <w:i/>
        </w:rPr>
        <w:t xml:space="preserve">’ </w:t>
      </w:r>
      <w:r w:rsidRPr="00E2540E">
        <w:rPr>
          <w:rFonts w:ascii="Calibri" w:hAnsi="Calibri"/>
        </w:rPr>
        <w:t>(2011)</w:t>
      </w:r>
      <w:r>
        <w:rPr>
          <w:rFonts w:ascii="Calibri" w:hAnsi="Calibri"/>
        </w:rPr>
        <w:t xml:space="preserve"> 33 </w:t>
      </w:r>
      <w:r w:rsidRPr="00004951">
        <w:rPr>
          <w:rFonts w:ascii="Calibri" w:hAnsi="Calibri"/>
          <w:i/>
        </w:rPr>
        <w:t>Human Rights Quarterly</w:t>
      </w:r>
      <w:r>
        <w:rPr>
          <w:rFonts w:ascii="Calibri" w:hAnsi="Calibri"/>
        </w:rPr>
        <w:t xml:space="preserve">, pp. </w:t>
      </w:r>
      <w:r w:rsidRPr="00FC7B79">
        <w:rPr>
          <w:rFonts w:ascii="Calibri" w:hAnsi="Calibri"/>
        </w:rPr>
        <w:t>1062</w:t>
      </w:r>
      <w:r>
        <w:rPr>
          <w:rFonts w:ascii="Calibri" w:hAnsi="Calibri"/>
        </w:rPr>
        <w:t>-91, p.1063.</w:t>
      </w:r>
    </w:p>
  </w:footnote>
  <w:footnote w:id="301">
    <w:p w14:paraId="0F8B0113" w14:textId="7F26F430" w:rsidR="00D75A79" w:rsidRPr="00464F1A" w:rsidRDefault="00D75A79" w:rsidP="006F35AD">
      <w:pPr>
        <w:pStyle w:val="FootnoteText"/>
        <w:rPr>
          <w:rFonts w:ascii="Calibri" w:hAnsi="Calibri"/>
        </w:rPr>
      </w:pPr>
      <w:r w:rsidRPr="00464F1A">
        <w:rPr>
          <w:rStyle w:val="FootnoteReference"/>
          <w:rFonts w:ascii="Calibri" w:hAnsi="Calibri"/>
        </w:rPr>
        <w:footnoteRef/>
      </w:r>
      <w:r w:rsidRPr="00464F1A">
        <w:rPr>
          <w:rFonts w:ascii="Calibri" w:hAnsi="Calibri"/>
        </w:rPr>
        <w:t xml:space="preserve"> </w:t>
      </w:r>
      <w:r>
        <w:rPr>
          <w:rFonts w:ascii="Calibri" w:hAnsi="Calibri"/>
        </w:rPr>
        <w:t>UNSG Guidance Note, p.</w:t>
      </w:r>
      <w:r w:rsidRPr="00464F1A">
        <w:rPr>
          <w:rFonts w:ascii="Calibri" w:hAnsi="Calibri"/>
        </w:rPr>
        <w:t xml:space="preserve"> 9.</w:t>
      </w:r>
    </w:p>
  </w:footnote>
  <w:footnote w:id="302">
    <w:p w14:paraId="6CC6D9BB" w14:textId="546EF828" w:rsidR="00D75A79" w:rsidRPr="00542DB4" w:rsidRDefault="00D75A79" w:rsidP="007F364C">
      <w:pPr>
        <w:pStyle w:val="FootnoteText"/>
        <w:rPr>
          <w:lang w:val="en-IE"/>
        </w:rPr>
      </w:pPr>
      <w:r w:rsidRPr="00464F1A">
        <w:rPr>
          <w:rStyle w:val="FootnoteReference"/>
          <w:rFonts w:ascii="Calibri" w:hAnsi="Calibri"/>
        </w:rPr>
        <w:footnoteRef/>
      </w:r>
      <w:r w:rsidRPr="00464F1A">
        <w:rPr>
          <w:rFonts w:ascii="Calibri" w:hAnsi="Calibri"/>
        </w:rPr>
        <w:t xml:space="preserve"> </w:t>
      </w:r>
      <w:r>
        <w:rPr>
          <w:rFonts w:ascii="Calibri" w:hAnsi="Calibri"/>
        </w:rPr>
        <w:t xml:space="preserve">Rasida Manjoo, </w:t>
      </w:r>
      <w:r w:rsidRPr="007F364C">
        <w:rPr>
          <w:rFonts w:ascii="Calibri" w:hAnsi="Calibri"/>
          <w:i/>
        </w:rPr>
        <w:t>Report of the Special Rapporteur on violence against women, its causes and consequences</w:t>
      </w:r>
      <w:r w:rsidRPr="00464F1A">
        <w:rPr>
          <w:rFonts w:ascii="Calibri" w:hAnsi="Calibri"/>
        </w:rPr>
        <w:t xml:space="preserve">, </w:t>
      </w:r>
      <w:r>
        <w:rPr>
          <w:rFonts w:ascii="Calibri" w:hAnsi="Calibri"/>
        </w:rPr>
        <w:t xml:space="preserve">(14 May 2013) A/HRC/23/49, p. </w:t>
      </w:r>
      <w:r w:rsidRPr="00464F1A">
        <w:rPr>
          <w:rFonts w:ascii="Calibri" w:hAnsi="Calibri"/>
        </w:rPr>
        <w:t xml:space="preserve">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560"/>
    <w:multiLevelType w:val="hybridMultilevel"/>
    <w:tmpl w:val="6A8C0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31B23"/>
    <w:multiLevelType w:val="hybridMultilevel"/>
    <w:tmpl w:val="6548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67BD5"/>
    <w:multiLevelType w:val="hybridMultilevel"/>
    <w:tmpl w:val="F26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315573"/>
    <w:multiLevelType w:val="hybridMultilevel"/>
    <w:tmpl w:val="04B4CB2E"/>
    <w:lvl w:ilvl="0" w:tplc="3C26CC6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62A33A5"/>
    <w:multiLevelType w:val="hybridMultilevel"/>
    <w:tmpl w:val="F94A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A30BB"/>
    <w:multiLevelType w:val="hybridMultilevel"/>
    <w:tmpl w:val="3CAC0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B84214"/>
    <w:multiLevelType w:val="hybridMultilevel"/>
    <w:tmpl w:val="51D250BC"/>
    <w:lvl w:ilvl="0" w:tplc="2D86BF4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F956B64"/>
    <w:multiLevelType w:val="hybridMultilevel"/>
    <w:tmpl w:val="E04091BE"/>
    <w:lvl w:ilvl="0" w:tplc="F4282DB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14C20355"/>
    <w:multiLevelType w:val="hybridMultilevel"/>
    <w:tmpl w:val="6C6E2DC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nsid w:val="16D05B94"/>
    <w:multiLevelType w:val="hybridMultilevel"/>
    <w:tmpl w:val="FA06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9F29BC"/>
    <w:multiLevelType w:val="hybridMultilevel"/>
    <w:tmpl w:val="B550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808BB"/>
    <w:multiLevelType w:val="hybridMultilevel"/>
    <w:tmpl w:val="1A48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613D8"/>
    <w:multiLevelType w:val="hybridMultilevel"/>
    <w:tmpl w:val="CF8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022F2"/>
    <w:multiLevelType w:val="hybridMultilevel"/>
    <w:tmpl w:val="BB9E4498"/>
    <w:lvl w:ilvl="0" w:tplc="0409000F">
      <w:start w:val="1"/>
      <w:numFmt w:val="decimal"/>
      <w:lvlText w:val="%1."/>
      <w:lvlJc w:val="left"/>
      <w:pPr>
        <w:ind w:left="720" w:hanging="360"/>
      </w:pPr>
    </w:lvl>
    <w:lvl w:ilvl="1" w:tplc="FD8ED6DC">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958E6"/>
    <w:multiLevelType w:val="hybridMultilevel"/>
    <w:tmpl w:val="74E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3531F"/>
    <w:multiLevelType w:val="hybridMultilevel"/>
    <w:tmpl w:val="35E27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28647D"/>
    <w:multiLevelType w:val="hybridMultilevel"/>
    <w:tmpl w:val="EA008AFA"/>
    <w:lvl w:ilvl="0" w:tplc="EA986290">
      <w:start w:val="1"/>
      <w:numFmt w:val="upperRoman"/>
      <w:lvlText w:val="%1."/>
      <w:lvlJc w:val="left"/>
      <w:pPr>
        <w:ind w:left="1080" w:hanging="72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8CF1B92"/>
    <w:multiLevelType w:val="hybridMultilevel"/>
    <w:tmpl w:val="DE04E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8">
    <w:nsid w:val="39215FCE"/>
    <w:multiLevelType w:val="hybridMultilevel"/>
    <w:tmpl w:val="66DC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D3D91"/>
    <w:multiLevelType w:val="hybridMultilevel"/>
    <w:tmpl w:val="669244CC"/>
    <w:lvl w:ilvl="0" w:tplc="720225F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EF6243A"/>
    <w:multiLevelType w:val="hybridMultilevel"/>
    <w:tmpl w:val="AC2A4310"/>
    <w:lvl w:ilvl="0" w:tplc="4766975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17B4D39"/>
    <w:multiLevelType w:val="hybridMultilevel"/>
    <w:tmpl w:val="9222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444A4"/>
    <w:multiLevelType w:val="hybridMultilevel"/>
    <w:tmpl w:val="29A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66F41"/>
    <w:multiLevelType w:val="hybridMultilevel"/>
    <w:tmpl w:val="B6E0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E7817"/>
    <w:multiLevelType w:val="hybridMultilevel"/>
    <w:tmpl w:val="58042944"/>
    <w:lvl w:ilvl="0" w:tplc="48DEE3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A163FAF"/>
    <w:multiLevelType w:val="hybridMultilevel"/>
    <w:tmpl w:val="4FFA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E6AF5"/>
    <w:multiLevelType w:val="hybridMultilevel"/>
    <w:tmpl w:val="AA9A6688"/>
    <w:lvl w:ilvl="0" w:tplc="ED1CDAE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5A37C9A"/>
    <w:multiLevelType w:val="hybridMultilevel"/>
    <w:tmpl w:val="DD42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8F5A24"/>
    <w:multiLevelType w:val="hybridMultilevel"/>
    <w:tmpl w:val="DD7C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2B0044"/>
    <w:multiLevelType w:val="hybridMultilevel"/>
    <w:tmpl w:val="E234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D3466B"/>
    <w:multiLevelType w:val="hybridMultilevel"/>
    <w:tmpl w:val="94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6867EA"/>
    <w:multiLevelType w:val="hybridMultilevel"/>
    <w:tmpl w:val="6FBC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F5828"/>
    <w:multiLevelType w:val="hybridMultilevel"/>
    <w:tmpl w:val="ABC42A0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E7589C"/>
    <w:multiLevelType w:val="hybridMultilevel"/>
    <w:tmpl w:val="4F80404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nsid w:val="746E7F10"/>
    <w:multiLevelType w:val="hybridMultilevel"/>
    <w:tmpl w:val="97D2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DD1A81"/>
    <w:multiLevelType w:val="hybridMultilevel"/>
    <w:tmpl w:val="ABC42A0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376EC2"/>
    <w:multiLevelType w:val="hybridMultilevel"/>
    <w:tmpl w:val="59581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5665A"/>
    <w:multiLevelType w:val="hybridMultilevel"/>
    <w:tmpl w:val="D29AF3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nsid w:val="7DB01FD1"/>
    <w:multiLevelType w:val="hybridMultilevel"/>
    <w:tmpl w:val="748E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5B14EB"/>
    <w:multiLevelType w:val="hybridMultilevel"/>
    <w:tmpl w:val="4DA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5"/>
  </w:num>
  <w:num w:numId="4">
    <w:abstractNumId w:val="1"/>
  </w:num>
  <w:num w:numId="5">
    <w:abstractNumId w:val="13"/>
  </w:num>
  <w:num w:numId="6">
    <w:abstractNumId w:val="8"/>
  </w:num>
  <w:num w:numId="7">
    <w:abstractNumId w:val="24"/>
  </w:num>
  <w:num w:numId="8">
    <w:abstractNumId w:val="33"/>
  </w:num>
  <w:num w:numId="9">
    <w:abstractNumId w:val="36"/>
  </w:num>
  <w:num w:numId="10">
    <w:abstractNumId w:val="3"/>
  </w:num>
  <w:num w:numId="11">
    <w:abstractNumId w:val="26"/>
  </w:num>
  <w:num w:numId="12">
    <w:abstractNumId w:val="16"/>
  </w:num>
  <w:num w:numId="13">
    <w:abstractNumId w:val="6"/>
  </w:num>
  <w:num w:numId="14">
    <w:abstractNumId w:val="20"/>
  </w:num>
  <w:num w:numId="15">
    <w:abstractNumId w:val="19"/>
  </w:num>
  <w:num w:numId="16">
    <w:abstractNumId w:val="35"/>
  </w:num>
  <w:num w:numId="17">
    <w:abstractNumId w:val="32"/>
  </w:num>
  <w:num w:numId="18">
    <w:abstractNumId w:val="15"/>
  </w:num>
  <w:num w:numId="19">
    <w:abstractNumId w:val="2"/>
  </w:num>
  <w:num w:numId="20">
    <w:abstractNumId w:val="4"/>
  </w:num>
  <w:num w:numId="21">
    <w:abstractNumId w:val="12"/>
  </w:num>
  <w:num w:numId="22">
    <w:abstractNumId w:val="28"/>
  </w:num>
  <w:num w:numId="23">
    <w:abstractNumId w:val="11"/>
  </w:num>
  <w:num w:numId="24">
    <w:abstractNumId w:val="18"/>
  </w:num>
  <w:num w:numId="25">
    <w:abstractNumId w:val="22"/>
  </w:num>
  <w:num w:numId="26">
    <w:abstractNumId w:val="37"/>
  </w:num>
  <w:num w:numId="27">
    <w:abstractNumId w:val="38"/>
  </w:num>
  <w:num w:numId="28">
    <w:abstractNumId w:val="27"/>
  </w:num>
  <w:num w:numId="29">
    <w:abstractNumId w:val="10"/>
  </w:num>
  <w:num w:numId="30">
    <w:abstractNumId w:val="14"/>
  </w:num>
  <w:num w:numId="31">
    <w:abstractNumId w:val="29"/>
  </w:num>
  <w:num w:numId="32">
    <w:abstractNumId w:val="34"/>
  </w:num>
  <w:num w:numId="33">
    <w:abstractNumId w:val="39"/>
  </w:num>
  <w:num w:numId="34">
    <w:abstractNumId w:val="0"/>
  </w:num>
  <w:num w:numId="35">
    <w:abstractNumId w:val="5"/>
  </w:num>
  <w:num w:numId="36">
    <w:abstractNumId w:val="21"/>
  </w:num>
  <w:num w:numId="37">
    <w:abstractNumId w:val="23"/>
  </w:num>
  <w:num w:numId="38">
    <w:abstractNumId w:val="30"/>
  </w:num>
  <w:num w:numId="39">
    <w:abstractNumId w:val="9"/>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BC"/>
    <w:rsid w:val="00004535"/>
    <w:rsid w:val="0000477C"/>
    <w:rsid w:val="00004951"/>
    <w:rsid w:val="0000718F"/>
    <w:rsid w:val="00010BAF"/>
    <w:rsid w:val="00016800"/>
    <w:rsid w:val="0001706B"/>
    <w:rsid w:val="00017110"/>
    <w:rsid w:val="00017FAB"/>
    <w:rsid w:val="00020F48"/>
    <w:rsid w:val="00021A53"/>
    <w:rsid w:val="00023DAC"/>
    <w:rsid w:val="0002602F"/>
    <w:rsid w:val="0003022A"/>
    <w:rsid w:val="00030718"/>
    <w:rsid w:val="0003228C"/>
    <w:rsid w:val="00033EC2"/>
    <w:rsid w:val="000340B4"/>
    <w:rsid w:val="00034169"/>
    <w:rsid w:val="00041345"/>
    <w:rsid w:val="000500CF"/>
    <w:rsid w:val="000561B7"/>
    <w:rsid w:val="00060DE0"/>
    <w:rsid w:val="000643AB"/>
    <w:rsid w:val="00067A86"/>
    <w:rsid w:val="00071BFC"/>
    <w:rsid w:val="00074910"/>
    <w:rsid w:val="00077EDB"/>
    <w:rsid w:val="00077F2E"/>
    <w:rsid w:val="000813FB"/>
    <w:rsid w:val="00082DB5"/>
    <w:rsid w:val="00083D64"/>
    <w:rsid w:val="000852AC"/>
    <w:rsid w:val="00087097"/>
    <w:rsid w:val="00091127"/>
    <w:rsid w:val="00097349"/>
    <w:rsid w:val="000976C3"/>
    <w:rsid w:val="000A0617"/>
    <w:rsid w:val="000A1EA1"/>
    <w:rsid w:val="000A2156"/>
    <w:rsid w:val="000A3B73"/>
    <w:rsid w:val="000A5153"/>
    <w:rsid w:val="000A59EF"/>
    <w:rsid w:val="000A7388"/>
    <w:rsid w:val="000B2E6D"/>
    <w:rsid w:val="000B516A"/>
    <w:rsid w:val="000B6204"/>
    <w:rsid w:val="000B6510"/>
    <w:rsid w:val="000C5A16"/>
    <w:rsid w:val="000D6256"/>
    <w:rsid w:val="000D6C7D"/>
    <w:rsid w:val="000E091F"/>
    <w:rsid w:val="000E1FCD"/>
    <w:rsid w:val="000E25B2"/>
    <w:rsid w:val="000E4B5D"/>
    <w:rsid w:val="000E6342"/>
    <w:rsid w:val="000E78A5"/>
    <w:rsid w:val="000F023A"/>
    <w:rsid w:val="000F100C"/>
    <w:rsid w:val="000F406A"/>
    <w:rsid w:val="000F530A"/>
    <w:rsid w:val="000F5A4E"/>
    <w:rsid w:val="000F6CD9"/>
    <w:rsid w:val="000F7431"/>
    <w:rsid w:val="00101133"/>
    <w:rsid w:val="001031A6"/>
    <w:rsid w:val="00105894"/>
    <w:rsid w:val="0011081A"/>
    <w:rsid w:val="001109DA"/>
    <w:rsid w:val="00112000"/>
    <w:rsid w:val="00115686"/>
    <w:rsid w:val="00115F49"/>
    <w:rsid w:val="00116007"/>
    <w:rsid w:val="00116BDF"/>
    <w:rsid w:val="00120146"/>
    <w:rsid w:val="001222F4"/>
    <w:rsid w:val="00123EE1"/>
    <w:rsid w:val="001246AC"/>
    <w:rsid w:val="001246ED"/>
    <w:rsid w:val="00126B2E"/>
    <w:rsid w:val="001369EE"/>
    <w:rsid w:val="00136AB0"/>
    <w:rsid w:val="00136FA0"/>
    <w:rsid w:val="00143162"/>
    <w:rsid w:val="00143470"/>
    <w:rsid w:val="00145704"/>
    <w:rsid w:val="00151500"/>
    <w:rsid w:val="001522DF"/>
    <w:rsid w:val="00154689"/>
    <w:rsid w:val="001611F0"/>
    <w:rsid w:val="00166E4C"/>
    <w:rsid w:val="00167157"/>
    <w:rsid w:val="001677EE"/>
    <w:rsid w:val="001751B5"/>
    <w:rsid w:val="00175D4C"/>
    <w:rsid w:val="00175F42"/>
    <w:rsid w:val="0017720C"/>
    <w:rsid w:val="0018099D"/>
    <w:rsid w:val="00184C76"/>
    <w:rsid w:val="00191504"/>
    <w:rsid w:val="00194BCA"/>
    <w:rsid w:val="001952B9"/>
    <w:rsid w:val="00195976"/>
    <w:rsid w:val="001A1021"/>
    <w:rsid w:val="001A1CC2"/>
    <w:rsid w:val="001A1E89"/>
    <w:rsid w:val="001A2527"/>
    <w:rsid w:val="001A643D"/>
    <w:rsid w:val="001A6D91"/>
    <w:rsid w:val="001B0742"/>
    <w:rsid w:val="001B48B3"/>
    <w:rsid w:val="001B4D62"/>
    <w:rsid w:val="001B69CA"/>
    <w:rsid w:val="001B6F53"/>
    <w:rsid w:val="001B752A"/>
    <w:rsid w:val="001D05E5"/>
    <w:rsid w:val="001D0F5F"/>
    <w:rsid w:val="001D3060"/>
    <w:rsid w:val="001D4198"/>
    <w:rsid w:val="001D4F71"/>
    <w:rsid w:val="001D6B5B"/>
    <w:rsid w:val="001D7D00"/>
    <w:rsid w:val="001E0A2A"/>
    <w:rsid w:val="001E1E14"/>
    <w:rsid w:val="001E6AEC"/>
    <w:rsid w:val="001E6F6C"/>
    <w:rsid w:val="001F02FE"/>
    <w:rsid w:val="001F4318"/>
    <w:rsid w:val="001F7D9B"/>
    <w:rsid w:val="001F7E33"/>
    <w:rsid w:val="0020207B"/>
    <w:rsid w:val="00204652"/>
    <w:rsid w:val="00206130"/>
    <w:rsid w:val="00207703"/>
    <w:rsid w:val="00211F9F"/>
    <w:rsid w:val="00213B17"/>
    <w:rsid w:val="00213F5E"/>
    <w:rsid w:val="00216755"/>
    <w:rsid w:val="002214C5"/>
    <w:rsid w:val="00221D3D"/>
    <w:rsid w:val="00222781"/>
    <w:rsid w:val="00225C4F"/>
    <w:rsid w:val="00226FED"/>
    <w:rsid w:val="00227497"/>
    <w:rsid w:val="00227B46"/>
    <w:rsid w:val="00227EE8"/>
    <w:rsid w:val="00231F15"/>
    <w:rsid w:val="00236026"/>
    <w:rsid w:val="00241F65"/>
    <w:rsid w:val="00241F68"/>
    <w:rsid w:val="00243BE2"/>
    <w:rsid w:val="00245277"/>
    <w:rsid w:val="00245F98"/>
    <w:rsid w:val="00246868"/>
    <w:rsid w:val="00247B0C"/>
    <w:rsid w:val="00247D34"/>
    <w:rsid w:val="00250AC6"/>
    <w:rsid w:val="0025212C"/>
    <w:rsid w:val="00254256"/>
    <w:rsid w:val="002565C4"/>
    <w:rsid w:val="002603B2"/>
    <w:rsid w:val="0026176D"/>
    <w:rsid w:val="00262E65"/>
    <w:rsid w:val="00263198"/>
    <w:rsid w:val="00265C8E"/>
    <w:rsid w:val="00267552"/>
    <w:rsid w:val="00267A22"/>
    <w:rsid w:val="00273F77"/>
    <w:rsid w:val="00276BE6"/>
    <w:rsid w:val="0027716C"/>
    <w:rsid w:val="00280629"/>
    <w:rsid w:val="002826E5"/>
    <w:rsid w:val="002827AD"/>
    <w:rsid w:val="0028281F"/>
    <w:rsid w:val="002837F4"/>
    <w:rsid w:val="00284032"/>
    <w:rsid w:val="00287D42"/>
    <w:rsid w:val="00287EFE"/>
    <w:rsid w:val="00291C53"/>
    <w:rsid w:val="00293648"/>
    <w:rsid w:val="002937FA"/>
    <w:rsid w:val="00294A21"/>
    <w:rsid w:val="002958D3"/>
    <w:rsid w:val="002A0039"/>
    <w:rsid w:val="002A1C0D"/>
    <w:rsid w:val="002A2761"/>
    <w:rsid w:val="002A4CAD"/>
    <w:rsid w:val="002B069A"/>
    <w:rsid w:val="002B3814"/>
    <w:rsid w:val="002B3CE1"/>
    <w:rsid w:val="002B6CFC"/>
    <w:rsid w:val="002B700B"/>
    <w:rsid w:val="002C24D1"/>
    <w:rsid w:val="002C30B7"/>
    <w:rsid w:val="002C5F5F"/>
    <w:rsid w:val="002C7E3C"/>
    <w:rsid w:val="002D0031"/>
    <w:rsid w:val="002D1918"/>
    <w:rsid w:val="002D2D72"/>
    <w:rsid w:val="002D38C7"/>
    <w:rsid w:val="002D4622"/>
    <w:rsid w:val="002D76F7"/>
    <w:rsid w:val="002E0E22"/>
    <w:rsid w:val="002E4178"/>
    <w:rsid w:val="002F1AA6"/>
    <w:rsid w:val="002F3FF9"/>
    <w:rsid w:val="002F44E4"/>
    <w:rsid w:val="002F55AB"/>
    <w:rsid w:val="002F5EDA"/>
    <w:rsid w:val="002F64B9"/>
    <w:rsid w:val="002F7691"/>
    <w:rsid w:val="00300A27"/>
    <w:rsid w:val="00300BB3"/>
    <w:rsid w:val="003023D2"/>
    <w:rsid w:val="0030348A"/>
    <w:rsid w:val="0030394A"/>
    <w:rsid w:val="00305C80"/>
    <w:rsid w:val="00306718"/>
    <w:rsid w:val="00310376"/>
    <w:rsid w:val="003110AA"/>
    <w:rsid w:val="0031188C"/>
    <w:rsid w:val="003228DE"/>
    <w:rsid w:val="00322930"/>
    <w:rsid w:val="00327141"/>
    <w:rsid w:val="00327D58"/>
    <w:rsid w:val="00330B5B"/>
    <w:rsid w:val="003323CB"/>
    <w:rsid w:val="00332D26"/>
    <w:rsid w:val="003330F3"/>
    <w:rsid w:val="003353C6"/>
    <w:rsid w:val="00340738"/>
    <w:rsid w:val="003454F2"/>
    <w:rsid w:val="00345832"/>
    <w:rsid w:val="00350E67"/>
    <w:rsid w:val="00353635"/>
    <w:rsid w:val="00353E20"/>
    <w:rsid w:val="00357CF7"/>
    <w:rsid w:val="0036081E"/>
    <w:rsid w:val="0036104B"/>
    <w:rsid w:val="0036443C"/>
    <w:rsid w:val="00367518"/>
    <w:rsid w:val="00370064"/>
    <w:rsid w:val="00370DC0"/>
    <w:rsid w:val="003720F4"/>
    <w:rsid w:val="0037328A"/>
    <w:rsid w:val="003741BB"/>
    <w:rsid w:val="003742A9"/>
    <w:rsid w:val="0037437B"/>
    <w:rsid w:val="00382197"/>
    <w:rsid w:val="00382343"/>
    <w:rsid w:val="00382383"/>
    <w:rsid w:val="003829A3"/>
    <w:rsid w:val="00382F80"/>
    <w:rsid w:val="003867EE"/>
    <w:rsid w:val="00387481"/>
    <w:rsid w:val="00390878"/>
    <w:rsid w:val="003925C2"/>
    <w:rsid w:val="00393698"/>
    <w:rsid w:val="00394E56"/>
    <w:rsid w:val="00396B07"/>
    <w:rsid w:val="003976F2"/>
    <w:rsid w:val="003A0FE3"/>
    <w:rsid w:val="003A2924"/>
    <w:rsid w:val="003A2DDE"/>
    <w:rsid w:val="003A629D"/>
    <w:rsid w:val="003B2327"/>
    <w:rsid w:val="003B2F09"/>
    <w:rsid w:val="003B318B"/>
    <w:rsid w:val="003B55B0"/>
    <w:rsid w:val="003B6091"/>
    <w:rsid w:val="003B622B"/>
    <w:rsid w:val="003B6A14"/>
    <w:rsid w:val="003C10BB"/>
    <w:rsid w:val="003C2297"/>
    <w:rsid w:val="003C38FC"/>
    <w:rsid w:val="003C40D4"/>
    <w:rsid w:val="003D792C"/>
    <w:rsid w:val="003F055E"/>
    <w:rsid w:val="003F0DFF"/>
    <w:rsid w:val="003F32C3"/>
    <w:rsid w:val="003F5D03"/>
    <w:rsid w:val="003F5EE4"/>
    <w:rsid w:val="003F6C59"/>
    <w:rsid w:val="003F6FD2"/>
    <w:rsid w:val="00406EB7"/>
    <w:rsid w:val="004074B8"/>
    <w:rsid w:val="004112D1"/>
    <w:rsid w:val="00413E63"/>
    <w:rsid w:val="00414161"/>
    <w:rsid w:val="00415DA2"/>
    <w:rsid w:val="00420370"/>
    <w:rsid w:val="00421C5E"/>
    <w:rsid w:val="004222CA"/>
    <w:rsid w:val="00423A81"/>
    <w:rsid w:val="004273D6"/>
    <w:rsid w:val="00427695"/>
    <w:rsid w:val="00433C50"/>
    <w:rsid w:val="00434026"/>
    <w:rsid w:val="004348F7"/>
    <w:rsid w:val="00434E8E"/>
    <w:rsid w:val="00435593"/>
    <w:rsid w:val="00437A38"/>
    <w:rsid w:val="004415F6"/>
    <w:rsid w:val="00445830"/>
    <w:rsid w:val="00445B87"/>
    <w:rsid w:val="0044651F"/>
    <w:rsid w:val="00446819"/>
    <w:rsid w:val="00451270"/>
    <w:rsid w:val="00452225"/>
    <w:rsid w:val="004538A0"/>
    <w:rsid w:val="00454137"/>
    <w:rsid w:val="00461362"/>
    <w:rsid w:val="004633B4"/>
    <w:rsid w:val="00464F1A"/>
    <w:rsid w:val="00466F23"/>
    <w:rsid w:val="004671D4"/>
    <w:rsid w:val="004672C3"/>
    <w:rsid w:val="00471761"/>
    <w:rsid w:val="004722B9"/>
    <w:rsid w:val="00472DA2"/>
    <w:rsid w:val="00473EE5"/>
    <w:rsid w:val="00483893"/>
    <w:rsid w:val="004839CF"/>
    <w:rsid w:val="00484813"/>
    <w:rsid w:val="004849D9"/>
    <w:rsid w:val="0048790D"/>
    <w:rsid w:val="00490269"/>
    <w:rsid w:val="004910C7"/>
    <w:rsid w:val="00493812"/>
    <w:rsid w:val="004953A8"/>
    <w:rsid w:val="004A2AE7"/>
    <w:rsid w:val="004A47CB"/>
    <w:rsid w:val="004A73A6"/>
    <w:rsid w:val="004A7A4C"/>
    <w:rsid w:val="004B039A"/>
    <w:rsid w:val="004B6514"/>
    <w:rsid w:val="004C0678"/>
    <w:rsid w:val="004C0E4E"/>
    <w:rsid w:val="004C61FE"/>
    <w:rsid w:val="004C683D"/>
    <w:rsid w:val="004D0432"/>
    <w:rsid w:val="004D0DC2"/>
    <w:rsid w:val="004D3EBC"/>
    <w:rsid w:val="004D4641"/>
    <w:rsid w:val="004D5726"/>
    <w:rsid w:val="004D7254"/>
    <w:rsid w:val="004E11AB"/>
    <w:rsid w:val="004E5CB0"/>
    <w:rsid w:val="004E5EBC"/>
    <w:rsid w:val="004F1CA3"/>
    <w:rsid w:val="004F1FE6"/>
    <w:rsid w:val="004F22FF"/>
    <w:rsid w:val="004F255A"/>
    <w:rsid w:val="00504B25"/>
    <w:rsid w:val="005062A7"/>
    <w:rsid w:val="005076AE"/>
    <w:rsid w:val="00510B56"/>
    <w:rsid w:val="005135B6"/>
    <w:rsid w:val="005138CA"/>
    <w:rsid w:val="00515F65"/>
    <w:rsid w:val="00517287"/>
    <w:rsid w:val="005178A1"/>
    <w:rsid w:val="00517B20"/>
    <w:rsid w:val="00520942"/>
    <w:rsid w:val="005253A3"/>
    <w:rsid w:val="00530F89"/>
    <w:rsid w:val="00531259"/>
    <w:rsid w:val="00541DBC"/>
    <w:rsid w:val="00541F2C"/>
    <w:rsid w:val="00542373"/>
    <w:rsid w:val="0054346E"/>
    <w:rsid w:val="0054600C"/>
    <w:rsid w:val="005460C4"/>
    <w:rsid w:val="0054626D"/>
    <w:rsid w:val="00551F8F"/>
    <w:rsid w:val="005601A5"/>
    <w:rsid w:val="00561836"/>
    <w:rsid w:val="005657CC"/>
    <w:rsid w:val="0056786F"/>
    <w:rsid w:val="005712BE"/>
    <w:rsid w:val="00572C4B"/>
    <w:rsid w:val="0057422E"/>
    <w:rsid w:val="00583713"/>
    <w:rsid w:val="005857C6"/>
    <w:rsid w:val="00585A4D"/>
    <w:rsid w:val="00592DA3"/>
    <w:rsid w:val="0059378F"/>
    <w:rsid w:val="00593E95"/>
    <w:rsid w:val="00594E05"/>
    <w:rsid w:val="005966CE"/>
    <w:rsid w:val="005A1CE7"/>
    <w:rsid w:val="005A5A22"/>
    <w:rsid w:val="005A5F20"/>
    <w:rsid w:val="005A77DB"/>
    <w:rsid w:val="005B0FD0"/>
    <w:rsid w:val="005B2622"/>
    <w:rsid w:val="005B2CAB"/>
    <w:rsid w:val="005B34C3"/>
    <w:rsid w:val="005B3E02"/>
    <w:rsid w:val="005B3F8A"/>
    <w:rsid w:val="005B6F7B"/>
    <w:rsid w:val="005C41BB"/>
    <w:rsid w:val="005C68CA"/>
    <w:rsid w:val="005D338C"/>
    <w:rsid w:val="005D697C"/>
    <w:rsid w:val="005E0CA5"/>
    <w:rsid w:val="005E495D"/>
    <w:rsid w:val="005E4AD1"/>
    <w:rsid w:val="005E4E28"/>
    <w:rsid w:val="005E5EF8"/>
    <w:rsid w:val="005E6446"/>
    <w:rsid w:val="005E76A5"/>
    <w:rsid w:val="005F1E16"/>
    <w:rsid w:val="005F20A5"/>
    <w:rsid w:val="005F6832"/>
    <w:rsid w:val="005F6BBD"/>
    <w:rsid w:val="005F7613"/>
    <w:rsid w:val="00600491"/>
    <w:rsid w:val="006030F2"/>
    <w:rsid w:val="0060675F"/>
    <w:rsid w:val="006121F6"/>
    <w:rsid w:val="00612538"/>
    <w:rsid w:val="00612C55"/>
    <w:rsid w:val="00616F81"/>
    <w:rsid w:val="006171DA"/>
    <w:rsid w:val="00621585"/>
    <w:rsid w:val="00622072"/>
    <w:rsid w:val="00623568"/>
    <w:rsid w:val="006251E3"/>
    <w:rsid w:val="00627211"/>
    <w:rsid w:val="00630096"/>
    <w:rsid w:val="00633386"/>
    <w:rsid w:val="00634326"/>
    <w:rsid w:val="00634446"/>
    <w:rsid w:val="00641480"/>
    <w:rsid w:val="0064555C"/>
    <w:rsid w:val="006467AF"/>
    <w:rsid w:val="0065315A"/>
    <w:rsid w:val="006614E5"/>
    <w:rsid w:val="00667032"/>
    <w:rsid w:val="006671E8"/>
    <w:rsid w:val="006701DA"/>
    <w:rsid w:val="00671735"/>
    <w:rsid w:val="00673A0E"/>
    <w:rsid w:val="00677D96"/>
    <w:rsid w:val="00680EA2"/>
    <w:rsid w:val="00681A7E"/>
    <w:rsid w:val="006822E2"/>
    <w:rsid w:val="0068357D"/>
    <w:rsid w:val="00690142"/>
    <w:rsid w:val="00692895"/>
    <w:rsid w:val="0069473D"/>
    <w:rsid w:val="00697558"/>
    <w:rsid w:val="00697EE1"/>
    <w:rsid w:val="006A0A62"/>
    <w:rsid w:val="006A4747"/>
    <w:rsid w:val="006A5CC8"/>
    <w:rsid w:val="006A61A4"/>
    <w:rsid w:val="006B02AF"/>
    <w:rsid w:val="006B29FC"/>
    <w:rsid w:val="006B42F0"/>
    <w:rsid w:val="006C1167"/>
    <w:rsid w:val="006C1717"/>
    <w:rsid w:val="006C17A9"/>
    <w:rsid w:val="006C491F"/>
    <w:rsid w:val="006C560E"/>
    <w:rsid w:val="006C60E3"/>
    <w:rsid w:val="006C6C79"/>
    <w:rsid w:val="006D3605"/>
    <w:rsid w:val="006D4F1C"/>
    <w:rsid w:val="006E21AB"/>
    <w:rsid w:val="006E35CE"/>
    <w:rsid w:val="006E63EF"/>
    <w:rsid w:val="006F06B3"/>
    <w:rsid w:val="006F09A2"/>
    <w:rsid w:val="006F304B"/>
    <w:rsid w:val="006F35AD"/>
    <w:rsid w:val="006F5F08"/>
    <w:rsid w:val="006F6011"/>
    <w:rsid w:val="006F6B7D"/>
    <w:rsid w:val="00702131"/>
    <w:rsid w:val="007050A4"/>
    <w:rsid w:val="007114F0"/>
    <w:rsid w:val="00711969"/>
    <w:rsid w:val="007125C2"/>
    <w:rsid w:val="007125F7"/>
    <w:rsid w:val="007138F0"/>
    <w:rsid w:val="007143F1"/>
    <w:rsid w:val="007178D5"/>
    <w:rsid w:val="00721BD0"/>
    <w:rsid w:val="00723F4F"/>
    <w:rsid w:val="00725F72"/>
    <w:rsid w:val="00726524"/>
    <w:rsid w:val="00731A16"/>
    <w:rsid w:val="00735C5C"/>
    <w:rsid w:val="00736345"/>
    <w:rsid w:val="00737F90"/>
    <w:rsid w:val="0075428A"/>
    <w:rsid w:val="00764569"/>
    <w:rsid w:val="00765944"/>
    <w:rsid w:val="00766FAE"/>
    <w:rsid w:val="007702A3"/>
    <w:rsid w:val="00770EEC"/>
    <w:rsid w:val="00772635"/>
    <w:rsid w:val="00773F80"/>
    <w:rsid w:val="00781184"/>
    <w:rsid w:val="00784768"/>
    <w:rsid w:val="00785539"/>
    <w:rsid w:val="00786688"/>
    <w:rsid w:val="00787009"/>
    <w:rsid w:val="00787CA7"/>
    <w:rsid w:val="00791788"/>
    <w:rsid w:val="00793A76"/>
    <w:rsid w:val="00793F4F"/>
    <w:rsid w:val="007949A5"/>
    <w:rsid w:val="00794B9C"/>
    <w:rsid w:val="007A174D"/>
    <w:rsid w:val="007A60C9"/>
    <w:rsid w:val="007A71C0"/>
    <w:rsid w:val="007A7F07"/>
    <w:rsid w:val="007B136D"/>
    <w:rsid w:val="007B31DF"/>
    <w:rsid w:val="007B36D3"/>
    <w:rsid w:val="007B54BE"/>
    <w:rsid w:val="007B62FB"/>
    <w:rsid w:val="007C4520"/>
    <w:rsid w:val="007C4AC3"/>
    <w:rsid w:val="007C5C8E"/>
    <w:rsid w:val="007C74FB"/>
    <w:rsid w:val="007D283C"/>
    <w:rsid w:val="007D2B78"/>
    <w:rsid w:val="007D3ED3"/>
    <w:rsid w:val="007D4A82"/>
    <w:rsid w:val="007D6A82"/>
    <w:rsid w:val="007E1297"/>
    <w:rsid w:val="007E1E7A"/>
    <w:rsid w:val="007F2A73"/>
    <w:rsid w:val="007F364C"/>
    <w:rsid w:val="007F4F7D"/>
    <w:rsid w:val="007F7974"/>
    <w:rsid w:val="0080220E"/>
    <w:rsid w:val="00803C23"/>
    <w:rsid w:val="0080458B"/>
    <w:rsid w:val="00805415"/>
    <w:rsid w:val="00806673"/>
    <w:rsid w:val="0080751A"/>
    <w:rsid w:val="008148BE"/>
    <w:rsid w:val="00817818"/>
    <w:rsid w:val="00820159"/>
    <w:rsid w:val="00821A24"/>
    <w:rsid w:val="0082288E"/>
    <w:rsid w:val="00826B2D"/>
    <w:rsid w:val="00830126"/>
    <w:rsid w:val="00830AFB"/>
    <w:rsid w:val="0083288A"/>
    <w:rsid w:val="008348E8"/>
    <w:rsid w:val="00836BF8"/>
    <w:rsid w:val="00836DAC"/>
    <w:rsid w:val="00841987"/>
    <w:rsid w:val="00847B80"/>
    <w:rsid w:val="00847CB2"/>
    <w:rsid w:val="0085002D"/>
    <w:rsid w:val="00856836"/>
    <w:rsid w:val="00862DA4"/>
    <w:rsid w:val="0086330F"/>
    <w:rsid w:val="00865EA7"/>
    <w:rsid w:val="00873A04"/>
    <w:rsid w:val="008741F5"/>
    <w:rsid w:val="00874314"/>
    <w:rsid w:val="00875FEE"/>
    <w:rsid w:val="00876CC8"/>
    <w:rsid w:val="00880D6D"/>
    <w:rsid w:val="008932CA"/>
    <w:rsid w:val="00893B51"/>
    <w:rsid w:val="008A2310"/>
    <w:rsid w:val="008B30D2"/>
    <w:rsid w:val="008B328E"/>
    <w:rsid w:val="008B50A8"/>
    <w:rsid w:val="008B5F1C"/>
    <w:rsid w:val="008B66A0"/>
    <w:rsid w:val="008B6E37"/>
    <w:rsid w:val="008C07E3"/>
    <w:rsid w:val="008C15E2"/>
    <w:rsid w:val="008C2DA1"/>
    <w:rsid w:val="008C37EF"/>
    <w:rsid w:val="008C46F9"/>
    <w:rsid w:val="008C5F9D"/>
    <w:rsid w:val="008D2530"/>
    <w:rsid w:val="008D35DB"/>
    <w:rsid w:val="008D4BBE"/>
    <w:rsid w:val="008D4C60"/>
    <w:rsid w:val="008D5488"/>
    <w:rsid w:val="008D6448"/>
    <w:rsid w:val="008D7D6C"/>
    <w:rsid w:val="008E1C19"/>
    <w:rsid w:val="008E21C9"/>
    <w:rsid w:val="008E2EA9"/>
    <w:rsid w:val="008E6710"/>
    <w:rsid w:val="008E73F0"/>
    <w:rsid w:val="008F348A"/>
    <w:rsid w:val="008F40C1"/>
    <w:rsid w:val="008F4727"/>
    <w:rsid w:val="008F4AC7"/>
    <w:rsid w:val="008F543A"/>
    <w:rsid w:val="008F77DB"/>
    <w:rsid w:val="0090438F"/>
    <w:rsid w:val="009046B5"/>
    <w:rsid w:val="00905B20"/>
    <w:rsid w:val="00905F75"/>
    <w:rsid w:val="00907142"/>
    <w:rsid w:val="009075AA"/>
    <w:rsid w:val="00912347"/>
    <w:rsid w:val="009139C5"/>
    <w:rsid w:val="00914DD0"/>
    <w:rsid w:val="009227D0"/>
    <w:rsid w:val="00926AEB"/>
    <w:rsid w:val="0093343D"/>
    <w:rsid w:val="00933E05"/>
    <w:rsid w:val="00933E3D"/>
    <w:rsid w:val="00936588"/>
    <w:rsid w:val="009419B2"/>
    <w:rsid w:val="009420B0"/>
    <w:rsid w:val="00942D4B"/>
    <w:rsid w:val="00944E2A"/>
    <w:rsid w:val="00945579"/>
    <w:rsid w:val="009456B1"/>
    <w:rsid w:val="00945E71"/>
    <w:rsid w:val="009473CF"/>
    <w:rsid w:val="00954E95"/>
    <w:rsid w:val="009559AD"/>
    <w:rsid w:val="009565DB"/>
    <w:rsid w:val="00957206"/>
    <w:rsid w:val="009576A7"/>
    <w:rsid w:val="0095770D"/>
    <w:rsid w:val="0095795F"/>
    <w:rsid w:val="00957C2B"/>
    <w:rsid w:val="00957E0D"/>
    <w:rsid w:val="0096133E"/>
    <w:rsid w:val="00962448"/>
    <w:rsid w:val="00965E4D"/>
    <w:rsid w:val="00967A87"/>
    <w:rsid w:val="009712BA"/>
    <w:rsid w:val="009726A9"/>
    <w:rsid w:val="0097569B"/>
    <w:rsid w:val="00975ACE"/>
    <w:rsid w:val="0098062C"/>
    <w:rsid w:val="00984850"/>
    <w:rsid w:val="00984B89"/>
    <w:rsid w:val="0098580C"/>
    <w:rsid w:val="00985EAF"/>
    <w:rsid w:val="00993394"/>
    <w:rsid w:val="00997132"/>
    <w:rsid w:val="009A257C"/>
    <w:rsid w:val="009A472E"/>
    <w:rsid w:val="009A5909"/>
    <w:rsid w:val="009B1F73"/>
    <w:rsid w:val="009B2C34"/>
    <w:rsid w:val="009B442B"/>
    <w:rsid w:val="009B4F5D"/>
    <w:rsid w:val="009C1453"/>
    <w:rsid w:val="009C3188"/>
    <w:rsid w:val="009C376F"/>
    <w:rsid w:val="009C3ABB"/>
    <w:rsid w:val="009C4D86"/>
    <w:rsid w:val="009C7F2E"/>
    <w:rsid w:val="009D1B43"/>
    <w:rsid w:val="009D2C3B"/>
    <w:rsid w:val="009D5E97"/>
    <w:rsid w:val="009D5FC7"/>
    <w:rsid w:val="009D6102"/>
    <w:rsid w:val="009E0ADC"/>
    <w:rsid w:val="009E3E6A"/>
    <w:rsid w:val="009E521D"/>
    <w:rsid w:val="009E6219"/>
    <w:rsid w:val="009F33EC"/>
    <w:rsid w:val="009F3AF0"/>
    <w:rsid w:val="009F4A90"/>
    <w:rsid w:val="009F5984"/>
    <w:rsid w:val="00A00360"/>
    <w:rsid w:val="00A00A54"/>
    <w:rsid w:val="00A02A0D"/>
    <w:rsid w:val="00A03D77"/>
    <w:rsid w:val="00A0415C"/>
    <w:rsid w:val="00A072CA"/>
    <w:rsid w:val="00A07332"/>
    <w:rsid w:val="00A13544"/>
    <w:rsid w:val="00A1614F"/>
    <w:rsid w:val="00A166B1"/>
    <w:rsid w:val="00A1755F"/>
    <w:rsid w:val="00A21C98"/>
    <w:rsid w:val="00A22666"/>
    <w:rsid w:val="00A27E5A"/>
    <w:rsid w:val="00A33528"/>
    <w:rsid w:val="00A33A47"/>
    <w:rsid w:val="00A34752"/>
    <w:rsid w:val="00A34B66"/>
    <w:rsid w:val="00A35147"/>
    <w:rsid w:val="00A37317"/>
    <w:rsid w:val="00A4217A"/>
    <w:rsid w:val="00A46D3E"/>
    <w:rsid w:val="00A545D3"/>
    <w:rsid w:val="00A55FED"/>
    <w:rsid w:val="00A61E6C"/>
    <w:rsid w:val="00A6205A"/>
    <w:rsid w:val="00A6225E"/>
    <w:rsid w:val="00A63180"/>
    <w:rsid w:val="00A647D3"/>
    <w:rsid w:val="00A649BD"/>
    <w:rsid w:val="00A65342"/>
    <w:rsid w:val="00A667CB"/>
    <w:rsid w:val="00A66D34"/>
    <w:rsid w:val="00A7184C"/>
    <w:rsid w:val="00A71CF6"/>
    <w:rsid w:val="00A731BE"/>
    <w:rsid w:val="00A77256"/>
    <w:rsid w:val="00A80725"/>
    <w:rsid w:val="00A80990"/>
    <w:rsid w:val="00A82B7A"/>
    <w:rsid w:val="00A849B4"/>
    <w:rsid w:val="00A85AED"/>
    <w:rsid w:val="00A85B67"/>
    <w:rsid w:val="00A86C23"/>
    <w:rsid w:val="00A8745D"/>
    <w:rsid w:val="00A87520"/>
    <w:rsid w:val="00A87A6F"/>
    <w:rsid w:val="00A90ED0"/>
    <w:rsid w:val="00A91B40"/>
    <w:rsid w:val="00A91F3E"/>
    <w:rsid w:val="00A94714"/>
    <w:rsid w:val="00A96B6F"/>
    <w:rsid w:val="00A97303"/>
    <w:rsid w:val="00A9732A"/>
    <w:rsid w:val="00AA20F1"/>
    <w:rsid w:val="00AA3FA5"/>
    <w:rsid w:val="00AA58F4"/>
    <w:rsid w:val="00AB47DC"/>
    <w:rsid w:val="00AB7FAF"/>
    <w:rsid w:val="00AC1ED9"/>
    <w:rsid w:val="00AC27C7"/>
    <w:rsid w:val="00AC2C21"/>
    <w:rsid w:val="00AC36D1"/>
    <w:rsid w:val="00AC418B"/>
    <w:rsid w:val="00AC649F"/>
    <w:rsid w:val="00AD36FC"/>
    <w:rsid w:val="00AD5ED7"/>
    <w:rsid w:val="00AD6EE6"/>
    <w:rsid w:val="00AD7653"/>
    <w:rsid w:val="00AE4168"/>
    <w:rsid w:val="00AE4A1C"/>
    <w:rsid w:val="00AE4CA0"/>
    <w:rsid w:val="00AE57C8"/>
    <w:rsid w:val="00AE5A75"/>
    <w:rsid w:val="00AE5EE1"/>
    <w:rsid w:val="00AE7330"/>
    <w:rsid w:val="00AE75D5"/>
    <w:rsid w:val="00AF0B63"/>
    <w:rsid w:val="00AF5015"/>
    <w:rsid w:val="00AF7417"/>
    <w:rsid w:val="00AF7F0B"/>
    <w:rsid w:val="00B00BCE"/>
    <w:rsid w:val="00B018B6"/>
    <w:rsid w:val="00B01F44"/>
    <w:rsid w:val="00B03662"/>
    <w:rsid w:val="00B05609"/>
    <w:rsid w:val="00B06291"/>
    <w:rsid w:val="00B107F5"/>
    <w:rsid w:val="00B11E20"/>
    <w:rsid w:val="00B148B8"/>
    <w:rsid w:val="00B14F22"/>
    <w:rsid w:val="00B1672D"/>
    <w:rsid w:val="00B20E26"/>
    <w:rsid w:val="00B22C5F"/>
    <w:rsid w:val="00B2494C"/>
    <w:rsid w:val="00B24B9E"/>
    <w:rsid w:val="00B25492"/>
    <w:rsid w:val="00B26BB2"/>
    <w:rsid w:val="00B27D2A"/>
    <w:rsid w:val="00B314E1"/>
    <w:rsid w:val="00B31C95"/>
    <w:rsid w:val="00B321C9"/>
    <w:rsid w:val="00B33577"/>
    <w:rsid w:val="00B35F4E"/>
    <w:rsid w:val="00B36A3E"/>
    <w:rsid w:val="00B42DB6"/>
    <w:rsid w:val="00B4794B"/>
    <w:rsid w:val="00B53EA1"/>
    <w:rsid w:val="00B55114"/>
    <w:rsid w:val="00B56133"/>
    <w:rsid w:val="00B63151"/>
    <w:rsid w:val="00B66B32"/>
    <w:rsid w:val="00B705DF"/>
    <w:rsid w:val="00B71A70"/>
    <w:rsid w:val="00B721A4"/>
    <w:rsid w:val="00B72C09"/>
    <w:rsid w:val="00B73AFD"/>
    <w:rsid w:val="00B77327"/>
    <w:rsid w:val="00B77924"/>
    <w:rsid w:val="00B84CCF"/>
    <w:rsid w:val="00B91027"/>
    <w:rsid w:val="00B91E47"/>
    <w:rsid w:val="00B93C71"/>
    <w:rsid w:val="00B95A35"/>
    <w:rsid w:val="00B97296"/>
    <w:rsid w:val="00BA1663"/>
    <w:rsid w:val="00BA19C0"/>
    <w:rsid w:val="00BA2AB2"/>
    <w:rsid w:val="00BA47CC"/>
    <w:rsid w:val="00BA6D8F"/>
    <w:rsid w:val="00BA7F27"/>
    <w:rsid w:val="00BB082D"/>
    <w:rsid w:val="00BB0CEB"/>
    <w:rsid w:val="00BB71B2"/>
    <w:rsid w:val="00BC2C39"/>
    <w:rsid w:val="00BC4E3E"/>
    <w:rsid w:val="00BD0207"/>
    <w:rsid w:val="00BD3456"/>
    <w:rsid w:val="00BD4193"/>
    <w:rsid w:val="00BD66EF"/>
    <w:rsid w:val="00BD7226"/>
    <w:rsid w:val="00BE1A86"/>
    <w:rsid w:val="00BE2A97"/>
    <w:rsid w:val="00BE6DED"/>
    <w:rsid w:val="00BE7662"/>
    <w:rsid w:val="00BF170C"/>
    <w:rsid w:val="00BF5667"/>
    <w:rsid w:val="00BF67AE"/>
    <w:rsid w:val="00BF688A"/>
    <w:rsid w:val="00BF6D38"/>
    <w:rsid w:val="00BF6F30"/>
    <w:rsid w:val="00C00356"/>
    <w:rsid w:val="00C00DDD"/>
    <w:rsid w:val="00C01F67"/>
    <w:rsid w:val="00C02E35"/>
    <w:rsid w:val="00C0388A"/>
    <w:rsid w:val="00C05052"/>
    <w:rsid w:val="00C10637"/>
    <w:rsid w:val="00C10DDE"/>
    <w:rsid w:val="00C113BA"/>
    <w:rsid w:val="00C152BC"/>
    <w:rsid w:val="00C16782"/>
    <w:rsid w:val="00C179A2"/>
    <w:rsid w:val="00C17AD7"/>
    <w:rsid w:val="00C20E43"/>
    <w:rsid w:val="00C225C7"/>
    <w:rsid w:val="00C23014"/>
    <w:rsid w:val="00C273F1"/>
    <w:rsid w:val="00C304E3"/>
    <w:rsid w:val="00C30715"/>
    <w:rsid w:val="00C36C65"/>
    <w:rsid w:val="00C36CB6"/>
    <w:rsid w:val="00C43322"/>
    <w:rsid w:val="00C44DB8"/>
    <w:rsid w:val="00C4646F"/>
    <w:rsid w:val="00C46541"/>
    <w:rsid w:val="00C47E1B"/>
    <w:rsid w:val="00C51E5E"/>
    <w:rsid w:val="00C566AF"/>
    <w:rsid w:val="00C648C8"/>
    <w:rsid w:val="00C65BD6"/>
    <w:rsid w:val="00C65D1A"/>
    <w:rsid w:val="00C662B1"/>
    <w:rsid w:val="00C67173"/>
    <w:rsid w:val="00C70E8B"/>
    <w:rsid w:val="00C7202E"/>
    <w:rsid w:val="00C7221E"/>
    <w:rsid w:val="00C8027E"/>
    <w:rsid w:val="00C8102E"/>
    <w:rsid w:val="00C82270"/>
    <w:rsid w:val="00C85A7F"/>
    <w:rsid w:val="00C90972"/>
    <w:rsid w:val="00C91374"/>
    <w:rsid w:val="00C9177E"/>
    <w:rsid w:val="00CA029E"/>
    <w:rsid w:val="00CA3C56"/>
    <w:rsid w:val="00CA44DA"/>
    <w:rsid w:val="00CA51D0"/>
    <w:rsid w:val="00CA5BBE"/>
    <w:rsid w:val="00CA6C61"/>
    <w:rsid w:val="00CA7841"/>
    <w:rsid w:val="00CB02AD"/>
    <w:rsid w:val="00CB0EBE"/>
    <w:rsid w:val="00CB2ADD"/>
    <w:rsid w:val="00CB538C"/>
    <w:rsid w:val="00CC11CF"/>
    <w:rsid w:val="00CC72DB"/>
    <w:rsid w:val="00CD181F"/>
    <w:rsid w:val="00CD274C"/>
    <w:rsid w:val="00CD38B4"/>
    <w:rsid w:val="00CD3D37"/>
    <w:rsid w:val="00CD53FF"/>
    <w:rsid w:val="00CE3B14"/>
    <w:rsid w:val="00CE5491"/>
    <w:rsid w:val="00CF1EAE"/>
    <w:rsid w:val="00CF4DA2"/>
    <w:rsid w:val="00CF7112"/>
    <w:rsid w:val="00D046F8"/>
    <w:rsid w:val="00D06099"/>
    <w:rsid w:val="00D10310"/>
    <w:rsid w:val="00D12FC3"/>
    <w:rsid w:val="00D132FB"/>
    <w:rsid w:val="00D135BB"/>
    <w:rsid w:val="00D13709"/>
    <w:rsid w:val="00D14CE3"/>
    <w:rsid w:val="00D175D9"/>
    <w:rsid w:val="00D21003"/>
    <w:rsid w:val="00D210B7"/>
    <w:rsid w:val="00D22D0E"/>
    <w:rsid w:val="00D302FE"/>
    <w:rsid w:val="00D31FFF"/>
    <w:rsid w:val="00D34D52"/>
    <w:rsid w:val="00D355B8"/>
    <w:rsid w:val="00D42D84"/>
    <w:rsid w:val="00D43CEA"/>
    <w:rsid w:val="00D459E3"/>
    <w:rsid w:val="00D50014"/>
    <w:rsid w:val="00D500D7"/>
    <w:rsid w:val="00D55C34"/>
    <w:rsid w:val="00D574D2"/>
    <w:rsid w:val="00D57B20"/>
    <w:rsid w:val="00D61EB4"/>
    <w:rsid w:val="00D62979"/>
    <w:rsid w:val="00D65F5F"/>
    <w:rsid w:val="00D708EC"/>
    <w:rsid w:val="00D720DD"/>
    <w:rsid w:val="00D74DEC"/>
    <w:rsid w:val="00D75A79"/>
    <w:rsid w:val="00D768DD"/>
    <w:rsid w:val="00D7771C"/>
    <w:rsid w:val="00D77E64"/>
    <w:rsid w:val="00D80D2D"/>
    <w:rsid w:val="00D811C3"/>
    <w:rsid w:val="00D82934"/>
    <w:rsid w:val="00D84097"/>
    <w:rsid w:val="00D9024F"/>
    <w:rsid w:val="00D914BB"/>
    <w:rsid w:val="00D92533"/>
    <w:rsid w:val="00D93AA8"/>
    <w:rsid w:val="00D94D1D"/>
    <w:rsid w:val="00D95EBE"/>
    <w:rsid w:val="00DA4512"/>
    <w:rsid w:val="00DB0F5A"/>
    <w:rsid w:val="00DB3942"/>
    <w:rsid w:val="00DB3C66"/>
    <w:rsid w:val="00DB3D81"/>
    <w:rsid w:val="00DB5185"/>
    <w:rsid w:val="00DB6A68"/>
    <w:rsid w:val="00DC0E2B"/>
    <w:rsid w:val="00DC1303"/>
    <w:rsid w:val="00DC4262"/>
    <w:rsid w:val="00DC4486"/>
    <w:rsid w:val="00DC49F4"/>
    <w:rsid w:val="00DC5DE2"/>
    <w:rsid w:val="00DD0820"/>
    <w:rsid w:val="00DD0EF5"/>
    <w:rsid w:val="00DD213C"/>
    <w:rsid w:val="00DD28E7"/>
    <w:rsid w:val="00DD65C7"/>
    <w:rsid w:val="00DE3570"/>
    <w:rsid w:val="00DE49AA"/>
    <w:rsid w:val="00DE4B42"/>
    <w:rsid w:val="00DE7410"/>
    <w:rsid w:val="00DF056B"/>
    <w:rsid w:val="00DF6336"/>
    <w:rsid w:val="00DF6CBA"/>
    <w:rsid w:val="00E01C3D"/>
    <w:rsid w:val="00E03D99"/>
    <w:rsid w:val="00E054BC"/>
    <w:rsid w:val="00E05DBB"/>
    <w:rsid w:val="00E07988"/>
    <w:rsid w:val="00E07EBD"/>
    <w:rsid w:val="00E12512"/>
    <w:rsid w:val="00E1423B"/>
    <w:rsid w:val="00E15AED"/>
    <w:rsid w:val="00E17B6E"/>
    <w:rsid w:val="00E241BA"/>
    <w:rsid w:val="00E246F0"/>
    <w:rsid w:val="00E24733"/>
    <w:rsid w:val="00E24A2C"/>
    <w:rsid w:val="00E265E2"/>
    <w:rsid w:val="00E278F0"/>
    <w:rsid w:val="00E3050F"/>
    <w:rsid w:val="00E320ED"/>
    <w:rsid w:val="00E32684"/>
    <w:rsid w:val="00E337FD"/>
    <w:rsid w:val="00E37292"/>
    <w:rsid w:val="00E4120D"/>
    <w:rsid w:val="00E43E93"/>
    <w:rsid w:val="00E50113"/>
    <w:rsid w:val="00E52B4B"/>
    <w:rsid w:val="00E54487"/>
    <w:rsid w:val="00E56F5F"/>
    <w:rsid w:val="00E61375"/>
    <w:rsid w:val="00E6303C"/>
    <w:rsid w:val="00E70167"/>
    <w:rsid w:val="00E7296F"/>
    <w:rsid w:val="00E750D5"/>
    <w:rsid w:val="00E75694"/>
    <w:rsid w:val="00E83292"/>
    <w:rsid w:val="00E842DC"/>
    <w:rsid w:val="00E84DE6"/>
    <w:rsid w:val="00E858EF"/>
    <w:rsid w:val="00E859F8"/>
    <w:rsid w:val="00E85C4D"/>
    <w:rsid w:val="00E8683D"/>
    <w:rsid w:val="00E92E01"/>
    <w:rsid w:val="00E93ADE"/>
    <w:rsid w:val="00E96EEF"/>
    <w:rsid w:val="00EA3ABC"/>
    <w:rsid w:val="00EA481B"/>
    <w:rsid w:val="00EA507D"/>
    <w:rsid w:val="00EB00D4"/>
    <w:rsid w:val="00EB4F59"/>
    <w:rsid w:val="00EB6A44"/>
    <w:rsid w:val="00EC0ADF"/>
    <w:rsid w:val="00EC1078"/>
    <w:rsid w:val="00EC1751"/>
    <w:rsid w:val="00EC6244"/>
    <w:rsid w:val="00ED0031"/>
    <w:rsid w:val="00ED02FE"/>
    <w:rsid w:val="00ED0533"/>
    <w:rsid w:val="00ED350A"/>
    <w:rsid w:val="00ED42D8"/>
    <w:rsid w:val="00ED5E0D"/>
    <w:rsid w:val="00ED7691"/>
    <w:rsid w:val="00EE2B6A"/>
    <w:rsid w:val="00EE3EF9"/>
    <w:rsid w:val="00EE5239"/>
    <w:rsid w:val="00EE5FA9"/>
    <w:rsid w:val="00EE7BDB"/>
    <w:rsid w:val="00EF1EC4"/>
    <w:rsid w:val="00EF479B"/>
    <w:rsid w:val="00EF49A3"/>
    <w:rsid w:val="00EF4A07"/>
    <w:rsid w:val="00EF4BC6"/>
    <w:rsid w:val="00EF665C"/>
    <w:rsid w:val="00EF78C7"/>
    <w:rsid w:val="00EF7AF4"/>
    <w:rsid w:val="00EF7C2D"/>
    <w:rsid w:val="00F01120"/>
    <w:rsid w:val="00F01CF0"/>
    <w:rsid w:val="00F03460"/>
    <w:rsid w:val="00F04E93"/>
    <w:rsid w:val="00F054D6"/>
    <w:rsid w:val="00F063FE"/>
    <w:rsid w:val="00F068BF"/>
    <w:rsid w:val="00F108EB"/>
    <w:rsid w:val="00F25CEF"/>
    <w:rsid w:val="00F2644F"/>
    <w:rsid w:val="00F2732C"/>
    <w:rsid w:val="00F31EF8"/>
    <w:rsid w:val="00F32EF1"/>
    <w:rsid w:val="00F342C9"/>
    <w:rsid w:val="00F347F2"/>
    <w:rsid w:val="00F347F5"/>
    <w:rsid w:val="00F357FA"/>
    <w:rsid w:val="00F3615E"/>
    <w:rsid w:val="00F41315"/>
    <w:rsid w:val="00F41911"/>
    <w:rsid w:val="00F44A80"/>
    <w:rsid w:val="00F54047"/>
    <w:rsid w:val="00F54A43"/>
    <w:rsid w:val="00F55EA8"/>
    <w:rsid w:val="00F56490"/>
    <w:rsid w:val="00F56849"/>
    <w:rsid w:val="00F575E7"/>
    <w:rsid w:val="00F608FB"/>
    <w:rsid w:val="00F64862"/>
    <w:rsid w:val="00F65041"/>
    <w:rsid w:val="00F65876"/>
    <w:rsid w:val="00F66D08"/>
    <w:rsid w:val="00F67866"/>
    <w:rsid w:val="00F73B33"/>
    <w:rsid w:val="00F7609A"/>
    <w:rsid w:val="00F765F7"/>
    <w:rsid w:val="00F80406"/>
    <w:rsid w:val="00F816E3"/>
    <w:rsid w:val="00F844D8"/>
    <w:rsid w:val="00F84D2C"/>
    <w:rsid w:val="00F91521"/>
    <w:rsid w:val="00F91922"/>
    <w:rsid w:val="00F93C5E"/>
    <w:rsid w:val="00F94184"/>
    <w:rsid w:val="00FA3BD0"/>
    <w:rsid w:val="00FA5BF7"/>
    <w:rsid w:val="00FA7291"/>
    <w:rsid w:val="00FA78BF"/>
    <w:rsid w:val="00FA7CB0"/>
    <w:rsid w:val="00FB21D5"/>
    <w:rsid w:val="00FB2E3C"/>
    <w:rsid w:val="00FB7ACB"/>
    <w:rsid w:val="00FC157A"/>
    <w:rsid w:val="00FC291F"/>
    <w:rsid w:val="00FD765B"/>
    <w:rsid w:val="00FD7CA1"/>
    <w:rsid w:val="00FE312A"/>
    <w:rsid w:val="00FF2870"/>
    <w:rsid w:val="00FF2A3A"/>
    <w:rsid w:val="00FF2E1D"/>
    <w:rsid w:val="00FF31B3"/>
    <w:rsid w:val="00FF355E"/>
    <w:rsid w:val="00FF4878"/>
    <w:rsid w:val="00FF5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8512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BC"/>
  </w:style>
  <w:style w:type="paragraph" w:styleId="Heading1">
    <w:name w:val="heading 1"/>
    <w:basedOn w:val="Normal"/>
    <w:next w:val="Normal"/>
    <w:link w:val="Heading1Char"/>
    <w:uiPriority w:val="9"/>
    <w:qFormat/>
    <w:rsid w:val="00A545D3"/>
    <w:pPr>
      <w:keepNext/>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4E5EBC"/>
    <w:pPr>
      <w:spacing w:before="240" w:after="80" w:line="276" w:lineRule="auto"/>
      <w:outlineLvl w:val="1"/>
    </w:pPr>
    <w:rPr>
      <w:smallCaps/>
      <w:spacing w:val="5"/>
      <w:sz w:val="28"/>
      <w:szCs w:val="28"/>
      <w:lang w:val="en-US"/>
    </w:rPr>
  </w:style>
  <w:style w:type="paragraph" w:styleId="Heading3">
    <w:name w:val="heading 3"/>
    <w:basedOn w:val="Normal"/>
    <w:next w:val="Normal"/>
    <w:link w:val="Heading3Char"/>
    <w:uiPriority w:val="9"/>
    <w:unhideWhenUsed/>
    <w:qFormat/>
    <w:rsid w:val="00A545D3"/>
    <w:pPr>
      <w:keepNext/>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545D3"/>
    <w:pPr>
      <w:keepNext/>
      <w:numPr>
        <w:ilvl w:val="3"/>
        <w:numId w:val="1"/>
      </w:numPr>
      <w:spacing w:before="240" w:after="60"/>
      <w:outlineLvl w:val="3"/>
    </w:pPr>
    <w:rPr>
      <w:b/>
      <w:bCs/>
      <w:sz w:val="28"/>
      <w:szCs w:val="28"/>
      <w:lang w:val="en-US"/>
    </w:rPr>
  </w:style>
  <w:style w:type="paragraph" w:styleId="Heading5">
    <w:name w:val="heading 5"/>
    <w:basedOn w:val="Normal"/>
    <w:next w:val="Normal"/>
    <w:link w:val="Heading5Char"/>
    <w:uiPriority w:val="9"/>
    <w:semiHidden/>
    <w:unhideWhenUsed/>
    <w:qFormat/>
    <w:rsid w:val="00A545D3"/>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A545D3"/>
    <w:pPr>
      <w:numPr>
        <w:ilvl w:val="5"/>
        <w:numId w:val="1"/>
      </w:numPr>
      <w:spacing w:before="240" w:after="60"/>
      <w:outlineLvl w:val="5"/>
    </w:pPr>
    <w:rPr>
      <w:rFonts w:ascii="Times New Roman" w:eastAsia="Times New Roman" w:hAnsi="Times New Roman" w:cs="Times New Roman"/>
      <w:b/>
      <w:bCs/>
      <w:sz w:val="22"/>
      <w:szCs w:val="22"/>
      <w:lang w:val="en-US"/>
    </w:rPr>
  </w:style>
  <w:style w:type="paragraph" w:styleId="Heading7">
    <w:name w:val="heading 7"/>
    <w:basedOn w:val="Normal"/>
    <w:next w:val="Normal"/>
    <w:link w:val="Heading7Char"/>
    <w:uiPriority w:val="9"/>
    <w:semiHidden/>
    <w:unhideWhenUsed/>
    <w:qFormat/>
    <w:rsid w:val="00A545D3"/>
    <w:pPr>
      <w:numPr>
        <w:ilvl w:val="6"/>
        <w:numId w:val="1"/>
      </w:numPr>
      <w:spacing w:before="240" w:after="60"/>
      <w:outlineLvl w:val="6"/>
    </w:pPr>
    <w:rPr>
      <w:lang w:val="en-US"/>
    </w:rPr>
  </w:style>
  <w:style w:type="paragraph" w:styleId="Heading8">
    <w:name w:val="heading 8"/>
    <w:basedOn w:val="Normal"/>
    <w:next w:val="Normal"/>
    <w:link w:val="Heading8Char"/>
    <w:uiPriority w:val="9"/>
    <w:semiHidden/>
    <w:unhideWhenUsed/>
    <w:qFormat/>
    <w:rsid w:val="00A545D3"/>
    <w:pPr>
      <w:numPr>
        <w:ilvl w:val="7"/>
        <w:numId w:val="1"/>
      </w:numPr>
      <w:spacing w:before="240" w:after="60"/>
      <w:outlineLvl w:val="7"/>
    </w:pPr>
    <w:rPr>
      <w:i/>
      <w:iCs/>
      <w:lang w:val="en-US"/>
    </w:rPr>
  </w:style>
  <w:style w:type="paragraph" w:styleId="Heading9">
    <w:name w:val="heading 9"/>
    <w:basedOn w:val="Normal"/>
    <w:next w:val="Normal"/>
    <w:link w:val="Heading9Char"/>
    <w:uiPriority w:val="9"/>
    <w:semiHidden/>
    <w:unhideWhenUsed/>
    <w:qFormat/>
    <w:rsid w:val="00A545D3"/>
    <w:pPr>
      <w:numPr>
        <w:ilvl w:val="8"/>
        <w:numId w:val="1"/>
      </w:numPr>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EBC"/>
    <w:rPr>
      <w:smallCaps/>
      <w:spacing w:val="5"/>
      <w:sz w:val="28"/>
      <w:szCs w:val="28"/>
      <w:lang w:val="en-US"/>
    </w:rPr>
  </w:style>
  <w:style w:type="paragraph" w:styleId="ListParagraph">
    <w:name w:val="List Paragraph"/>
    <w:basedOn w:val="Normal"/>
    <w:uiPriority w:val="34"/>
    <w:qFormat/>
    <w:rsid w:val="004E5EBC"/>
    <w:pPr>
      <w:ind w:left="720"/>
      <w:contextualSpacing/>
    </w:pPr>
  </w:style>
  <w:style w:type="paragraph" w:styleId="FootnoteText">
    <w:name w:val="footnote text"/>
    <w:aliases w:val="5_G"/>
    <w:basedOn w:val="Normal"/>
    <w:link w:val="FootnoteTextChar"/>
    <w:uiPriority w:val="99"/>
    <w:unhideWhenUsed/>
    <w:qFormat/>
    <w:rsid w:val="004E5EBC"/>
    <w:pPr>
      <w:jc w:val="both"/>
    </w:pPr>
    <w:rPr>
      <w:sz w:val="20"/>
      <w:szCs w:val="20"/>
      <w:lang w:val="en-US"/>
    </w:rPr>
  </w:style>
  <w:style w:type="character" w:customStyle="1" w:styleId="FootnoteTextChar">
    <w:name w:val="Footnote Text Char"/>
    <w:aliases w:val="5_G Char"/>
    <w:basedOn w:val="DefaultParagraphFont"/>
    <w:link w:val="FootnoteText"/>
    <w:uiPriority w:val="99"/>
    <w:rsid w:val="004E5EBC"/>
    <w:rPr>
      <w:sz w:val="20"/>
      <w:szCs w:val="20"/>
      <w:lang w:val="en-US"/>
    </w:rPr>
  </w:style>
  <w:style w:type="character" w:styleId="FootnoteReference">
    <w:name w:val="footnote reference"/>
    <w:aliases w:val="4_G"/>
    <w:basedOn w:val="DefaultParagraphFont"/>
    <w:uiPriority w:val="99"/>
    <w:unhideWhenUsed/>
    <w:rsid w:val="004E5EBC"/>
    <w:rPr>
      <w:vertAlign w:val="superscript"/>
    </w:rPr>
  </w:style>
  <w:style w:type="paragraph" w:customStyle="1" w:styleId="SingleTxt">
    <w:name w:val="__Single Txt"/>
    <w:basedOn w:val="Normal"/>
    <w:rsid w:val="004E5EB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paragraph" w:styleId="NormalWeb">
    <w:name w:val="Normal (Web)"/>
    <w:basedOn w:val="Normal"/>
    <w:uiPriority w:val="99"/>
    <w:unhideWhenUsed/>
    <w:rsid w:val="004E5EB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E5EBC"/>
    <w:pPr>
      <w:tabs>
        <w:tab w:val="center" w:pos="4320"/>
        <w:tab w:val="right" w:pos="8640"/>
      </w:tabs>
    </w:pPr>
  </w:style>
  <w:style w:type="character" w:customStyle="1" w:styleId="FooterChar">
    <w:name w:val="Footer Char"/>
    <w:basedOn w:val="DefaultParagraphFont"/>
    <w:link w:val="Footer"/>
    <w:uiPriority w:val="99"/>
    <w:rsid w:val="004E5EBC"/>
  </w:style>
  <w:style w:type="character" w:styleId="CommentReference">
    <w:name w:val="annotation reference"/>
    <w:basedOn w:val="DefaultParagraphFont"/>
    <w:uiPriority w:val="99"/>
    <w:semiHidden/>
    <w:unhideWhenUsed/>
    <w:rsid w:val="004E5EBC"/>
    <w:rPr>
      <w:sz w:val="18"/>
      <w:szCs w:val="18"/>
    </w:rPr>
  </w:style>
  <w:style w:type="paragraph" w:styleId="CommentText">
    <w:name w:val="annotation text"/>
    <w:basedOn w:val="Normal"/>
    <w:link w:val="CommentTextChar"/>
    <w:uiPriority w:val="99"/>
    <w:semiHidden/>
    <w:unhideWhenUsed/>
    <w:rsid w:val="004E5EBC"/>
  </w:style>
  <w:style w:type="character" w:customStyle="1" w:styleId="CommentTextChar">
    <w:name w:val="Comment Text Char"/>
    <w:basedOn w:val="DefaultParagraphFont"/>
    <w:link w:val="CommentText"/>
    <w:uiPriority w:val="99"/>
    <w:semiHidden/>
    <w:rsid w:val="004E5EBC"/>
  </w:style>
  <w:style w:type="paragraph" w:styleId="BalloonText">
    <w:name w:val="Balloon Text"/>
    <w:basedOn w:val="Normal"/>
    <w:link w:val="BalloonTextChar"/>
    <w:uiPriority w:val="99"/>
    <w:semiHidden/>
    <w:unhideWhenUsed/>
    <w:rsid w:val="004E5E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EBC"/>
    <w:rPr>
      <w:rFonts w:ascii="Lucida Grande" w:hAnsi="Lucida Grande" w:cs="Lucida Grande"/>
      <w:sz w:val="18"/>
      <w:szCs w:val="18"/>
    </w:rPr>
  </w:style>
  <w:style w:type="paragraph" w:styleId="NoSpacing">
    <w:name w:val="No Spacing"/>
    <w:basedOn w:val="Normal"/>
    <w:link w:val="NoSpacingChar"/>
    <w:uiPriority w:val="1"/>
    <w:qFormat/>
    <w:rsid w:val="004E5EBC"/>
    <w:pPr>
      <w:jc w:val="both"/>
    </w:pPr>
    <w:rPr>
      <w:sz w:val="20"/>
      <w:szCs w:val="20"/>
      <w:lang w:val="en-US"/>
    </w:rPr>
  </w:style>
  <w:style w:type="character" w:customStyle="1" w:styleId="NoSpacingChar">
    <w:name w:val="No Spacing Char"/>
    <w:basedOn w:val="DefaultParagraphFont"/>
    <w:link w:val="NoSpacing"/>
    <w:uiPriority w:val="1"/>
    <w:rsid w:val="004E5EBC"/>
    <w:rPr>
      <w:sz w:val="20"/>
      <w:szCs w:val="20"/>
      <w:lang w:val="en-US"/>
    </w:rPr>
  </w:style>
  <w:style w:type="character" w:customStyle="1" w:styleId="apple-converted-space">
    <w:name w:val="apple-converted-space"/>
    <w:basedOn w:val="DefaultParagraphFont"/>
    <w:rsid w:val="004E5EBC"/>
  </w:style>
  <w:style w:type="character" w:styleId="Hyperlink">
    <w:name w:val="Hyperlink"/>
    <w:basedOn w:val="DefaultParagraphFont"/>
    <w:uiPriority w:val="99"/>
    <w:unhideWhenUsed/>
    <w:rsid w:val="004E5EBC"/>
    <w:rPr>
      <w:color w:val="0000FF"/>
      <w:u w:val="single"/>
    </w:rPr>
  </w:style>
  <w:style w:type="character" w:styleId="PageNumber">
    <w:name w:val="page number"/>
    <w:basedOn w:val="DefaultParagraphFont"/>
    <w:uiPriority w:val="99"/>
    <w:semiHidden/>
    <w:unhideWhenUsed/>
    <w:rsid w:val="004E5EBC"/>
  </w:style>
  <w:style w:type="character" w:styleId="Emphasis">
    <w:name w:val="Emphasis"/>
    <w:basedOn w:val="DefaultParagraphFont"/>
    <w:uiPriority w:val="20"/>
    <w:qFormat/>
    <w:rsid w:val="000A3B73"/>
    <w:rPr>
      <w:i/>
      <w:iCs/>
    </w:rPr>
  </w:style>
  <w:style w:type="character" w:customStyle="1" w:styleId="Heading1Char">
    <w:name w:val="Heading 1 Char"/>
    <w:basedOn w:val="DefaultParagraphFont"/>
    <w:link w:val="Heading1"/>
    <w:uiPriority w:val="9"/>
    <w:rsid w:val="00A545D3"/>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rsid w:val="00A545D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545D3"/>
    <w:rPr>
      <w:b/>
      <w:bCs/>
      <w:sz w:val="28"/>
      <w:szCs w:val="28"/>
      <w:lang w:val="en-US"/>
    </w:rPr>
  </w:style>
  <w:style w:type="character" w:customStyle="1" w:styleId="Heading5Char">
    <w:name w:val="Heading 5 Char"/>
    <w:basedOn w:val="DefaultParagraphFont"/>
    <w:link w:val="Heading5"/>
    <w:uiPriority w:val="9"/>
    <w:semiHidden/>
    <w:rsid w:val="00A545D3"/>
    <w:rPr>
      <w:b/>
      <w:bCs/>
      <w:i/>
      <w:iCs/>
      <w:sz w:val="26"/>
      <w:szCs w:val="26"/>
      <w:lang w:val="en-US"/>
    </w:rPr>
  </w:style>
  <w:style w:type="character" w:customStyle="1" w:styleId="Heading6Char">
    <w:name w:val="Heading 6 Char"/>
    <w:basedOn w:val="DefaultParagraphFont"/>
    <w:link w:val="Heading6"/>
    <w:rsid w:val="00A545D3"/>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A545D3"/>
    <w:rPr>
      <w:lang w:val="en-US"/>
    </w:rPr>
  </w:style>
  <w:style w:type="character" w:customStyle="1" w:styleId="Heading8Char">
    <w:name w:val="Heading 8 Char"/>
    <w:basedOn w:val="DefaultParagraphFont"/>
    <w:link w:val="Heading8"/>
    <w:uiPriority w:val="9"/>
    <w:semiHidden/>
    <w:rsid w:val="00A545D3"/>
    <w:rPr>
      <w:i/>
      <w:iCs/>
      <w:lang w:val="en-US"/>
    </w:rPr>
  </w:style>
  <w:style w:type="character" w:customStyle="1" w:styleId="Heading9Char">
    <w:name w:val="Heading 9 Char"/>
    <w:basedOn w:val="DefaultParagraphFont"/>
    <w:link w:val="Heading9"/>
    <w:uiPriority w:val="9"/>
    <w:semiHidden/>
    <w:rsid w:val="00A545D3"/>
    <w:rPr>
      <w:rFonts w:asciiTheme="majorHAnsi" w:eastAsiaTheme="majorEastAsia" w:hAnsiTheme="majorHAnsi" w:cstheme="majorBidi"/>
      <w:sz w:val="22"/>
      <w:szCs w:val="22"/>
      <w:lang w:val="en-US"/>
    </w:rPr>
  </w:style>
  <w:style w:type="paragraph" w:styleId="Header">
    <w:name w:val="header"/>
    <w:basedOn w:val="Normal"/>
    <w:link w:val="HeaderChar"/>
    <w:uiPriority w:val="99"/>
    <w:unhideWhenUsed/>
    <w:rsid w:val="00EB6A44"/>
    <w:pPr>
      <w:tabs>
        <w:tab w:val="center" w:pos="4320"/>
        <w:tab w:val="right" w:pos="8640"/>
      </w:tabs>
    </w:pPr>
  </w:style>
  <w:style w:type="character" w:customStyle="1" w:styleId="HeaderChar">
    <w:name w:val="Header Char"/>
    <w:basedOn w:val="DefaultParagraphFont"/>
    <w:link w:val="Header"/>
    <w:uiPriority w:val="99"/>
    <w:rsid w:val="00EB6A44"/>
  </w:style>
  <w:style w:type="character" w:styleId="FollowedHyperlink">
    <w:name w:val="FollowedHyperlink"/>
    <w:basedOn w:val="DefaultParagraphFont"/>
    <w:uiPriority w:val="99"/>
    <w:semiHidden/>
    <w:unhideWhenUsed/>
    <w:rsid w:val="00E859F8"/>
    <w:rPr>
      <w:color w:val="800080" w:themeColor="followedHyperlink"/>
      <w:u w:val="single"/>
    </w:rPr>
  </w:style>
  <w:style w:type="paragraph" w:customStyle="1" w:styleId="H23G">
    <w:name w:val="_ H_2/3_G"/>
    <w:basedOn w:val="Normal"/>
    <w:next w:val="Normal"/>
    <w:link w:val="H23GChar"/>
    <w:rsid w:val="00D6297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H23GChar">
    <w:name w:val="_ H_2/3_G Char"/>
    <w:basedOn w:val="DefaultParagraphFont"/>
    <w:link w:val="H23G"/>
    <w:rsid w:val="00D62979"/>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unhideWhenUsed/>
    <w:rsid w:val="0022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214C5"/>
    <w:rPr>
      <w:rFonts w:ascii="Courier" w:hAnsi="Courier" w:cs="Courier"/>
      <w:sz w:val="20"/>
      <w:szCs w:val="20"/>
    </w:rPr>
  </w:style>
  <w:style w:type="character" w:customStyle="1" w:styleId="quote1">
    <w:name w:val="quote1"/>
    <w:basedOn w:val="DefaultParagraphFont"/>
    <w:rsid w:val="00594E05"/>
  </w:style>
  <w:style w:type="character" w:customStyle="1" w:styleId="pagenumber0">
    <w:name w:val="pagenumber"/>
    <w:basedOn w:val="DefaultParagraphFont"/>
    <w:rsid w:val="00B018B6"/>
  </w:style>
  <w:style w:type="character" w:customStyle="1" w:styleId="hi">
    <w:name w:val="hi"/>
    <w:basedOn w:val="DefaultParagraphFont"/>
    <w:rsid w:val="003F6FD2"/>
  </w:style>
  <w:style w:type="character" w:styleId="Strong">
    <w:name w:val="Strong"/>
    <w:basedOn w:val="DefaultParagraphFont"/>
    <w:uiPriority w:val="22"/>
    <w:qFormat/>
    <w:rsid w:val="00E1423B"/>
    <w:rPr>
      <w:b/>
      <w:bCs/>
    </w:rPr>
  </w:style>
  <w:style w:type="paragraph" w:styleId="CommentSubject">
    <w:name w:val="annotation subject"/>
    <w:basedOn w:val="CommentText"/>
    <w:next w:val="CommentText"/>
    <w:link w:val="CommentSubjectChar"/>
    <w:uiPriority w:val="99"/>
    <w:semiHidden/>
    <w:unhideWhenUsed/>
    <w:rsid w:val="00B2494C"/>
    <w:rPr>
      <w:b/>
      <w:bCs/>
      <w:sz w:val="20"/>
      <w:szCs w:val="20"/>
    </w:rPr>
  </w:style>
  <w:style w:type="character" w:customStyle="1" w:styleId="CommentSubjectChar">
    <w:name w:val="Comment Subject Char"/>
    <w:basedOn w:val="CommentTextChar"/>
    <w:link w:val="CommentSubject"/>
    <w:uiPriority w:val="99"/>
    <w:semiHidden/>
    <w:rsid w:val="00B2494C"/>
    <w:rPr>
      <w:b/>
      <w:bCs/>
      <w:sz w:val="20"/>
      <w:szCs w:val="20"/>
    </w:rPr>
  </w:style>
  <w:style w:type="table" w:styleId="LightShading-Accent1">
    <w:name w:val="Light Shading Accent 1"/>
    <w:basedOn w:val="TableNormal"/>
    <w:uiPriority w:val="60"/>
    <w:rsid w:val="005A77DB"/>
    <w:rPr>
      <w:color w:val="365F91" w:themeColor="accent1" w:themeShade="BF"/>
      <w:sz w:val="22"/>
      <w:szCs w:val="22"/>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984B89"/>
    <w:pPr>
      <w:numPr>
        <w:ilvl w:val="1"/>
      </w:numPr>
      <w:spacing w:after="180" w:line="274" w:lineRule="auto"/>
    </w:pPr>
    <w:rPr>
      <w:rFonts w:eastAsiaTheme="majorEastAsia" w:cstheme="majorBidi"/>
      <w:iCs/>
      <w:color w:val="1F497D" w:themeColor="text2"/>
      <w:sz w:val="40"/>
      <w:lang w:bidi="hi-IN"/>
    </w:rPr>
  </w:style>
  <w:style w:type="character" w:customStyle="1" w:styleId="SubtitleChar">
    <w:name w:val="Subtitle Char"/>
    <w:basedOn w:val="DefaultParagraphFont"/>
    <w:link w:val="Subtitle"/>
    <w:uiPriority w:val="11"/>
    <w:rsid w:val="00984B89"/>
    <w:rPr>
      <w:rFonts w:eastAsiaTheme="majorEastAsia" w:cstheme="majorBidi"/>
      <w:iCs/>
      <w:color w:val="1F497D" w:themeColor="text2"/>
      <w:sz w:val="40"/>
      <w:lang w:bidi="hi-IN"/>
    </w:rPr>
  </w:style>
  <w:style w:type="paragraph" w:styleId="Title">
    <w:name w:val="Title"/>
    <w:basedOn w:val="Normal"/>
    <w:next w:val="Normal"/>
    <w:link w:val="TitleChar"/>
    <w:uiPriority w:val="10"/>
    <w:qFormat/>
    <w:rsid w:val="004C0678"/>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C0678"/>
    <w:rPr>
      <w:rFonts w:asciiTheme="majorHAnsi" w:eastAsiaTheme="majorEastAsia" w:hAnsiTheme="majorHAnsi" w:cstheme="majorBidi"/>
      <w:color w:val="1F497D" w:themeColor="text2"/>
      <w:spacing w:val="30"/>
      <w:kern w:val="28"/>
      <w:sz w:val="96"/>
      <w:szCs w:val="52"/>
    </w:rPr>
  </w:style>
  <w:style w:type="paragraph" w:styleId="Revision">
    <w:name w:val="Revision"/>
    <w:hidden/>
    <w:uiPriority w:val="99"/>
    <w:semiHidden/>
    <w:rsid w:val="00D74DEC"/>
  </w:style>
  <w:style w:type="paragraph" w:styleId="TOCHeading">
    <w:name w:val="TOC Heading"/>
    <w:basedOn w:val="Heading1"/>
    <w:next w:val="Normal"/>
    <w:uiPriority w:val="39"/>
    <w:semiHidden/>
    <w:unhideWhenUsed/>
    <w:qFormat/>
    <w:rsid w:val="00471761"/>
    <w:pPr>
      <w:keepLines/>
      <w:spacing w:before="480" w:after="0" w:line="276" w:lineRule="auto"/>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471761"/>
    <w:pPr>
      <w:spacing w:after="100"/>
    </w:pPr>
  </w:style>
  <w:style w:type="paragraph" w:styleId="TOC3">
    <w:name w:val="toc 3"/>
    <w:basedOn w:val="Normal"/>
    <w:next w:val="Normal"/>
    <w:autoRedefine/>
    <w:uiPriority w:val="39"/>
    <w:unhideWhenUsed/>
    <w:rsid w:val="00471761"/>
    <w:pPr>
      <w:spacing w:after="100"/>
      <w:ind w:left="480"/>
    </w:pPr>
  </w:style>
  <w:style w:type="paragraph" w:styleId="TOC2">
    <w:name w:val="toc 2"/>
    <w:basedOn w:val="Normal"/>
    <w:next w:val="Normal"/>
    <w:autoRedefine/>
    <w:uiPriority w:val="39"/>
    <w:unhideWhenUsed/>
    <w:rsid w:val="0082288E"/>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BC"/>
  </w:style>
  <w:style w:type="paragraph" w:styleId="Heading1">
    <w:name w:val="heading 1"/>
    <w:basedOn w:val="Normal"/>
    <w:next w:val="Normal"/>
    <w:link w:val="Heading1Char"/>
    <w:uiPriority w:val="9"/>
    <w:qFormat/>
    <w:rsid w:val="00A545D3"/>
    <w:pPr>
      <w:keepNext/>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4E5EBC"/>
    <w:pPr>
      <w:spacing w:before="240" w:after="80" w:line="276" w:lineRule="auto"/>
      <w:outlineLvl w:val="1"/>
    </w:pPr>
    <w:rPr>
      <w:smallCaps/>
      <w:spacing w:val="5"/>
      <w:sz w:val="28"/>
      <w:szCs w:val="28"/>
      <w:lang w:val="en-US"/>
    </w:rPr>
  </w:style>
  <w:style w:type="paragraph" w:styleId="Heading3">
    <w:name w:val="heading 3"/>
    <w:basedOn w:val="Normal"/>
    <w:next w:val="Normal"/>
    <w:link w:val="Heading3Char"/>
    <w:uiPriority w:val="9"/>
    <w:unhideWhenUsed/>
    <w:qFormat/>
    <w:rsid w:val="00A545D3"/>
    <w:pPr>
      <w:keepNext/>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545D3"/>
    <w:pPr>
      <w:keepNext/>
      <w:numPr>
        <w:ilvl w:val="3"/>
        <w:numId w:val="1"/>
      </w:numPr>
      <w:spacing w:before="240" w:after="60"/>
      <w:outlineLvl w:val="3"/>
    </w:pPr>
    <w:rPr>
      <w:b/>
      <w:bCs/>
      <w:sz w:val="28"/>
      <w:szCs w:val="28"/>
      <w:lang w:val="en-US"/>
    </w:rPr>
  </w:style>
  <w:style w:type="paragraph" w:styleId="Heading5">
    <w:name w:val="heading 5"/>
    <w:basedOn w:val="Normal"/>
    <w:next w:val="Normal"/>
    <w:link w:val="Heading5Char"/>
    <w:uiPriority w:val="9"/>
    <w:semiHidden/>
    <w:unhideWhenUsed/>
    <w:qFormat/>
    <w:rsid w:val="00A545D3"/>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A545D3"/>
    <w:pPr>
      <w:numPr>
        <w:ilvl w:val="5"/>
        <w:numId w:val="1"/>
      </w:numPr>
      <w:spacing w:before="240" w:after="60"/>
      <w:outlineLvl w:val="5"/>
    </w:pPr>
    <w:rPr>
      <w:rFonts w:ascii="Times New Roman" w:eastAsia="Times New Roman" w:hAnsi="Times New Roman" w:cs="Times New Roman"/>
      <w:b/>
      <w:bCs/>
      <w:sz w:val="22"/>
      <w:szCs w:val="22"/>
      <w:lang w:val="en-US"/>
    </w:rPr>
  </w:style>
  <w:style w:type="paragraph" w:styleId="Heading7">
    <w:name w:val="heading 7"/>
    <w:basedOn w:val="Normal"/>
    <w:next w:val="Normal"/>
    <w:link w:val="Heading7Char"/>
    <w:uiPriority w:val="9"/>
    <w:semiHidden/>
    <w:unhideWhenUsed/>
    <w:qFormat/>
    <w:rsid w:val="00A545D3"/>
    <w:pPr>
      <w:numPr>
        <w:ilvl w:val="6"/>
        <w:numId w:val="1"/>
      </w:numPr>
      <w:spacing w:before="240" w:after="60"/>
      <w:outlineLvl w:val="6"/>
    </w:pPr>
    <w:rPr>
      <w:lang w:val="en-US"/>
    </w:rPr>
  </w:style>
  <w:style w:type="paragraph" w:styleId="Heading8">
    <w:name w:val="heading 8"/>
    <w:basedOn w:val="Normal"/>
    <w:next w:val="Normal"/>
    <w:link w:val="Heading8Char"/>
    <w:uiPriority w:val="9"/>
    <w:semiHidden/>
    <w:unhideWhenUsed/>
    <w:qFormat/>
    <w:rsid w:val="00A545D3"/>
    <w:pPr>
      <w:numPr>
        <w:ilvl w:val="7"/>
        <w:numId w:val="1"/>
      </w:numPr>
      <w:spacing w:before="240" w:after="60"/>
      <w:outlineLvl w:val="7"/>
    </w:pPr>
    <w:rPr>
      <w:i/>
      <w:iCs/>
      <w:lang w:val="en-US"/>
    </w:rPr>
  </w:style>
  <w:style w:type="paragraph" w:styleId="Heading9">
    <w:name w:val="heading 9"/>
    <w:basedOn w:val="Normal"/>
    <w:next w:val="Normal"/>
    <w:link w:val="Heading9Char"/>
    <w:uiPriority w:val="9"/>
    <w:semiHidden/>
    <w:unhideWhenUsed/>
    <w:qFormat/>
    <w:rsid w:val="00A545D3"/>
    <w:pPr>
      <w:numPr>
        <w:ilvl w:val="8"/>
        <w:numId w:val="1"/>
      </w:numPr>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EBC"/>
    <w:rPr>
      <w:smallCaps/>
      <w:spacing w:val="5"/>
      <w:sz w:val="28"/>
      <w:szCs w:val="28"/>
      <w:lang w:val="en-US"/>
    </w:rPr>
  </w:style>
  <w:style w:type="paragraph" w:styleId="ListParagraph">
    <w:name w:val="List Paragraph"/>
    <w:basedOn w:val="Normal"/>
    <w:uiPriority w:val="34"/>
    <w:qFormat/>
    <w:rsid w:val="004E5EBC"/>
    <w:pPr>
      <w:ind w:left="720"/>
      <w:contextualSpacing/>
    </w:pPr>
  </w:style>
  <w:style w:type="paragraph" w:styleId="FootnoteText">
    <w:name w:val="footnote text"/>
    <w:aliases w:val="5_G"/>
    <w:basedOn w:val="Normal"/>
    <w:link w:val="FootnoteTextChar"/>
    <w:uiPriority w:val="99"/>
    <w:unhideWhenUsed/>
    <w:qFormat/>
    <w:rsid w:val="004E5EBC"/>
    <w:pPr>
      <w:jc w:val="both"/>
    </w:pPr>
    <w:rPr>
      <w:sz w:val="20"/>
      <w:szCs w:val="20"/>
      <w:lang w:val="en-US"/>
    </w:rPr>
  </w:style>
  <w:style w:type="character" w:customStyle="1" w:styleId="FootnoteTextChar">
    <w:name w:val="Footnote Text Char"/>
    <w:aliases w:val="5_G Char"/>
    <w:basedOn w:val="DefaultParagraphFont"/>
    <w:link w:val="FootnoteText"/>
    <w:uiPriority w:val="99"/>
    <w:rsid w:val="004E5EBC"/>
    <w:rPr>
      <w:sz w:val="20"/>
      <w:szCs w:val="20"/>
      <w:lang w:val="en-US"/>
    </w:rPr>
  </w:style>
  <w:style w:type="character" w:styleId="FootnoteReference">
    <w:name w:val="footnote reference"/>
    <w:aliases w:val="4_G"/>
    <w:basedOn w:val="DefaultParagraphFont"/>
    <w:uiPriority w:val="99"/>
    <w:unhideWhenUsed/>
    <w:rsid w:val="004E5EBC"/>
    <w:rPr>
      <w:vertAlign w:val="superscript"/>
    </w:rPr>
  </w:style>
  <w:style w:type="paragraph" w:customStyle="1" w:styleId="SingleTxt">
    <w:name w:val="__Single Txt"/>
    <w:basedOn w:val="Normal"/>
    <w:rsid w:val="004E5EB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paragraph" w:styleId="NormalWeb">
    <w:name w:val="Normal (Web)"/>
    <w:basedOn w:val="Normal"/>
    <w:uiPriority w:val="99"/>
    <w:unhideWhenUsed/>
    <w:rsid w:val="004E5EB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E5EBC"/>
    <w:pPr>
      <w:tabs>
        <w:tab w:val="center" w:pos="4320"/>
        <w:tab w:val="right" w:pos="8640"/>
      </w:tabs>
    </w:pPr>
  </w:style>
  <w:style w:type="character" w:customStyle="1" w:styleId="FooterChar">
    <w:name w:val="Footer Char"/>
    <w:basedOn w:val="DefaultParagraphFont"/>
    <w:link w:val="Footer"/>
    <w:uiPriority w:val="99"/>
    <w:rsid w:val="004E5EBC"/>
  </w:style>
  <w:style w:type="character" w:styleId="CommentReference">
    <w:name w:val="annotation reference"/>
    <w:basedOn w:val="DefaultParagraphFont"/>
    <w:uiPriority w:val="99"/>
    <w:semiHidden/>
    <w:unhideWhenUsed/>
    <w:rsid w:val="004E5EBC"/>
    <w:rPr>
      <w:sz w:val="18"/>
      <w:szCs w:val="18"/>
    </w:rPr>
  </w:style>
  <w:style w:type="paragraph" w:styleId="CommentText">
    <w:name w:val="annotation text"/>
    <w:basedOn w:val="Normal"/>
    <w:link w:val="CommentTextChar"/>
    <w:uiPriority w:val="99"/>
    <w:semiHidden/>
    <w:unhideWhenUsed/>
    <w:rsid w:val="004E5EBC"/>
  </w:style>
  <w:style w:type="character" w:customStyle="1" w:styleId="CommentTextChar">
    <w:name w:val="Comment Text Char"/>
    <w:basedOn w:val="DefaultParagraphFont"/>
    <w:link w:val="CommentText"/>
    <w:uiPriority w:val="99"/>
    <w:semiHidden/>
    <w:rsid w:val="004E5EBC"/>
  </w:style>
  <w:style w:type="paragraph" w:styleId="BalloonText">
    <w:name w:val="Balloon Text"/>
    <w:basedOn w:val="Normal"/>
    <w:link w:val="BalloonTextChar"/>
    <w:uiPriority w:val="99"/>
    <w:semiHidden/>
    <w:unhideWhenUsed/>
    <w:rsid w:val="004E5E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EBC"/>
    <w:rPr>
      <w:rFonts w:ascii="Lucida Grande" w:hAnsi="Lucida Grande" w:cs="Lucida Grande"/>
      <w:sz w:val="18"/>
      <w:szCs w:val="18"/>
    </w:rPr>
  </w:style>
  <w:style w:type="paragraph" w:styleId="NoSpacing">
    <w:name w:val="No Spacing"/>
    <w:basedOn w:val="Normal"/>
    <w:link w:val="NoSpacingChar"/>
    <w:uiPriority w:val="1"/>
    <w:qFormat/>
    <w:rsid w:val="004E5EBC"/>
    <w:pPr>
      <w:jc w:val="both"/>
    </w:pPr>
    <w:rPr>
      <w:sz w:val="20"/>
      <w:szCs w:val="20"/>
      <w:lang w:val="en-US"/>
    </w:rPr>
  </w:style>
  <w:style w:type="character" w:customStyle="1" w:styleId="NoSpacingChar">
    <w:name w:val="No Spacing Char"/>
    <w:basedOn w:val="DefaultParagraphFont"/>
    <w:link w:val="NoSpacing"/>
    <w:uiPriority w:val="1"/>
    <w:rsid w:val="004E5EBC"/>
    <w:rPr>
      <w:sz w:val="20"/>
      <w:szCs w:val="20"/>
      <w:lang w:val="en-US"/>
    </w:rPr>
  </w:style>
  <w:style w:type="character" w:customStyle="1" w:styleId="apple-converted-space">
    <w:name w:val="apple-converted-space"/>
    <w:basedOn w:val="DefaultParagraphFont"/>
    <w:rsid w:val="004E5EBC"/>
  </w:style>
  <w:style w:type="character" w:styleId="Hyperlink">
    <w:name w:val="Hyperlink"/>
    <w:basedOn w:val="DefaultParagraphFont"/>
    <w:uiPriority w:val="99"/>
    <w:unhideWhenUsed/>
    <w:rsid w:val="004E5EBC"/>
    <w:rPr>
      <w:color w:val="0000FF"/>
      <w:u w:val="single"/>
    </w:rPr>
  </w:style>
  <w:style w:type="character" w:styleId="PageNumber">
    <w:name w:val="page number"/>
    <w:basedOn w:val="DefaultParagraphFont"/>
    <w:uiPriority w:val="99"/>
    <w:semiHidden/>
    <w:unhideWhenUsed/>
    <w:rsid w:val="004E5EBC"/>
  </w:style>
  <w:style w:type="character" w:styleId="Emphasis">
    <w:name w:val="Emphasis"/>
    <w:basedOn w:val="DefaultParagraphFont"/>
    <w:uiPriority w:val="20"/>
    <w:qFormat/>
    <w:rsid w:val="000A3B73"/>
    <w:rPr>
      <w:i/>
      <w:iCs/>
    </w:rPr>
  </w:style>
  <w:style w:type="character" w:customStyle="1" w:styleId="Heading1Char">
    <w:name w:val="Heading 1 Char"/>
    <w:basedOn w:val="DefaultParagraphFont"/>
    <w:link w:val="Heading1"/>
    <w:uiPriority w:val="9"/>
    <w:rsid w:val="00A545D3"/>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rsid w:val="00A545D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545D3"/>
    <w:rPr>
      <w:b/>
      <w:bCs/>
      <w:sz w:val="28"/>
      <w:szCs w:val="28"/>
      <w:lang w:val="en-US"/>
    </w:rPr>
  </w:style>
  <w:style w:type="character" w:customStyle="1" w:styleId="Heading5Char">
    <w:name w:val="Heading 5 Char"/>
    <w:basedOn w:val="DefaultParagraphFont"/>
    <w:link w:val="Heading5"/>
    <w:uiPriority w:val="9"/>
    <w:semiHidden/>
    <w:rsid w:val="00A545D3"/>
    <w:rPr>
      <w:b/>
      <w:bCs/>
      <w:i/>
      <w:iCs/>
      <w:sz w:val="26"/>
      <w:szCs w:val="26"/>
      <w:lang w:val="en-US"/>
    </w:rPr>
  </w:style>
  <w:style w:type="character" w:customStyle="1" w:styleId="Heading6Char">
    <w:name w:val="Heading 6 Char"/>
    <w:basedOn w:val="DefaultParagraphFont"/>
    <w:link w:val="Heading6"/>
    <w:rsid w:val="00A545D3"/>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A545D3"/>
    <w:rPr>
      <w:lang w:val="en-US"/>
    </w:rPr>
  </w:style>
  <w:style w:type="character" w:customStyle="1" w:styleId="Heading8Char">
    <w:name w:val="Heading 8 Char"/>
    <w:basedOn w:val="DefaultParagraphFont"/>
    <w:link w:val="Heading8"/>
    <w:uiPriority w:val="9"/>
    <w:semiHidden/>
    <w:rsid w:val="00A545D3"/>
    <w:rPr>
      <w:i/>
      <w:iCs/>
      <w:lang w:val="en-US"/>
    </w:rPr>
  </w:style>
  <w:style w:type="character" w:customStyle="1" w:styleId="Heading9Char">
    <w:name w:val="Heading 9 Char"/>
    <w:basedOn w:val="DefaultParagraphFont"/>
    <w:link w:val="Heading9"/>
    <w:uiPriority w:val="9"/>
    <w:semiHidden/>
    <w:rsid w:val="00A545D3"/>
    <w:rPr>
      <w:rFonts w:asciiTheme="majorHAnsi" w:eastAsiaTheme="majorEastAsia" w:hAnsiTheme="majorHAnsi" w:cstheme="majorBidi"/>
      <w:sz w:val="22"/>
      <w:szCs w:val="22"/>
      <w:lang w:val="en-US"/>
    </w:rPr>
  </w:style>
  <w:style w:type="paragraph" w:styleId="Header">
    <w:name w:val="header"/>
    <w:basedOn w:val="Normal"/>
    <w:link w:val="HeaderChar"/>
    <w:uiPriority w:val="99"/>
    <w:unhideWhenUsed/>
    <w:rsid w:val="00EB6A44"/>
    <w:pPr>
      <w:tabs>
        <w:tab w:val="center" w:pos="4320"/>
        <w:tab w:val="right" w:pos="8640"/>
      </w:tabs>
    </w:pPr>
  </w:style>
  <w:style w:type="character" w:customStyle="1" w:styleId="HeaderChar">
    <w:name w:val="Header Char"/>
    <w:basedOn w:val="DefaultParagraphFont"/>
    <w:link w:val="Header"/>
    <w:uiPriority w:val="99"/>
    <w:rsid w:val="00EB6A44"/>
  </w:style>
  <w:style w:type="character" w:styleId="FollowedHyperlink">
    <w:name w:val="FollowedHyperlink"/>
    <w:basedOn w:val="DefaultParagraphFont"/>
    <w:uiPriority w:val="99"/>
    <w:semiHidden/>
    <w:unhideWhenUsed/>
    <w:rsid w:val="00E859F8"/>
    <w:rPr>
      <w:color w:val="800080" w:themeColor="followedHyperlink"/>
      <w:u w:val="single"/>
    </w:rPr>
  </w:style>
  <w:style w:type="paragraph" w:customStyle="1" w:styleId="H23G">
    <w:name w:val="_ H_2/3_G"/>
    <w:basedOn w:val="Normal"/>
    <w:next w:val="Normal"/>
    <w:link w:val="H23GChar"/>
    <w:rsid w:val="00D6297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H23GChar">
    <w:name w:val="_ H_2/3_G Char"/>
    <w:basedOn w:val="DefaultParagraphFont"/>
    <w:link w:val="H23G"/>
    <w:rsid w:val="00D62979"/>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unhideWhenUsed/>
    <w:rsid w:val="00221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214C5"/>
    <w:rPr>
      <w:rFonts w:ascii="Courier" w:hAnsi="Courier" w:cs="Courier"/>
      <w:sz w:val="20"/>
      <w:szCs w:val="20"/>
    </w:rPr>
  </w:style>
  <w:style w:type="character" w:customStyle="1" w:styleId="quote1">
    <w:name w:val="quote1"/>
    <w:basedOn w:val="DefaultParagraphFont"/>
    <w:rsid w:val="00594E05"/>
  </w:style>
  <w:style w:type="character" w:customStyle="1" w:styleId="pagenumber0">
    <w:name w:val="pagenumber"/>
    <w:basedOn w:val="DefaultParagraphFont"/>
    <w:rsid w:val="00B018B6"/>
  </w:style>
  <w:style w:type="character" w:customStyle="1" w:styleId="hi">
    <w:name w:val="hi"/>
    <w:basedOn w:val="DefaultParagraphFont"/>
    <w:rsid w:val="003F6FD2"/>
  </w:style>
  <w:style w:type="character" w:styleId="Strong">
    <w:name w:val="Strong"/>
    <w:basedOn w:val="DefaultParagraphFont"/>
    <w:uiPriority w:val="22"/>
    <w:qFormat/>
    <w:rsid w:val="00E1423B"/>
    <w:rPr>
      <w:b/>
      <w:bCs/>
    </w:rPr>
  </w:style>
  <w:style w:type="paragraph" w:styleId="CommentSubject">
    <w:name w:val="annotation subject"/>
    <w:basedOn w:val="CommentText"/>
    <w:next w:val="CommentText"/>
    <w:link w:val="CommentSubjectChar"/>
    <w:uiPriority w:val="99"/>
    <w:semiHidden/>
    <w:unhideWhenUsed/>
    <w:rsid w:val="00B2494C"/>
    <w:rPr>
      <w:b/>
      <w:bCs/>
      <w:sz w:val="20"/>
      <w:szCs w:val="20"/>
    </w:rPr>
  </w:style>
  <w:style w:type="character" w:customStyle="1" w:styleId="CommentSubjectChar">
    <w:name w:val="Comment Subject Char"/>
    <w:basedOn w:val="CommentTextChar"/>
    <w:link w:val="CommentSubject"/>
    <w:uiPriority w:val="99"/>
    <w:semiHidden/>
    <w:rsid w:val="00B2494C"/>
    <w:rPr>
      <w:b/>
      <w:bCs/>
      <w:sz w:val="20"/>
      <w:szCs w:val="20"/>
    </w:rPr>
  </w:style>
  <w:style w:type="table" w:styleId="LightShading-Accent1">
    <w:name w:val="Light Shading Accent 1"/>
    <w:basedOn w:val="TableNormal"/>
    <w:uiPriority w:val="60"/>
    <w:rsid w:val="005A77DB"/>
    <w:rPr>
      <w:color w:val="365F91" w:themeColor="accent1" w:themeShade="BF"/>
      <w:sz w:val="22"/>
      <w:szCs w:val="22"/>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984B89"/>
    <w:pPr>
      <w:numPr>
        <w:ilvl w:val="1"/>
      </w:numPr>
      <w:spacing w:after="180" w:line="274" w:lineRule="auto"/>
    </w:pPr>
    <w:rPr>
      <w:rFonts w:eastAsiaTheme="majorEastAsia" w:cstheme="majorBidi"/>
      <w:iCs/>
      <w:color w:val="1F497D" w:themeColor="text2"/>
      <w:sz w:val="40"/>
      <w:lang w:bidi="hi-IN"/>
    </w:rPr>
  </w:style>
  <w:style w:type="character" w:customStyle="1" w:styleId="SubtitleChar">
    <w:name w:val="Subtitle Char"/>
    <w:basedOn w:val="DefaultParagraphFont"/>
    <w:link w:val="Subtitle"/>
    <w:uiPriority w:val="11"/>
    <w:rsid w:val="00984B89"/>
    <w:rPr>
      <w:rFonts w:eastAsiaTheme="majorEastAsia" w:cstheme="majorBidi"/>
      <w:iCs/>
      <w:color w:val="1F497D" w:themeColor="text2"/>
      <w:sz w:val="40"/>
      <w:lang w:bidi="hi-IN"/>
    </w:rPr>
  </w:style>
  <w:style w:type="paragraph" w:styleId="Title">
    <w:name w:val="Title"/>
    <w:basedOn w:val="Normal"/>
    <w:next w:val="Normal"/>
    <w:link w:val="TitleChar"/>
    <w:uiPriority w:val="10"/>
    <w:qFormat/>
    <w:rsid w:val="004C0678"/>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C0678"/>
    <w:rPr>
      <w:rFonts w:asciiTheme="majorHAnsi" w:eastAsiaTheme="majorEastAsia" w:hAnsiTheme="majorHAnsi" w:cstheme="majorBidi"/>
      <w:color w:val="1F497D" w:themeColor="text2"/>
      <w:spacing w:val="30"/>
      <w:kern w:val="28"/>
      <w:sz w:val="96"/>
      <w:szCs w:val="52"/>
    </w:rPr>
  </w:style>
  <w:style w:type="paragraph" w:styleId="Revision">
    <w:name w:val="Revision"/>
    <w:hidden/>
    <w:uiPriority w:val="99"/>
    <w:semiHidden/>
    <w:rsid w:val="00D74DEC"/>
  </w:style>
  <w:style w:type="paragraph" w:styleId="TOCHeading">
    <w:name w:val="TOC Heading"/>
    <w:basedOn w:val="Heading1"/>
    <w:next w:val="Normal"/>
    <w:uiPriority w:val="39"/>
    <w:semiHidden/>
    <w:unhideWhenUsed/>
    <w:qFormat/>
    <w:rsid w:val="00471761"/>
    <w:pPr>
      <w:keepLines/>
      <w:spacing w:before="480" w:after="0" w:line="276" w:lineRule="auto"/>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471761"/>
    <w:pPr>
      <w:spacing w:after="100"/>
    </w:pPr>
  </w:style>
  <w:style w:type="paragraph" w:styleId="TOC3">
    <w:name w:val="toc 3"/>
    <w:basedOn w:val="Normal"/>
    <w:next w:val="Normal"/>
    <w:autoRedefine/>
    <w:uiPriority w:val="39"/>
    <w:unhideWhenUsed/>
    <w:rsid w:val="00471761"/>
    <w:pPr>
      <w:spacing w:after="100"/>
      <w:ind w:left="480"/>
    </w:pPr>
  </w:style>
  <w:style w:type="paragraph" w:styleId="TOC2">
    <w:name w:val="toc 2"/>
    <w:basedOn w:val="Normal"/>
    <w:next w:val="Normal"/>
    <w:autoRedefine/>
    <w:uiPriority w:val="39"/>
    <w:unhideWhenUsed/>
    <w:rsid w:val="0082288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434">
      <w:bodyDiv w:val="1"/>
      <w:marLeft w:val="0"/>
      <w:marRight w:val="0"/>
      <w:marTop w:val="0"/>
      <w:marBottom w:val="0"/>
      <w:divBdr>
        <w:top w:val="none" w:sz="0" w:space="0" w:color="auto"/>
        <w:left w:val="none" w:sz="0" w:space="0" w:color="auto"/>
        <w:bottom w:val="none" w:sz="0" w:space="0" w:color="auto"/>
        <w:right w:val="none" w:sz="0" w:space="0" w:color="auto"/>
      </w:divBdr>
    </w:div>
    <w:div w:id="34160029">
      <w:bodyDiv w:val="1"/>
      <w:marLeft w:val="0"/>
      <w:marRight w:val="0"/>
      <w:marTop w:val="0"/>
      <w:marBottom w:val="0"/>
      <w:divBdr>
        <w:top w:val="none" w:sz="0" w:space="0" w:color="auto"/>
        <w:left w:val="none" w:sz="0" w:space="0" w:color="auto"/>
        <w:bottom w:val="none" w:sz="0" w:space="0" w:color="auto"/>
        <w:right w:val="none" w:sz="0" w:space="0" w:color="auto"/>
      </w:divBdr>
    </w:div>
    <w:div w:id="41949445">
      <w:bodyDiv w:val="1"/>
      <w:marLeft w:val="0"/>
      <w:marRight w:val="0"/>
      <w:marTop w:val="0"/>
      <w:marBottom w:val="0"/>
      <w:divBdr>
        <w:top w:val="none" w:sz="0" w:space="0" w:color="auto"/>
        <w:left w:val="none" w:sz="0" w:space="0" w:color="auto"/>
        <w:bottom w:val="none" w:sz="0" w:space="0" w:color="auto"/>
        <w:right w:val="none" w:sz="0" w:space="0" w:color="auto"/>
      </w:divBdr>
    </w:div>
    <w:div w:id="95445077">
      <w:bodyDiv w:val="1"/>
      <w:marLeft w:val="0"/>
      <w:marRight w:val="0"/>
      <w:marTop w:val="0"/>
      <w:marBottom w:val="0"/>
      <w:divBdr>
        <w:top w:val="none" w:sz="0" w:space="0" w:color="auto"/>
        <w:left w:val="none" w:sz="0" w:space="0" w:color="auto"/>
        <w:bottom w:val="none" w:sz="0" w:space="0" w:color="auto"/>
        <w:right w:val="none" w:sz="0" w:space="0" w:color="auto"/>
      </w:divBdr>
    </w:div>
    <w:div w:id="115759885">
      <w:bodyDiv w:val="1"/>
      <w:marLeft w:val="0"/>
      <w:marRight w:val="0"/>
      <w:marTop w:val="0"/>
      <w:marBottom w:val="0"/>
      <w:divBdr>
        <w:top w:val="none" w:sz="0" w:space="0" w:color="auto"/>
        <w:left w:val="none" w:sz="0" w:space="0" w:color="auto"/>
        <w:bottom w:val="none" w:sz="0" w:space="0" w:color="auto"/>
        <w:right w:val="none" w:sz="0" w:space="0" w:color="auto"/>
      </w:divBdr>
    </w:div>
    <w:div w:id="127287870">
      <w:bodyDiv w:val="1"/>
      <w:marLeft w:val="0"/>
      <w:marRight w:val="0"/>
      <w:marTop w:val="0"/>
      <w:marBottom w:val="0"/>
      <w:divBdr>
        <w:top w:val="none" w:sz="0" w:space="0" w:color="auto"/>
        <w:left w:val="none" w:sz="0" w:space="0" w:color="auto"/>
        <w:bottom w:val="none" w:sz="0" w:space="0" w:color="auto"/>
        <w:right w:val="none" w:sz="0" w:space="0" w:color="auto"/>
      </w:divBdr>
    </w:div>
    <w:div w:id="155728443">
      <w:bodyDiv w:val="1"/>
      <w:marLeft w:val="0"/>
      <w:marRight w:val="0"/>
      <w:marTop w:val="0"/>
      <w:marBottom w:val="0"/>
      <w:divBdr>
        <w:top w:val="none" w:sz="0" w:space="0" w:color="auto"/>
        <w:left w:val="none" w:sz="0" w:space="0" w:color="auto"/>
        <w:bottom w:val="none" w:sz="0" w:space="0" w:color="auto"/>
        <w:right w:val="none" w:sz="0" w:space="0" w:color="auto"/>
      </w:divBdr>
    </w:div>
    <w:div w:id="221329441">
      <w:bodyDiv w:val="1"/>
      <w:marLeft w:val="0"/>
      <w:marRight w:val="0"/>
      <w:marTop w:val="0"/>
      <w:marBottom w:val="0"/>
      <w:divBdr>
        <w:top w:val="none" w:sz="0" w:space="0" w:color="auto"/>
        <w:left w:val="none" w:sz="0" w:space="0" w:color="auto"/>
        <w:bottom w:val="none" w:sz="0" w:space="0" w:color="auto"/>
        <w:right w:val="none" w:sz="0" w:space="0" w:color="auto"/>
      </w:divBdr>
    </w:div>
    <w:div w:id="257907467">
      <w:bodyDiv w:val="1"/>
      <w:marLeft w:val="0"/>
      <w:marRight w:val="0"/>
      <w:marTop w:val="0"/>
      <w:marBottom w:val="0"/>
      <w:divBdr>
        <w:top w:val="none" w:sz="0" w:space="0" w:color="auto"/>
        <w:left w:val="none" w:sz="0" w:space="0" w:color="auto"/>
        <w:bottom w:val="none" w:sz="0" w:space="0" w:color="auto"/>
        <w:right w:val="none" w:sz="0" w:space="0" w:color="auto"/>
      </w:divBdr>
    </w:div>
    <w:div w:id="280697587">
      <w:bodyDiv w:val="1"/>
      <w:marLeft w:val="0"/>
      <w:marRight w:val="0"/>
      <w:marTop w:val="0"/>
      <w:marBottom w:val="0"/>
      <w:divBdr>
        <w:top w:val="none" w:sz="0" w:space="0" w:color="auto"/>
        <w:left w:val="none" w:sz="0" w:space="0" w:color="auto"/>
        <w:bottom w:val="none" w:sz="0" w:space="0" w:color="auto"/>
        <w:right w:val="none" w:sz="0" w:space="0" w:color="auto"/>
      </w:divBdr>
    </w:div>
    <w:div w:id="282276784">
      <w:bodyDiv w:val="1"/>
      <w:marLeft w:val="0"/>
      <w:marRight w:val="0"/>
      <w:marTop w:val="0"/>
      <w:marBottom w:val="0"/>
      <w:divBdr>
        <w:top w:val="none" w:sz="0" w:space="0" w:color="auto"/>
        <w:left w:val="none" w:sz="0" w:space="0" w:color="auto"/>
        <w:bottom w:val="none" w:sz="0" w:space="0" w:color="auto"/>
        <w:right w:val="none" w:sz="0" w:space="0" w:color="auto"/>
      </w:divBdr>
    </w:div>
    <w:div w:id="301545008">
      <w:bodyDiv w:val="1"/>
      <w:marLeft w:val="0"/>
      <w:marRight w:val="0"/>
      <w:marTop w:val="0"/>
      <w:marBottom w:val="0"/>
      <w:divBdr>
        <w:top w:val="none" w:sz="0" w:space="0" w:color="auto"/>
        <w:left w:val="none" w:sz="0" w:space="0" w:color="auto"/>
        <w:bottom w:val="none" w:sz="0" w:space="0" w:color="auto"/>
        <w:right w:val="none" w:sz="0" w:space="0" w:color="auto"/>
      </w:divBdr>
    </w:div>
    <w:div w:id="319895148">
      <w:bodyDiv w:val="1"/>
      <w:marLeft w:val="0"/>
      <w:marRight w:val="0"/>
      <w:marTop w:val="0"/>
      <w:marBottom w:val="0"/>
      <w:divBdr>
        <w:top w:val="none" w:sz="0" w:space="0" w:color="auto"/>
        <w:left w:val="none" w:sz="0" w:space="0" w:color="auto"/>
        <w:bottom w:val="none" w:sz="0" w:space="0" w:color="auto"/>
        <w:right w:val="none" w:sz="0" w:space="0" w:color="auto"/>
      </w:divBdr>
    </w:div>
    <w:div w:id="343821103">
      <w:bodyDiv w:val="1"/>
      <w:marLeft w:val="0"/>
      <w:marRight w:val="0"/>
      <w:marTop w:val="0"/>
      <w:marBottom w:val="0"/>
      <w:divBdr>
        <w:top w:val="none" w:sz="0" w:space="0" w:color="auto"/>
        <w:left w:val="none" w:sz="0" w:space="0" w:color="auto"/>
        <w:bottom w:val="none" w:sz="0" w:space="0" w:color="auto"/>
        <w:right w:val="none" w:sz="0" w:space="0" w:color="auto"/>
      </w:divBdr>
    </w:div>
    <w:div w:id="372578620">
      <w:bodyDiv w:val="1"/>
      <w:marLeft w:val="0"/>
      <w:marRight w:val="0"/>
      <w:marTop w:val="0"/>
      <w:marBottom w:val="0"/>
      <w:divBdr>
        <w:top w:val="none" w:sz="0" w:space="0" w:color="auto"/>
        <w:left w:val="none" w:sz="0" w:space="0" w:color="auto"/>
        <w:bottom w:val="none" w:sz="0" w:space="0" w:color="auto"/>
        <w:right w:val="none" w:sz="0" w:space="0" w:color="auto"/>
      </w:divBdr>
    </w:div>
    <w:div w:id="414791490">
      <w:bodyDiv w:val="1"/>
      <w:marLeft w:val="0"/>
      <w:marRight w:val="0"/>
      <w:marTop w:val="0"/>
      <w:marBottom w:val="0"/>
      <w:divBdr>
        <w:top w:val="none" w:sz="0" w:space="0" w:color="auto"/>
        <w:left w:val="none" w:sz="0" w:space="0" w:color="auto"/>
        <w:bottom w:val="none" w:sz="0" w:space="0" w:color="auto"/>
        <w:right w:val="none" w:sz="0" w:space="0" w:color="auto"/>
      </w:divBdr>
    </w:div>
    <w:div w:id="426390772">
      <w:bodyDiv w:val="1"/>
      <w:marLeft w:val="0"/>
      <w:marRight w:val="0"/>
      <w:marTop w:val="0"/>
      <w:marBottom w:val="0"/>
      <w:divBdr>
        <w:top w:val="none" w:sz="0" w:space="0" w:color="auto"/>
        <w:left w:val="none" w:sz="0" w:space="0" w:color="auto"/>
        <w:bottom w:val="none" w:sz="0" w:space="0" w:color="auto"/>
        <w:right w:val="none" w:sz="0" w:space="0" w:color="auto"/>
      </w:divBdr>
    </w:div>
    <w:div w:id="439491784">
      <w:bodyDiv w:val="1"/>
      <w:marLeft w:val="0"/>
      <w:marRight w:val="0"/>
      <w:marTop w:val="0"/>
      <w:marBottom w:val="0"/>
      <w:divBdr>
        <w:top w:val="none" w:sz="0" w:space="0" w:color="auto"/>
        <w:left w:val="none" w:sz="0" w:space="0" w:color="auto"/>
        <w:bottom w:val="none" w:sz="0" w:space="0" w:color="auto"/>
        <w:right w:val="none" w:sz="0" w:space="0" w:color="auto"/>
      </w:divBdr>
    </w:div>
    <w:div w:id="459105406">
      <w:bodyDiv w:val="1"/>
      <w:marLeft w:val="0"/>
      <w:marRight w:val="0"/>
      <w:marTop w:val="0"/>
      <w:marBottom w:val="0"/>
      <w:divBdr>
        <w:top w:val="none" w:sz="0" w:space="0" w:color="auto"/>
        <w:left w:val="none" w:sz="0" w:space="0" w:color="auto"/>
        <w:bottom w:val="none" w:sz="0" w:space="0" w:color="auto"/>
        <w:right w:val="none" w:sz="0" w:space="0" w:color="auto"/>
      </w:divBdr>
    </w:div>
    <w:div w:id="489256570">
      <w:bodyDiv w:val="1"/>
      <w:marLeft w:val="0"/>
      <w:marRight w:val="0"/>
      <w:marTop w:val="0"/>
      <w:marBottom w:val="0"/>
      <w:divBdr>
        <w:top w:val="none" w:sz="0" w:space="0" w:color="auto"/>
        <w:left w:val="none" w:sz="0" w:space="0" w:color="auto"/>
        <w:bottom w:val="none" w:sz="0" w:space="0" w:color="auto"/>
        <w:right w:val="none" w:sz="0" w:space="0" w:color="auto"/>
      </w:divBdr>
    </w:div>
    <w:div w:id="512190409">
      <w:bodyDiv w:val="1"/>
      <w:marLeft w:val="0"/>
      <w:marRight w:val="0"/>
      <w:marTop w:val="0"/>
      <w:marBottom w:val="0"/>
      <w:divBdr>
        <w:top w:val="none" w:sz="0" w:space="0" w:color="auto"/>
        <w:left w:val="none" w:sz="0" w:space="0" w:color="auto"/>
        <w:bottom w:val="none" w:sz="0" w:space="0" w:color="auto"/>
        <w:right w:val="none" w:sz="0" w:space="0" w:color="auto"/>
      </w:divBdr>
    </w:div>
    <w:div w:id="561327522">
      <w:bodyDiv w:val="1"/>
      <w:marLeft w:val="0"/>
      <w:marRight w:val="0"/>
      <w:marTop w:val="0"/>
      <w:marBottom w:val="0"/>
      <w:divBdr>
        <w:top w:val="none" w:sz="0" w:space="0" w:color="auto"/>
        <w:left w:val="none" w:sz="0" w:space="0" w:color="auto"/>
        <w:bottom w:val="none" w:sz="0" w:space="0" w:color="auto"/>
        <w:right w:val="none" w:sz="0" w:space="0" w:color="auto"/>
      </w:divBdr>
    </w:div>
    <w:div w:id="595209318">
      <w:bodyDiv w:val="1"/>
      <w:marLeft w:val="0"/>
      <w:marRight w:val="0"/>
      <w:marTop w:val="0"/>
      <w:marBottom w:val="0"/>
      <w:divBdr>
        <w:top w:val="none" w:sz="0" w:space="0" w:color="auto"/>
        <w:left w:val="none" w:sz="0" w:space="0" w:color="auto"/>
        <w:bottom w:val="none" w:sz="0" w:space="0" w:color="auto"/>
        <w:right w:val="none" w:sz="0" w:space="0" w:color="auto"/>
      </w:divBdr>
    </w:div>
    <w:div w:id="612370401">
      <w:bodyDiv w:val="1"/>
      <w:marLeft w:val="0"/>
      <w:marRight w:val="0"/>
      <w:marTop w:val="0"/>
      <w:marBottom w:val="0"/>
      <w:divBdr>
        <w:top w:val="none" w:sz="0" w:space="0" w:color="auto"/>
        <w:left w:val="none" w:sz="0" w:space="0" w:color="auto"/>
        <w:bottom w:val="none" w:sz="0" w:space="0" w:color="auto"/>
        <w:right w:val="none" w:sz="0" w:space="0" w:color="auto"/>
      </w:divBdr>
    </w:div>
    <w:div w:id="615022081">
      <w:bodyDiv w:val="1"/>
      <w:marLeft w:val="0"/>
      <w:marRight w:val="0"/>
      <w:marTop w:val="0"/>
      <w:marBottom w:val="0"/>
      <w:divBdr>
        <w:top w:val="none" w:sz="0" w:space="0" w:color="auto"/>
        <w:left w:val="none" w:sz="0" w:space="0" w:color="auto"/>
        <w:bottom w:val="none" w:sz="0" w:space="0" w:color="auto"/>
        <w:right w:val="none" w:sz="0" w:space="0" w:color="auto"/>
      </w:divBdr>
    </w:div>
    <w:div w:id="617840221">
      <w:bodyDiv w:val="1"/>
      <w:marLeft w:val="0"/>
      <w:marRight w:val="0"/>
      <w:marTop w:val="0"/>
      <w:marBottom w:val="0"/>
      <w:divBdr>
        <w:top w:val="none" w:sz="0" w:space="0" w:color="auto"/>
        <w:left w:val="none" w:sz="0" w:space="0" w:color="auto"/>
        <w:bottom w:val="none" w:sz="0" w:space="0" w:color="auto"/>
        <w:right w:val="none" w:sz="0" w:space="0" w:color="auto"/>
      </w:divBdr>
    </w:div>
    <w:div w:id="630675114">
      <w:bodyDiv w:val="1"/>
      <w:marLeft w:val="0"/>
      <w:marRight w:val="0"/>
      <w:marTop w:val="0"/>
      <w:marBottom w:val="0"/>
      <w:divBdr>
        <w:top w:val="none" w:sz="0" w:space="0" w:color="auto"/>
        <w:left w:val="none" w:sz="0" w:space="0" w:color="auto"/>
        <w:bottom w:val="none" w:sz="0" w:space="0" w:color="auto"/>
        <w:right w:val="none" w:sz="0" w:space="0" w:color="auto"/>
      </w:divBdr>
    </w:div>
    <w:div w:id="632567156">
      <w:bodyDiv w:val="1"/>
      <w:marLeft w:val="0"/>
      <w:marRight w:val="0"/>
      <w:marTop w:val="0"/>
      <w:marBottom w:val="0"/>
      <w:divBdr>
        <w:top w:val="none" w:sz="0" w:space="0" w:color="auto"/>
        <w:left w:val="none" w:sz="0" w:space="0" w:color="auto"/>
        <w:bottom w:val="none" w:sz="0" w:space="0" w:color="auto"/>
        <w:right w:val="none" w:sz="0" w:space="0" w:color="auto"/>
      </w:divBdr>
    </w:div>
    <w:div w:id="647855122">
      <w:bodyDiv w:val="1"/>
      <w:marLeft w:val="0"/>
      <w:marRight w:val="0"/>
      <w:marTop w:val="0"/>
      <w:marBottom w:val="0"/>
      <w:divBdr>
        <w:top w:val="none" w:sz="0" w:space="0" w:color="auto"/>
        <w:left w:val="none" w:sz="0" w:space="0" w:color="auto"/>
        <w:bottom w:val="none" w:sz="0" w:space="0" w:color="auto"/>
        <w:right w:val="none" w:sz="0" w:space="0" w:color="auto"/>
      </w:divBdr>
    </w:div>
    <w:div w:id="662929010">
      <w:bodyDiv w:val="1"/>
      <w:marLeft w:val="0"/>
      <w:marRight w:val="0"/>
      <w:marTop w:val="0"/>
      <w:marBottom w:val="0"/>
      <w:divBdr>
        <w:top w:val="none" w:sz="0" w:space="0" w:color="auto"/>
        <w:left w:val="none" w:sz="0" w:space="0" w:color="auto"/>
        <w:bottom w:val="none" w:sz="0" w:space="0" w:color="auto"/>
        <w:right w:val="none" w:sz="0" w:space="0" w:color="auto"/>
      </w:divBdr>
    </w:div>
    <w:div w:id="680938393">
      <w:bodyDiv w:val="1"/>
      <w:marLeft w:val="0"/>
      <w:marRight w:val="0"/>
      <w:marTop w:val="0"/>
      <w:marBottom w:val="0"/>
      <w:divBdr>
        <w:top w:val="none" w:sz="0" w:space="0" w:color="auto"/>
        <w:left w:val="none" w:sz="0" w:space="0" w:color="auto"/>
        <w:bottom w:val="none" w:sz="0" w:space="0" w:color="auto"/>
        <w:right w:val="none" w:sz="0" w:space="0" w:color="auto"/>
      </w:divBdr>
    </w:div>
    <w:div w:id="711228076">
      <w:bodyDiv w:val="1"/>
      <w:marLeft w:val="0"/>
      <w:marRight w:val="0"/>
      <w:marTop w:val="0"/>
      <w:marBottom w:val="0"/>
      <w:divBdr>
        <w:top w:val="none" w:sz="0" w:space="0" w:color="auto"/>
        <w:left w:val="none" w:sz="0" w:space="0" w:color="auto"/>
        <w:bottom w:val="none" w:sz="0" w:space="0" w:color="auto"/>
        <w:right w:val="none" w:sz="0" w:space="0" w:color="auto"/>
      </w:divBdr>
    </w:div>
    <w:div w:id="731730794">
      <w:bodyDiv w:val="1"/>
      <w:marLeft w:val="0"/>
      <w:marRight w:val="0"/>
      <w:marTop w:val="0"/>
      <w:marBottom w:val="0"/>
      <w:divBdr>
        <w:top w:val="none" w:sz="0" w:space="0" w:color="auto"/>
        <w:left w:val="none" w:sz="0" w:space="0" w:color="auto"/>
        <w:bottom w:val="none" w:sz="0" w:space="0" w:color="auto"/>
        <w:right w:val="none" w:sz="0" w:space="0" w:color="auto"/>
      </w:divBdr>
    </w:div>
    <w:div w:id="736362947">
      <w:bodyDiv w:val="1"/>
      <w:marLeft w:val="0"/>
      <w:marRight w:val="0"/>
      <w:marTop w:val="0"/>
      <w:marBottom w:val="0"/>
      <w:divBdr>
        <w:top w:val="none" w:sz="0" w:space="0" w:color="auto"/>
        <w:left w:val="none" w:sz="0" w:space="0" w:color="auto"/>
        <w:bottom w:val="none" w:sz="0" w:space="0" w:color="auto"/>
        <w:right w:val="none" w:sz="0" w:space="0" w:color="auto"/>
      </w:divBdr>
    </w:div>
    <w:div w:id="747310830">
      <w:bodyDiv w:val="1"/>
      <w:marLeft w:val="0"/>
      <w:marRight w:val="0"/>
      <w:marTop w:val="0"/>
      <w:marBottom w:val="0"/>
      <w:divBdr>
        <w:top w:val="none" w:sz="0" w:space="0" w:color="auto"/>
        <w:left w:val="none" w:sz="0" w:space="0" w:color="auto"/>
        <w:bottom w:val="none" w:sz="0" w:space="0" w:color="auto"/>
        <w:right w:val="none" w:sz="0" w:space="0" w:color="auto"/>
      </w:divBdr>
    </w:div>
    <w:div w:id="760642729">
      <w:bodyDiv w:val="1"/>
      <w:marLeft w:val="0"/>
      <w:marRight w:val="0"/>
      <w:marTop w:val="0"/>
      <w:marBottom w:val="0"/>
      <w:divBdr>
        <w:top w:val="none" w:sz="0" w:space="0" w:color="auto"/>
        <w:left w:val="none" w:sz="0" w:space="0" w:color="auto"/>
        <w:bottom w:val="none" w:sz="0" w:space="0" w:color="auto"/>
        <w:right w:val="none" w:sz="0" w:space="0" w:color="auto"/>
      </w:divBdr>
    </w:div>
    <w:div w:id="772281777">
      <w:bodyDiv w:val="1"/>
      <w:marLeft w:val="0"/>
      <w:marRight w:val="0"/>
      <w:marTop w:val="0"/>
      <w:marBottom w:val="0"/>
      <w:divBdr>
        <w:top w:val="none" w:sz="0" w:space="0" w:color="auto"/>
        <w:left w:val="none" w:sz="0" w:space="0" w:color="auto"/>
        <w:bottom w:val="none" w:sz="0" w:space="0" w:color="auto"/>
        <w:right w:val="none" w:sz="0" w:space="0" w:color="auto"/>
      </w:divBdr>
    </w:div>
    <w:div w:id="788400560">
      <w:bodyDiv w:val="1"/>
      <w:marLeft w:val="0"/>
      <w:marRight w:val="0"/>
      <w:marTop w:val="0"/>
      <w:marBottom w:val="0"/>
      <w:divBdr>
        <w:top w:val="none" w:sz="0" w:space="0" w:color="auto"/>
        <w:left w:val="none" w:sz="0" w:space="0" w:color="auto"/>
        <w:bottom w:val="none" w:sz="0" w:space="0" w:color="auto"/>
        <w:right w:val="none" w:sz="0" w:space="0" w:color="auto"/>
      </w:divBdr>
    </w:div>
    <w:div w:id="790367993">
      <w:bodyDiv w:val="1"/>
      <w:marLeft w:val="0"/>
      <w:marRight w:val="0"/>
      <w:marTop w:val="0"/>
      <w:marBottom w:val="0"/>
      <w:divBdr>
        <w:top w:val="none" w:sz="0" w:space="0" w:color="auto"/>
        <w:left w:val="none" w:sz="0" w:space="0" w:color="auto"/>
        <w:bottom w:val="none" w:sz="0" w:space="0" w:color="auto"/>
        <w:right w:val="none" w:sz="0" w:space="0" w:color="auto"/>
      </w:divBdr>
    </w:div>
    <w:div w:id="792477033">
      <w:bodyDiv w:val="1"/>
      <w:marLeft w:val="0"/>
      <w:marRight w:val="0"/>
      <w:marTop w:val="0"/>
      <w:marBottom w:val="0"/>
      <w:divBdr>
        <w:top w:val="none" w:sz="0" w:space="0" w:color="auto"/>
        <w:left w:val="none" w:sz="0" w:space="0" w:color="auto"/>
        <w:bottom w:val="none" w:sz="0" w:space="0" w:color="auto"/>
        <w:right w:val="none" w:sz="0" w:space="0" w:color="auto"/>
      </w:divBdr>
    </w:div>
    <w:div w:id="809639085">
      <w:bodyDiv w:val="1"/>
      <w:marLeft w:val="0"/>
      <w:marRight w:val="0"/>
      <w:marTop w:val="0"/>
      <w:marBottom w:val="0"/>
      <w:divBdr>
        <w:top w:val="none" w:sz="0" w:space="0" w:color="auto"/>
        <w:left w:val="none" w:sz="0" w:space="0" w:color="auto"/>
        <w:bottom w:val="none" w:sz="0" w:space="0" w:color="auto"/>
        <w:right w:val="none" w:sz="0" w:space="0" w:color="auto"/>
      </w:divBdr>
    </w:div>
    <w:div w:id="821313279">
      <w:bodyDiv w:val="1"/>
      <w:marLeft w:val="0"/>
      <w:marRight w:val="0"/>
      <w:marTop w:val="0"/>
      <w:marBottom w:val="0"/>
      <w:divBdr>
        <w:top w:val="none" w:sz="0" w:space="0" w:color="auto"/>
        <w:left w:val="none" w:sz="0" w:space="0" w:color="auto"/>
        <w:bottom w:val="none" w:sz="0" w:space="0" w:color="auto"/>
        <w:right w:val="none" w:sz="0" w:space="0" w:color="auto"/>
      </w:divBdr>
    </w:div>
    <w:div w:id="828441070">
      <w:bodyDiv w:val="1"/>
      <w:marLeft w:val="0"/>
      <w:marRight w:val="0"/>
      <w:marTop w:val="0"/>
      <w:marBottom w:val="0"/>
      <w:divBdr>
        <w:top w:val="none" w:sz="0" w:space="0" w:color="auto"/>
        <w:left w:val="none" w:sz="0" w:space="0" w:color="auto"/>
        <w:bottom w:val="none" w:sz="0" w:space="0" w:color="auto"/>
        <w:right w:val="none" w:sz="0" w:space="0" w:color="auto"/>
      </w:divBdr>
    </w:div>
    <w:div w:id="888685957">
      <w:bodyDiv w:val="1"/>
      <w:marLeft w:val="0"/>
      <w:marRight w:val="0"/>
      <w:marTop w:val="0"/>
      <w:marBottom w:val="0"/>
      <w:divBdr>
        <w:top w:val="none" w:sz="0" w:space="0" w:color="auto"/>
        <w:left w:val="none" w:sz="0" w:space="0" w:color="auto"/>
        <w:bottom w:val="none" w:sz="0" w:space="0" w:color="auto"/>
        <w:right w:val="none" w:sz="0" w:space="0" w:color="auto"/>
      </w:divBdr>
    </w:div>
    <w:div w:id="916206983">
      <w:bodyDiv w:val="1"/>
      <w:marLeft w:val="0"/>
      <w:marRight w:val="0"/>
      <w:marTop w:val="0"/>
      <w:marBottom w:val="0"/>
      <w:divBdr>
        <w:top w:val="none" w:sz="0" w:space="0" w:color="auto"/>
        <w:left w:val="none" w:sz="0" w:space="0" w:color="auto"/>
        <w:bottom w:val="none" w:sz="0" w:space="0" w:color="auto"/>
        <w:right w:val="none" w:sz="0" w:space="0" w:color="auto"/>
      </w:divBdr>
    </w:div>
    <w:div w:id="921334291">
      <w:bodyDiv w:val="1"/>
      <w:marLeft w:val="0"/>
      <w:marRight w:val="0"/>
      <w:marTop w:val="0"/>
      <w:marBottom w:val="0"/>
      <w:divBdr>
        <w:top w:val="none" w:sz="0" w:space="0" w:color="auto"/>
        <w:left w:val="none" w:sz="0" w:space="0" w:color="auto"/>
        <w:bottom w:val="none" w:sz="0" w:space="0" w:color="auto"/>
        <w:right w:val="none" w:sz="0" w:space="0" w:color="auto"/>
      </w:divBdr>
    </w:div>
    <w:div w:id="979923235">
      <w:bodyDiv w:val="1"/>
      <w:marLeft w:val="0"/>
      <w:marRight w:val="0"/>
      <w:marTop w:val="0"/>
      <w:marBottom w:val="0"/>
      <w:divBdr>
        <w:top w:val="none" w:sz="0" w:space="0" w:color="auto"/>
        <w:left w:val="none" w:sz="0" w:space="0" w:color="auto"/>
        <w:bottom w:val="none" w:sz="0" w:space="0" w:color="auto"/>
        <w:right w:val="none" w:sz="0" w:space="0" w:color="auto"/>
      </w:divBdr>
    </w:div>
    <w:div w:id="1022324743">
      <w:bodyDiv w:val="1"/>
      <w:marLeft w:val="0"/>
      <w:marRight w:val="0"/>
      <w:marTop w:val="0"/>
      <w:marBottom w:val="0"/>
      <w:divBdr>
        <w:top w:val="none" w:sz="0" w:space="0" w:color="auto"/>
        <w:left w:val="none" w:sz="0" w:space="0" w:color="auto"/>
        <w:bottom w:val="none" w:sz="0" w:space="0" w:color="auto"/>
        <w:right w:val="none" w:sz="0" w:space="0" w:color="auto"/>
      </w:divBdr>
    </w:div>
    <w:div w:id="1028944036">
      <w:bodyDiv w:val="1"/>
      <w:marLeft w:val="0"/>
      <w:marRight w:val="0"/>
      <w:marTop w:val="0"/>
      <w:marBottom w:val="0"/>
      <w:divBdr>
        <w:top w:val="none" w:sz="0" w:space="0" w:color="auto"/>
        <w:left w:val="none" w:sz="0" w:space="0" w:color="auto"/>
        <w:bottom w:val="none" w:sz="0" w:space="0" w:color="auto"/>
        <w:right w:val="none" w:sz="0" w:space="0" w:color="auto"/>
      </w:divBdr>
    </w:div>
    <w:div w:id="1046444203">
      <w:bodyDiv w:val="1"/>
      <w:marLeft w:val="0"/>
      <w:marRight w:val="0"/>
      <w:marTop w:val="0"/>
      <w:marBottom w:val="0"/>
      <w:divBdr>
        <w:top w:val="none" w:sz="0" w:space="0" w:color="auto"/>
        <w:left w:val="none" w:sz="0" w:space="0" w:color="auto"/>
        <w:bottom w:val="none" w:sz="0" w:space="0" w:color="auto"/>
        <w:right w:val="none" w:sz="0" w:space="0" w:color="auto"/>
      </w:divBdr>
    </w:div>
    <w:div w:id="1050378094">
      <w:bodyDiv w:val="1"/>
      <w:marLeft w:val="0"/>
      <w:marRight w:val="0"/>
      <w:marTop w:val="0"/>
      <w:marBottom w:val="0"/>
      <w:divBdr>
        <w:top w:val="none" w:sz="0" w:space="0" w:color="auto"/>
        <w:left w:val="none" w:sz="0" w:space="0" w:color="auto"/>
        <w:bottom w:val="none" w:sz="0" w:space="0" w:color="auto"/>
        <w:right w:val="none" w:sz="0" w:space="0" w:color="auto"/>
      </w:divBdr>
    </w:div>
    <w:div w:id="1084689526">
      <w:bodyDiv w:val="1"/>
      <w:marLeft w:val="0"/>
      <w:marRight w:val="0"/>
      <w:marTop w:val="0"/>
      <w:marBottom w:val="0"/>
      <w:divBdr>
        <w:top w:val="none" w:sz="0" w:space="0" w:color="auto"/>
        <w:left w:val="none" w:sz="0" w:space="0" w:color="auto"/>
        <w:bottom w:val="none" w:sz="0" w:space="0" w:color="auto"/>
        <w:right w:val="none" w:sz="0" w:space="0" w:color="auto"/>
      </w:divBdr>
    </w:div>
    <w:div w:id="1120418662">
      <w:bodyDiv w:val="1"/>
      <w:marLeft w:val="0"/>
      <w:marRight w:val="0"/>
      <w:marTop w:val="0"/>
      <w:marBottom w:val="0"/>
      <w:divBdr>
        <w:top w:val="none" w:sz="0" w:space="0" w:color="auto"/>
        <w:left w:val="none" w:sz="0" w:space="0" w:color="auto"/>
        <w:bottom w:val="none" w:sz="0" w:space="0" w:color="auto"/>
        <w:right w:val="none" w:sz="0" w:space="0" w:color="auto"/>
      </w:divBdr>
    </w:div>
    <w:div w:id="1149128846">
      <w:bodyDiv w:val="1"/>
      <w:marLeft w:val="0"/>
      <w:marRight w:val="0"/>
      <w:marTop w:val="0"/>
      <w:marBottom w:val="0"/>
      <w:divBdr>
        <w:top w:val="none" w:sz="0" w:space="0" w:color="auto"/>
        <w:left w:val="none" w:sz="0" w:space="0" w:color="auto"/>
        <w:bottom w:val="none" w:sz="0" w:space="0" w:color="auto"/>
        <w:right w:val="none" w:sz="0" w:space="0" w:color="auto"/>
      </w:divBdr>
    </w:div>
    <w:div w:id="1159468793">
      <w:bodyDiv w:val="1"/>
      <w:marLeft w:val="0"/>
      <w:marRight w:val="0"/>
      <w:marTop w:val="0"/>
      <w:marBottom w:val="0"/>
      <w:divBdr>
        <w:top w:val="none" w:sz="0" w:space="0" w:color="auto"/>
        <w:left w:val="none" w:sz="0" w:space="0" w:color="auto"/>
        <w:bottom w:val="none" w:sz="0" w:space="0" w:color="auto"/>
        <w:right w:val="none" w:sz="0" w:space="0" w:color="auto"/>
      </w:divBdr>
    </w:div>
    <w:div w:id="1181970048">
      <w:bodyDiv w:val="1"/>
      <w:marLeft w:val="0"/>
      <w:marRight w:val="0"/>
      <w:marTop w:val="0"/>
      <w:marBottom w:val="0"/>
      <w:divBdr>
        <w:top w:val="none" w:sz="0" w:space="0" w:color="auto"/>
        <w:left w:val="none" w:sz="0" w:space="0" w:color="auto"/>
        <w:bottom w:val="none" w:sz="0" w:space="0" w:color="auto"/>
        <w:right w:val="none" w:sz="0" w:space="0" w:color="auto"/>
      </w:divBdr>
    </w:div>
    <w:div w:id="1192496781">
      <w:bodyDiv w:val="1"/>
      <w:marLeft w:val="0"/>
      <w:marRight w:val="0"/>
      <w:marTop w:val="0"/>
      <w:marBottom w:val="0"/>
      <w:divBdr>
        <w:top w:val="none" w:sz="0" w:space="0" w:color="auto"/>
        <w:left w:val="none" w:sz="0" w:space="0" w:color="auto"/>
        <w:bottom w:val="none" w:sz="0" w:space="0" w:color="auto"/>
        <w:right w:val="none" w:sz="0" w:space="0" w:color="auto"/>
      </w:divBdr>
    </w:div>
    <w:div w:id="1205024339">
      <w:bodyDiv w:val="1"/>
      <w:marLeft w:val="0"/>
      <w:marRight w:val="0"/>
      <w:marTop w:val="0"/>
      <w:marBottom w:val="0"/>
      <w:divBdr>
        <w:top w:val="none" w:sz="0" w:space="0" w:color="auto"/>
        <w:left w:val="none" w:sz="0" w:space="0" w:color="auto"/>
        <w:bottom w:val="none" w:sz="0" w:space="0" w:color="auto"/>
        <w:right w:val="none" w:sz="0" w:space="0" w:color="auto"/>
      </w:divBdr>
    </w:div>
    <w:div w:id="1276062591">
      <w:bodyDiv w:val="1"/>
      <w:marLeft w:val="0"/>
      <w:marRight w:val="0"/>
      <w:marTop w:val="0"/>
      <w:marBottom w:val="0"/>
      <w:divBdr>
        <w:top w:val="none" w:sz="0" w:space="0" w:color="auto"/>
        <w:left w:val="none" w:sz="0" w:space="0" w:color="auto"/>
        <w:bottom w:val="none" w:sz="0" w:space="0" w:color="auto"/>
        <w:right w:val="none" w:sz="0" w:space="0" w:color="auto"/>
      </w:divBdr>
    </w:div>
    <w:div w:id="1320816011">
      <w:bodyDiv w:val="1"/>
      <w:marLeft w:val="0"/>
      <w:marRight w:val="0"/>
      <w:marTop w:val="0"/>
      <w:marBottom w:val="0"/>
      <w:divBdr>
        <w:top w:val="none" w:sz="0" w:space="0" w:color="auto"/>
        <w:left w:val="none" w:sz="0" w:space="0" w:color="auto"/>
        <w:bottom w:val="none" w:sz="0" w:space="0" w:color="auto"/>
        <w:right w:val="none" w:sz="0" w:space="0" w:color="auto"/>
      </w:divBdr>
    </w:div>
    <w:div w:id="1383598439">
      <w:bodyDiv w:val="1"/>
      <w:marLeft w:val="0"/>
      <w:marRight w:val="0"/>
      <w:marTop w:val="0"/>
      <w:marBottom w:val="0"/>
      <w:divBdr>
        <w:top w:val="none" w:sz="0" w:space="0" w:color="auto"/>
        <w:left w:val="none" w:sz="0" w:space="0" w:color="auto"/>
        <w:bottom w:val="none" w:sz="0" w:space="0" w:color="auto"/>
        <w:right w:val="none" w:sz="0" w:space="0" w:color="auto"/>
      </w:divBdr>
    </w:div>
    <w:div w:id="1425879759">
      <w:bodyDiv w:val="1"/>
      <w:marLeft w:val="0"/>
      <w:marRight w:val="0"/>
      <w:marTop w:val="0"/>
      <w:marBottom w:val="0"/>
      <w:divBdr>
        <w:top w:val="none" w:sz="0" w:space="0" w:color="auto"/>
        <w:left w:val="none" w:sz="0" w:space="0" w:color="auto"/>
        <w:bottom w:val="none" w:sz="0" w:space="0" w:color="auto"/>
        <w:right w:val="none" w:sz="0" w:space="0" w:color="auto"/>
      </w:divBdr>
    </w:div>
    <w:div w:id="1448307054">
      <w:bodyDiv w:val="1"/>
      <w:marLeft w:val="0"/>
      <w:marRight w:val="0"/>
      <w:marTop w:val="0"/>
      <w:marBottom w:val="0"/>
      <w:divBdr>
        <w:top w:val="none" w:sz="0" w:space="0" w:color="auto"/>
        <w:left w:val="none" w:sz="0" w:space="0" w:color="auto"/>
        <w:bottom w:val="none" w:sz="0" w:space="0" w:color="auto"/>
        <w:right w:val="none" w:sz="0" w:space="0" w:color="auto"/>
      </w:divBdr>
    </w:div>
    <w:div w:id="1456295736">
      <w:bodyDiv w:val="1"/>
      <w:marLeft w:val="0"/>
      <w:marRight w:val="0"/>
      <w:marTop w:val="0"/>
      <w:marBottom w:val="0"/>
      <w:divBdr>
        <w:top w:val="none" w:sz="0" w:space="0" w:color="auto"/>
        <w:left w:val="none" w:sz="0" w:space="0" w:color="auto"/>
        <w:bottom w:val="none" w:sz="0" w:space="0" w:color="auto"/>
        <w:right w:val="none" w:sz="0" w:space="0" w:color="auto"/>
      </w:divBdr>
    </w:div>
    <w:div w:id="1467309199">
      <w:bodyDiv w:val="1"/>
      <w:marLeft w:val="0"/>
      <w:marRight w:val="0"/>
      <w:marTop w:val="0"/>
      <w:marBottom w:val="0"/>
      <w:divBdr>
        <w:top w:val="none" w:sz="0" w:space="0" w:color="auto"/>
        <w:left w:val="none" w:sz="0" w:space="0" w:color="auto"/>
        <w:bottom w:val="none" w:sz="0" w:space="0" w:color="auto"/>
        <w:right w:val="none" w:sz="0" w:space="0" w:color="auto"/>
      </w:divBdr>
    </w:div>
    <w:div w:id="1493443992">
      <w:bodyDiv w:val="1"/>
      <w:marLeft w:val="0"/>
      <w:marRight w:val="0"/>
      <w:marTop w:val="0"/>
      <w:marBottom w:val="0"/>
      <w:divBdr>
        <w:top w:val="none" w:sz="0" w:space="0" w:color="auto"/>
        <w:left w:val="none" w:sz="0" w:space="0" w:color="auto"/>
        <w:bottom w:val="none" w:sz="0" w:space="0" w:color="auto"/>
        <w:right w:val="none" w:sz="0" w:space="0" w:color="auto"/>
      </w:divBdr>
    </w:div>
    <w:div w:id="1523006956">
      <w:bodyDiv w:val="1"/>
      <w:marLeft w:val="0"/>
      <w:marRight w:val="0"/>
      <w:marTop w:val="0"/>
      <w:marBottom w:val="0"/>
      <w:divBdr>
        <w:top w:val="none" w:sz="0" w:space="0" w:color="auto"/>
        <w:left w:val="none" w:sz="0" w:space="0" w:color="auto"/>
        <w:bottom w:val="none" w:sz="0" w:space="0" w:color="auto"/>
        <w:right w:val="none" w:sz="0" w:space="0" w:color="auto"/>
      </w:divBdr>
    </w:div>
    <w:div w:id="1545940977">
      <w:bodyDiv w:val="1"/>
      <w:marLeft w:val="0"/>
      <w:marRight w:val="0"/>
      <w:marTop w:val="0"/>
      <w:marBottom w:val="0"/>
      <w:divBdr>
        <w:top w:val="none" w:sz="0" w:space="0" w:color="auto"/>
        <w:left w:val="none" w:sz="0" w:space="0" w:color="auto"/>
        <w:bottom w:val="none" w:sz="0" w:space="0" w:color="auto"/>
        <w:right w:val="none" w:sz="0" w:space="0" w:color="auto"/>
      </w:divBdr>
    </w:div>
    <w:div w:id="1559629024">
      <w:bodyDiv w:val="1"/>
      <w:marLeft w:val="0"/>
      <w:marRight w:val="0"/>
      <w:marTop w:val="0"/>
      <w:marBottom w:val="0"/>
      <w:divBdr>
        <w:top w:val="none" w:sz="0" w:space="0" w:color="auto"/>
        <w:left w:val="none" w:sz="0" w:space="0" w:color="auto"/>
        <w:bottom w:val="none" w:sz="0" w:space="0" w:color="auto"/>
        <w:right w:val="none" w:sz="0" w:space="0" w:color="auto"/>
      </w:divBdr>
    </w:div>
    <w:div w:id="1565097636">
      <w:bodyDiv w:val="1"/>
      <w:marLeft w:val="0"/>
      <w:marRight w:val="0"/>
      <w:marTop w:val="0"/>
      <w:marBottom w:val="0"/>
      <w:divBdr>
        <w:top w:val="none" w:sz="0" w:space="0" w:color="auto"/>
        <w:left w:val="none" w:sz="0" w:space="0" w:color="auto"/>
        <w:bottom w:val="none" w:sz="0" w:space="0" w:color="auto"/>
        <w:right w:val="none" w:sz="0" w:space="0" w:color="auto"/>
      </w:divBdr>
    </w:div>
    <w:div w:id="1569731380">
      <w:bodyDiv w:val="1"/>
      <w:marLeft w:val="0"/>
      <w:marRight w:val="0"/>
      <w:marTop w:val="0"/>
      <w:marBottom w:val="0"/>
      <w:divBdr>
        <w:top w:val="none" w:sz="0" w:space="0" w:color="auto"/>
        <w:left w:val="none" w:sz="0" w:space="0" w:color="auto"/>
        <w:bottom w:val="none" w:sz="0" w:space="0" w:color="auto"/>
        <w:right w:val="none" w:sz="0" w:space="0" w:color="auto"/>
      </w:divBdr>
    </w:div>
    <w:div w:id="1622344890">
      <w:bodyDiv w:val="1"/>
      <w:marLeft w:val="0"/>
      <w:marRight w:val="0"/>
      <w:marTop w:val="0"/>
      <w:marBottom w:val="0"/>
      <w:divBdr>
        <w:top w:val="none" w:sz="0" w:space="0" w:color="auto"/>
        <w:left w:val="none" w:sz="0" w:space="0" w:color="auto"/>
        <w:bottom w:val="none" w:sz="0" w:space="0" w:color="auto"/>
        <w:right w:val="none" w:sz="0" w:space="0" w:color="auto"/>
      </w:divBdr>
    </w:div>
    <w:div w:id="1665666760">
      <w:bodyDiv w:val="1"/>
      <w:marLeft w:val="0"/>
      <w:marRight w:val="0"/>
      <w:marTop w:val="0"/>
      <w:marBottom w:val="0"/>
      <w:divBdr>
        <w:top w:val="none" w:sz="0" w:space="0" w:color="auto"/>
        <w:left w:val="none" w:sz="0" w:space="0" w:color="auto"/>
        <w:bottom w:val="none" w:sz="0" w:space="0" w:color="auto"/>
        <w:right w:val="none" w:sz="0" w:space="0" w:color="auto"/>
      </w:divBdr>
    </w:div>
    <w:div w:id="1671710826">
      <w:bodyDiv w:val="1"/>
      <w:marLeft w:val="0"/>
      <w:marRight w:val="0"/>
      <w:marTop w:val="0"/>
      <w:marBottom w:val="0"/>
      <w:divBdr>
        <w:top w:val="none" w:sz="0" w:space="0" w:color="auto"/>
        <w:left w:val="none" w:sz="0" w:space="0" w:color="auto"/>
        <w:bottom w:val="none" w:sz="0" w:space="0" w:color="auto"/>
        <w:right w:val="none" w:sz="0" w:space="0" w:color="auto"/>
      </w:divBdr>
    </w:div>
    <w:div w:id="1685784930">
      <w:bodyDiv w:val="1"/>
      <w:marLeft w:val="0"/>
      <w:marRight w:val="0"/>
      <w:marTop w:val="0"/>
      <w:marBottom w:val="0"/>
      <w:divBdr>
        <w:top w:val="none" w:sz="0" w:space="0" w:color="auto"/>
        <w:left w:val="none" w:sz="0" w:space="0" w:color="auto"/>
        <w:bottom w:val="none" w:sz="0" w:space="0" w:color="auto"/>
        <w:right w:val="none" w:sz="0" w:space="0" w:color="auto"/>
      </w:divBdr>
    </w:div>
    <w:div w:id="1697929366">
      <w:bodyDiv w:val="1"/>
      <w:marLeft w:val="0"/>
      <w:marRight w:val="0"/>
      <w:marTop w:val="0"/>
      <w:marBottom w:val="0"/>
      <w:divBdr>
        <w:top w:val="none" w:sz="0" w:space="0" w:color="auto"/>
        <w:left w:val="none" w:sz="0" w:space="0" w:color="auto"/>
        <w:bottom w:val="none" w:sz="0" w:space="0" w:color="auto"/>
        <w:right w:val="none" w:sz="0" w:space="0" w:color="auto"/>
      </w:divBdr>
    </w:div>
    <w:div w:id="1766920481">
      <w:bodyDiv w:val="1"/>
      <w:marLeft w:val="0"/>
      <w:marRight w:val="0"/>
      <w:marTop w:val="0"/>
      <w:marBottom w:val="0"/>
      <w:divBdr>
        <w:top w:val="none" w:sz="0" w:space="0" w:color="auto"/>
        <w:left w:val="none" w:sz="0" w:space="0" w:color="auto"/>
        <w:bottom w:val="none" w:sz="0" w:space="0" w:color="auto"/>
        <w:right w:val="none" w:sz="0" w:space="0" w:color="auto"/>
      </w:divBdr>
    </w:div>
    <w:div w:id="1829513328">
      <w:bodyDiv w:val="1"/>
      <w:marLeft w:val="0"/>
      <w:marRight w:val="0"/>
      <w:marTop w:val="0"/>
      <w:marBottom w:val="0"/>
      <w:divBdr>
        <w:top w:val="none" w:sz="0" w:space="0" w:color="auto"/>
        <w:left w:val="none" w:sz="0" w:space="0" w:color="auto"/>
        <w:bottom w:val="none" w:sz="0" w:space="0" w:color="auto"/>
        <w:right w:val="none" w:sz="0" w:space="0" w:color="auto"/>
      </w:divBdr>
    </w:div>
    <w:div w:id="1862206547">
      <w:bodyDiv w:val="1"/>
      <w:marLeft w:val="0"/>
      <w:marRight w:val="0"/>
      <w:marTop w:val="0"/>
      <w:marBottom w:val="0"/>
      <w:divBdr>
        <w:top w:val="none" w:sz="0" w:space="0" w:color="auto"/>
        <w:left w:val="none" w:sz="0" w:space="0" w:color="auto"/>
        <w:bottom w:val="none" w:sz="0" w:space="0" w:color="auto"/>
        <w:right w:val="none" w:sz="0" w:space="0" w:color="auto"/>
      </w:divBdr>
    </w:div>
    <w:div w:id="1904562698">
      <w:bodyDiv w:val="1"/>
      <w:marLeft w:val="0"/>
      <w:marRight w:val="0"/>
      <w:marTop w:val="0"/>
      <w:marBottom w:val="0"/>
      <w:divBdr>
        <w:top w:val="none" w:sz="0" w:space="0" w:color="auto"/>
        <w:left w:val="none" w:sz="0" w:space="0" w:color="auto"/>
        <w:bottom w:val="none" w:sz="0" w:space="0" w:color="auto"/>
        <w:right w:val="none" w:sz="0" w:space="0" w:color="auto"/>
      </w:divBdr>
    </w:div>
    <w:div w:id="1941252059">
      <w:bodyDiv w:val="1"/>
      <w:marLeft w:val="0"/>
      <w:marRight w:val="0"/>
      <w:marTop w:val="0"/>
      <w:marBottom w:val="0"/>
      <w:divBdr>
        <w:top w:val="none" w:sz="0" w:space="0" w:color="auto"/>
        <w:left w:val="none" w:sz="0" w:space="0" w:color="auto"/>
        <w:bottom w:val="none" w:sz="0" w:space="0" w:color="auto"/>
        <w:right w:val="none" w:sz="0" w:space="0" w:color="auto"/>
      </w:divBdr>
    </w:div>
    <w:div w:id="1944650347">
      <w:bodyDiv w:val="1"/>
      <w:marLeft w:val="0"/>
      <w:marRight w:val="0"/>
      <w:marTop w:val="0"/>
      <w:marBottom w:val="0"/>
      <w:divBdr>
        <w:top w:val="none" w:sz="0" w:space="0" w:color="auto"/>
        <w:left w:val="none" w:sz="0" w:space="0" w:color="auto"/>
        <w:bottom w:val="none" w:sz="0" w:space="0" w:color="auto"/>
        <w:right w:val="none" w:sz="0" w:space="0" w:color="auto"/>
      </w:divBdr>
    </w:div>
    <w:div w:id="1946764877">
      <w:bodyDiv w:val="1"/>
      <w:marLeft w:val="0"/>
      <w:marRight w:val="0"/>
      <w:marTop w:val="0"/>
      <w:marBottom w:val="0"/>
      <w:divBdr>
        <w:top w:val="none" w:sz="0" w:space="0" w:color="auto"/>
        <w:left w:val="none" w:sz="0" w:space="0" w:color="auto"/>
        <w:bottom w:val="none" w:sz="0" w:space="0" w:color="auto"/>
        <w:right w:val="none" w:sz="0" w:space="0" w:color="auto"/>
      </w:divBdr>
    </w:div>
    <w:div w:id="1960842460">
      <w:bodyDiv w:val="1"/>
      <w:marLeft w:val="0"/>
      <w:marRight w:val="0"/>
      <w:marTop w:val="0"/>
      <w:marBottom w:val="0"/>
      <w:divBdr>
        <w:top w:val="none" w:sz="0" w:space="0" w:color="auto"/>
        <w:left w:val="none" w:sz="0" w:space="0" w:color="auto"/>
        <w:bottom w:val="none" w:sz="0" w:space="0" w:color="auto"/>
        <w:right w:val="none" w:sz="0" w:space="0" w:color="auto"/>
      </w:divBdr>
    </w:div>
    <w:div w:id="1988625255">
      <w:bodyDiv w:val="1"/>
      <w:marLeft w:val="0"/>
      <w:marRight w:val="0"/>
      <w:marTop w:val="0"/>
      <w:marBottom w:val="0"/>
      <w:divBdr>
        <w:top w:val="none" w:sz="0" w:space="0" w:color="auto"/>
        <w:left w:val="none" w:sz="0" w:space="0" w:color="auto"/>
        <w:bottom w:val="none" w:sz="0" w:space="0" w:color="auto"/>
        <w:right w:val="none" w:sz="0" w:space="0" w:color="auto"/>
      </w:divBdr>
    </w:div>
    <w:div w:id="2017078432">
      <w:bodyDiv w:val="1"/>
      <w:marLeft w:val="0"/>
      <w:marRight w:val="0"/>
      <w:marTop w:val="0"/>
      <w:marBottom w:val="0"/>
      <w:divBdr>
        <w:top w:val="none" w:sz="0" w:space="0" w:color="auto"/>
        <w:left w:val="none" w:sz="0" w:space="0" w:color="auto"/>
        <w:bottom w:val="none" w:sz="0" w:space="0" w:color="auto"/>
        <w:right w:val="none" w:sz="0" w:space="0" w:color="auto"/>
      </w:divBdr>
    </w:div>
    <w:div w:id="2038583479">
      <w:bodyDiv w:val="1"/>
      <w:marLeft w:val="0"/>
      <w:marRight w:val="0"/>
      <w:marTop w:val="0"/>
      <w:marBottom w:val="0"/>
      <w:divBdr>
        <w:top w:val="none" w:sz="0" w:space="0" w:color="auto"/>
        <w:left w:val="none" w:sz="0" w:space="0" w:color="auto"/>
        <w:bottom w:val="none" w:sz="0" w:space="0" w:color="auto"/>
        <w:right w:val="none" w:sz="0" w:space="0" w:color="auto"/>
      </w:divBdr>
    </w:div>
    <w:div w:id="2056158659">
      <w:bodyDiv w:val="1"/>
      <w:marLeft w:val="0"/>
      <w:marRight w:val="0"/>
      <w:marTop w:val="0"/>
      <w:marBottom w:val="0"/>
      <w:divBdr>
        <w:top w:val="none" w:sz="0" w:space="0" w:color="auto"/>
        <w:left w:val="none" w:sz="0" w:space="0" w:color="auto"/>
        <w:bottom w:val="none" w:sz="0" w:space="0" w:color="auto"/>
        <w:right w:val="none" w:sz="0" w:space="0" w:color="auto"/>
      </w:divBdr>
    </w:div>
    <w:div w:id="2103257719">
      <w:bodyDiv w:val="1"/>
      <w:marLeft w:val="0"/>
      <w:marRight w:val="0"/>
      <w:marTop w:val="0"/>
      <w:marBottom w:val="0"/>
      <w:divBdr>
        <w:top w:val="none" w:sz="0" w:space="0" w:color="auto"/>
        <w:left w:val="none" w:sz="0" w:space="0" w:color="auto"/>
        <w:bottom w:val="none" w:sz="0" w:space="0" w:color="auto"/>
        <w:right w:val="none" w:sz="0" w:space="0" w:color="auto"/>
      </w:divBdr>
    </w:div>
    <w:div w:id="2110811549">
      <w:bodyDiv w:val="1"/>
      <w:marLeft w:val="0"/>
      <w:marRight w:val="0"/>
      <w:marTop w:val="0"/>
      <w:marBottom w:val="0"/>
      <w:divBdr>
        <w:top w:val="none" w:sz="0" w:space="0" w:color="auto"/>
        <w:left w:val="none" w:sz="0" w:space="0" w:color="auto"/>
        <w:bottom w:val="none" w:sz="0" w:space="0" w:color="auto"/>
        <w:right w:val="none" w:sz="0" w:space="0" w:color="auto"/>
      </w:divBdr>
    </w:div>
    <w:div w:id="2132017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H:\MAKING-THE-NORMATIVE-CASE-IMPLEMENTING-SCR-1325-SUBMISSION-15-APRIL-2015.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w.probonomatters@lse.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w.probonomatters@lse.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hrw.org/sites/default/files/reports/iraq0214webwcover.pdf" TargetMode="External"/><Relationship Id="rId3" Type="http://schemas.openxmlformats.org/officeDocument/2006/relationships/hyperlink" Target="http://daccess-ods.un.org/access.nsf/Get?Open&amp;DS=S/PRST/2004/40&amp;Lang=E" TargetMode="External"/><Relationship Id="rId7" Type="http://schemas.openxmlformats.org/officeDocument/2006/relationships/hyperlink" Target="http://www.endvawnow.org/uploads/browser/files/vawprevalence_matrix_june2013.pdf" TargetMode="External"/><Relationship Id="rId2" Type="http://schemas.openxmlformats.org/officeDocument/2006/relationships/hyperlink" Target="http://daccess-ods.un.org/access.nsf/Get?Open&amp;DS=S/PRST/2005/52&amp;Lang=E" TargetMode="External"/><Relationship Id="rId1" Type="http://schemas.openxmlformats.org/officeDocument/2006/relationships/hyperlink" Target="http://daccess-ods.un.org/access.nsf/Get?Open&amp;DS=S/PRST/2004/40&amp;Lang=E" TargetMode="External"/><Relationship Id="rId6" Type="http://schemas.openxmlformats.org/officeDocument/2006/relationships/hyperlink" Target="http://asiapacific.unwomen.org/en/news-and-events/stories/2013/11/in-myanmar-efforts-to-bring-women-to-the-centre-of-peacebuilding" TargetMode="External"/><Relationship Id="rId5" Type="http://schemas.openxmlformats.org/officeDocument/2006/relationships/hyperlink" Target="http://www.saathi.org.np/images/stories/pdf/saathimidtermreportenglish.pdf" TargetMode="External"/><Relationship Id="rId4" Type="http://schemas.openxmlformats.org/officeDocument/2006/relationships/hyperlink" Target="http://daccess-ods.un.org/access.nsf/Get?Open&amp;DS=S/PRST/2005/52&amp;Lang=E" TargetMode="External"/><Relationship Id="rId9" Type="http://schemas.openxmlformats.org/officeDocument/2006/relationships/hyperlink" Target="http://www.efi-ife.org/news/one-year-nap-1325-i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03D5-1BA4-4151-8EE3-9272CFFD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F5FA9ED.dotm</Template>
  <TotalTime>47</TotalTime>
  <Pages>90</Pages>
  <Words>27358</Words>
  <Characters>155941</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182934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 Sandvig</dc:creator>
  <cp:lastModifiedBy>Administrator</cp:lastModifiedBy>
  <cp:revision>38</cp:revision>
  <cp:lastPrinted>2015-04-15T08:36:00Z</cp:lastPrinted>
  <dcterms:created xsi:type="dcterms:W3CDTF">2015-04-15T13:25:00Z</dcterms:created>
  <dcterms:modified xsi:type="dcterms:W3CDTF">2015-04-15T14:42:00Z</dcterms:modified>
</cp:coreProperties>
</file>