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6065632"/>
        <w:docPartObj>
          <w:docPartGallery w:val="Cover Pages"/>
          <w:docPartUnique/>
        </w:docPartObj>
      </w:sdtPr>
      <w:sdtEndPr>
        <w:rPr>
          <w:rFonts w:ascii="Calibri" w:hAnsi="Calibri" w:cs="Times New Roman"/>
          <w:b/>
          <w:u w:val="single"/>
        </w:rPr>
      </w:sdtEndPr>
      <w:sdtContent>
        <w:p w14:paraId="392F207A" w14:textId="7E9B01D5" w:rsidR="00EE5239" w:rsidRDefault="00EE5239">
          <w:r>
            <w:rPr>
              <w:noProof/>
              <w:lang w:eastAsia="en-GB"/>
            </w:rPr>
            <mc:AlternateContent>
              <mc:Choice Requires="wpg">
                <w:drawing>
                  <wp:anchor distT="0" distB="0" distL="114300" distR="114300" simplePos="0" relativeHeight="251663360" behindDoc="0" locked="1" layoutInCell="0" allowOverlap="1" wp14:anchorId="5FFDAC47" wp14:editId="3C6B266E">
                    <wp:simplePos x="0" y="0"/>
                    <wp:positionH relativeFrom="column">
                      <wp:posOffset>4333875</wp:posOffset>
                    </wp:positionH>
                    <wp:positionV relativeFrom="page">
                      <wp:posOffset>932815</wp:posOffset>
                    </wp:positionV>
                    <wp:extent cx="2377440" cy="777240"/>
                    <wp:effectExtent l="0" t="0" r="3810" b="22860"/>
                    <wp:wrapNone/>
                    <wp:docPr id="91" name="Group 91"/>
                    <wp:cNvGraphicFramePr/>
                    <a:graphic xmlns:a="http://schemas.openxmlformats.org/drawingml/2006/main">
                      <a:graphicData uri="http://schemas.microsoft.com/office/word/2010/wordprocessingGroup">
                        <wpg:wgp>
                          <wpg:cNvGrpSpPr/>
                          <wpg:grpSpPr>
                            <a:xfrm>
                              <a:off x="0" y="0"/>
                              <a:ext cx="2377440" cy="777240"/>
                              <a:chOff x="0" y="0"/>
                              <a:chExt cx="2377440" cy="776605"/>
                            </a:xfrm>
                          </wpg:grpSpPr>
                          <wps:wsp>
                            <wps:cNvPr id="92" name="Text Box 6"/>
                            <wps:cNvSpPr txBox="1">
                              <a:spLocks noChangeArrowheads="1"/>
                            </wps:cNvSpPr>
                            <wps:spPr bwMode="auto">
                              <a:xfrm>
                                <a:off x="0" y="123825"/>
                                <a:ext cx="125793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15913B62" w14:textId="77777777" w:rsidR="00D75A79" w:rsidRDefault="00D75A79">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lang w:val="nb-NO"/>
                                    </w:rPr>
                                    <w:t>Fall</w:t>
                                  </w:r>
                                </w:p>
                              </w:txbxContent>
                            </wps:txbx>
                            <wps:bodyPr rot="0" vert="horz" wrap="square" lIns="0" tIns="0" rIns="0" bIns="0" anchor="t" anchorCtr="0" upright="1">
                              <a:noAutofit/>
                            </wps:bodyPr>
                          </wps:wsp>
                          <wps:wsp>
                            <wps:cNvPr id="93" name="Text Box 7"/>
                            <wps:cNvSpPr txBox="1">
                              <a:spLocks noChangeArrowheads="1"/>
                            </wps:cNvSpPr>
                            <wps:spPr bwMode="auto">
                              <a:xfrm>
                                <a:off x="1381125" y="0"/>
                                <a:ext cx="99631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FC0D1" w14:textId="77777777" w:rsidR="00D75A79" w:rsidRDefault="00D75A79">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lang w:val="nb-NO"/>
                                    </w:rPr>
                                    <w:t>16</w:t>
                                  </w:r>
                                </w:p>
                              </w:txbxContent>
                            </wps:txbx>
                            <wps:bodyPr rot="0" vert="horz" wrap="square" lIns="0" tIns="0" rIns="0" bIns="0" anchor="t" anchorCtr="0" upright="1">
                              <a:noAutofit/>
                            </wps:bodyPr>
                          </wps:wsp>
                          <wps:wsp>
                            <wps:cNvPr id="101" name="AutoShape 8"/>
                            <wps:cNvCnPr>
                              <a:cxnSpLocks noChangeShapeType="1"/>
                            </wps:cNvCnPr>
                            <wps:spPr bwMode="auto">
                              <a:xfrm>
                                <a:off x="1333500" y="190500"/>
                                <a:ext cx="0" cy="58610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91" o:spid="_x0000_s1026" style="position:absolute;margin-left:341.25pt;margin-top:73.45pt;width:187.2pt;height:61.2pt;z-index:251663360;mso-position-vertical-relative:page;mso-width-relative:margin;mso-height-relative:margin" coordsize="23774,7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" o:allowincell="f">
                    <v:shapetype id="_x0000_t202" coordsize="21600,21600" o:spt="202" path="m,l,21600r21600,l21600,xe">
                      <v:stroke joinstyle="miter"/>
                      <v:path gradientshapeok="t" o:connecttype="rect"/>
                    </v:shapetype>
                    <v:shape id="Text Box 6" o:spid="_x0000_s1027" type="#_x0000_t202" style="position:absolute;top:1238;width:12579;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bLsQA&#10;AADbAAAADwAAAGRycy9kb3ducmV2LnhtbESPQWsCMRSE7wX/Q3hCbzWrh7auRhFLodBTd/Xg7bF5&#10;JqublyVJ121/fVMo9DjMzDfMeju6TgwUYutZwXxWgCBuvG7ZKDjUrw/PIGJC1th5JgVfFGG7mdyt&#10;sdT+xh80VMmIDOFYogKbUl9KGRtLDuPM98TZO/vgMGUZjNQBbxnuOrkoikfpsOW8YLGnvaXmWn06&#10;BZf2aE5VXQ9PZ5t0NPH7fR5elLqfjrsViERj+g//td+0guUC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FGy7EAAAA2wAAAA8AAAAAAAAAAAAAAAAAmAIAAGRycy9k&#10;b3ducmV2LnhtbFBLBQYAAAAABAAEAPUAAACJAwAAAAA=&#10;" filled="f" stroked="f" strokecolor="gray">
                      <v:textbox inset="0,0,0,0">
                        <w:txbxContent>
                          <w:p w14:paraId="15913B62" w14:textId="77777777" w:rsidR="00D75A79" w:rsidRDefault="00D75A79">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lang w:val="nb-NO"/>
                              </w:rPr>
                              <w:t>Fall</w:t>
                            </w:r>
                          </w:p>
                        </w:txbxContent>
                      </v:textbox>
                    </v:shape>
                    <v:shape id="Text Box 7" o:spid="_x0000_s1028" type="#_x0000_t202" style="position:absolute;left:13811;width:9963;height:7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14:paraId="338FC0D1" w14:textId="77777777" w:rsidR="00D75A79" w:rsidRDefault="00D75A79">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lang w:val="nb-NO"/>
                              </w:rPr>
                              <w:t>16</w:t>
                            </w:r>
                          </w:p>
                        </w:txbxContent>
                      </v:textbox>
                    </v:shape>
                    <v:shapetype id="_x0000_t32" coordsize="21600,21600" o:spt="32" o:oned="t" path="m,l21600,21600e" filled="f">
                      <v:path arrowok="t" fillok="f" o:connecttype="none"/>
                      <o:lock v:ext="edit" shapetype="t"/>
                    </v:shapetype>
                    <v:shape id="AutoShape 8" o:spid="_x0000_s1029" type="#_x0000_t32" style="position:absolute;left:13335;top:1905;width:0;height:5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08+MMAAADcAAAADwAAAGRycy9kb3ducmV2LnhtbERPS2sCMRC+F/ofwhR6KZrdKkXXjVIF&#10;wVuprYi3IZl90M1k3cR1/fdNQehtPr7n5KvBNqKnzteOFaTjBASxdqbmUsH313Y0A+EDssHGMSm4&#10;kYfV8vEhx8y4K39Svw+liCHsM1RQhdBmUnpdkUU/di1x5ArXWQwRdqU0HV5juG3ka5K8SYs1x4YK&#10;W9pUpH/2F6vgOL3NjD6dJ+ue9cv8wxTn9NAr9fw0vC9ABBrCv/ju3pk4P0nh75l4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9PPjDAAAA3AAAAA8AAAAAAAAAAAAA&#10;AAAAoQIAAGRycy9kb3ducmV2LnhtbFBLBQYAAAAABAAEAPkAAACRAwAAAAA=&#10;" strokecolor="gray" strokeweight="1.5pt"/>
                    <w10:wrap anchory="page"/>
                    <w10:anchorlock/>
                  </v:group>
                </w:pict>
              </mc:Fallback>
            </mc:AlternateContent>
          </w:r>
          <w:r>
            <w:rPr>
              <w:noProof/>
              <w:lang w:eastAsia="en-GB"/>
            </w:rPr>
            <mc:AlternateContent>
              <mc:Choice Requires="wps">
                <w:drawing>
                  <wp:anchor distT="0" distB="0" distL="114300" distR="114300" simplePos="0" relativeHeight="251662336" behindDoc="0" locked="1" layoutInCell="0" allowOverlap="1" wp14:anchorId="6DB07BFD" wp14:editId="26919332">
                    <wp:simplePos x="0" y="0"/>
                    <wp:positionH relativeFrom="page">
                      <wp:posOffset>276225</wp:posOffset>
                    </wp:positionH>
                    <wp:positionV relativeFrom="page">
                      <wp:posOffset>457200</wp:posOffset>
                    </wp:positionV>
                    <wp:extent cx="7013448" cy="219456"/>
                    <wp:effectExtent l="0" t="0" r="0" b="9525"/>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448" cy="219456"/>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 o:spid="_x0000_s1026" style="position:absolute;margin-left:21.75pt;margin-top:36pt;width:552.25pt;height:17.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" o:allowincell="f" fillcolor="#8db3e2 [1311]" stroked="f" strokecolor="#4a7ebb" strokeweight="1.5pt">
                    <v:shadow opacity="22938f" offset="0"/>
                    <v:textbox inset=",7.2pt,,7.2pt"/>
                    <w10:wrap anchorx="page" anchory="page"/>
                    <w10:anchorlock/>
                  </v:rect>
                </w:pict>
              </mc:Fallback>
            </mc:AlternateContent>
          </w:r>
          <w:r>
            <w:rPr>
              <w:noProof/>
              <w:lang w:eastAsia="en-GB"/>
            </w:rPr>
            <mc:AlternateContent>
              <mc:Choice Requires="wps">
                <w:drawing>
                  <wp:anchor distT="0" distB="0" distL="114300" distR="114300" simplePos="0" relativeHeight="251661312" behindDoc="0" locked="1" layoutInCell="0" allowOverlap="1" wp14:anchorId="39C8A96D" wp14:editId="40CA7BEF">
                    <wp:simplePos x="0" y="0"/>
                    <wp:positionH relativeFrom="page">
                      <wp:posOffset>457200</wp:posOffset>
                    </wp:positionH>
                    <wp:positionV relativeFrom="page">
                      <wp:posOffset>5029200</wp:posOffset>
                    </wp:positionV>
                    <wp:extent cx="5897880" cy="3419475"/>
                    <wp:effectExtent l="0" t="0" r="0" b="952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3419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0EC9F" w14:textId="4C20A99B" w:rsidR="00D75A79" w:rsidRPr="0082288E" w:rsidRDefault="00D75A79">
                                <w:pPr>
                                  <w:contextualSpacing/>
                                  <w:rPr>
                                    <w:rFonts w:asciiTheme="majorHAnsi" w:hAnsiTheme="majorHAnsi"/>
                                    <w:b/>
                                    <w:color w:val="808080" w:themeColor="background1" w:themeShade="80"/>
                                    <w:sz w:val="48"/>
                                    <w:szCs w:val="48"/>
                                  </w:rPr>
                                </w:pPr>
                                <w:r w:rsidRPr="0082288E">
                                  <w:rPr>
                                    <w:rFonts w:asciiTheme="majorHAnsi" w:hAnsiTheme="majorHAnsi"/>
                                    <w:b/>
                                    <w:color w:val="808080" w:themeColor="background1" w:themeShade="80"/>
                                    <w:sz w:val="48"/>
                                    <w:szCs w:val="48"/>
                                  </w:rPr>
                                  <w:t xml:space="preserve">MAKING THE NORMATIVE CASE: IMPLEMENTING </w:t>
                                </w:r>
                                <w:r>
                                  <w:rPr>
                                    <w:rFonts w:asciiTheme="majorHAnsi" w:hAnsiTheme="majorHAnsi"/>
                                    <w:b/>
                                    <w:color w:val="808080" w:themeColor="background1" w:themeShade="80"/>
                                    <w:sz w:val="48"/>
                                    <w:szCs w:val="48"/>
                                  </w:rPr>
                                  <w:t xml:space="preserve">SECURITY COUNCIL </w:t>
                                </w:r>
                                <w:r w:rsidRPr="0082288E">
                                  <w:rPr>
                                    <w:rFonts w:asciiTheme="majorHAnsi" w:hAnsiTheme="majorHAnsi"/>
                                    <w:b/>
                                    <w:color w:val="808080" w:themeColor="background1" w:themeShade="80"/>
                                    <w:sz w:val="48"/>
                                    <w:szCs w:val="48"/>
                                  </w:rPr>
                                  <w:t xml:space="preserve">RESOLUTION 1325 AS PART </w:t>
                                </w:r>
                                <w:r>
                                  <w:rPr>
                                    <w:rFonts w:asciiTheme="majorHAnsi" w:hAnsiTheme="majorHAnsi"/>
                                    <w:b/>
                                    <w:color w:val="808080" w:themeColor="background1" w:themeShade="80"/>
                                    <w:sz w:val="48"/>
                                    <w:szCs w:val="48"/>
                                  </w:rPr>
                                  <w:t>OF A LEGAL</w:t>
                                </w:r>
                                <w:r w:rsidRPr="0082288E">
                                  <w:rPr>
                                    <w:rFonts w:asciiTheme="majorHAnsi" w:hAnsiTheme="majorHAnsi"/>
                                    <w:b/>
                                    <w:color w:val="808080" w:themeColor="background1" w:themeShade="80"/>
                                    <w:sz w:val="48"/>
                                    <w:szCs w:val="48"/>
                                  </w:rPr>
                                  <w:t xml:space="preserve"> FRAMEWORK ON WOMEN, PEACE AND SECURITY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36pt;margin-top:396pt;width:464.4pt;height:26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JHtgIAALk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" o:allowincell="f" filled="f" stroked="f">
                    <v:textbox>
                      <w:txbxContent>
                        <w:p w14:paraId="60E0EC9F" w14:textId="4C20A99B" w:rsidR="00D75A79" w:rsidRPr="0082288E" w:rsidRDefault="00D75A79">
                          <w:pPr>
                            <w:contextualSpacing/>
                            <w:rPr>
                              <w:rFonts w:asciiTheme="majorHAnsi" w:hAnsiTheme="majorHAnsi"/>
                              <w:b/>
                              <w:color w:val="808080" w:themeColor="background1" w:themeShade="80"/>
                              <w:sz w:val="48"/>
                              <w:szCs w:val="48"/>
                            </w:rPr>
                          </w:pPr>
                          <w:r w:rsidRPr="0082288E">
                            <w:rPr>
                              <w:rFonts w:asciiTheme="majorHAnsi" w:hAnsiTheme="majorHAnsi"/>
                              <w:b/>
                              <w:color w:val="808080" w:themeColor="background1" w:themeShade="80"/>
                              <w:sz w:val="48"/>
                              <w:szCs w:val="48"/>
                            </w:rPr>
                            <w:t xml:space="preserve">MAKING THE NORMATIVE CASE: IMPLEMENTING </w:t>
                          </w:r>
                          <w:r>
                            <w:rPr>
                              <w:rFonts w:asciiTheme="majorHAnsi" w:hAnsiTheme="majorHAnsi"/>
                              <w:b/>
                              <w:color w:val="808080" w:themeColor="background1" w:themeShade="80"/>
                              <w:sz w:val="48"/>
                              <w:szCs w:val="48"/>
                            </w:rPr>
                            <w:t xml:space="preserve">SECURITY COUNCIL </w:t>
                          </w:r>
                          <w:r w:rsidRPr="0082288E">
                            <w:rPr>
                              <w:rFonts w:asciiTheme="majorHAnsi" w:hAnsiTheme="majorHAnsi"/>
                              <w:b/>
                              <w:color w:val="808080" w:themeColor="background1" w:themeShade="80"/>
                              <w:sz w:val="48"/>
                              <w:szCs w:val="48"/>
                            </w:rPr>
                            <w:t xml:space="preserve">RESOLUTION 1325 AS PART </w:t>
                          </w:r>
                          <w:r>
                            <w:rPr>
                              <w:rFonts w:asciiTheme="majorHAnsi" w:hAnsiTheme="majorHAnsi"/>
                              <w:b/>
                              <w:color w:val="808080" w:themeColor="background1" w:themeShade="80"/>
                              <w:sz w:val="48"/>
                              <w:szCs w:val="48"/>
                            </w:rPr>
                            <w:t>OF A LEGAL</w:t>
                          </w:r>
                          <w:r w:rsidRPr="0082288E">
                            <w:rPr>
                              <w:rFonts w:asciiTheme="majorHAnsi" w:hAnsiTheme="majorHAnsi"/>
                              <w:b/>
                              <w:color w:val="808080" w:themeColor="background1" w:themeShade="80"/>
                              <w:sz w:val="48"/>
                              <w:szCs w:val="48"/>
                            </w:rPr>
                            <w:t xml:space="preserve"> FRAMEWORK ON WOMEN, PEACE AND SECURITY</w:t>
                          </w:r>
                        </w:p>
                      </w:txbxContent>
                    </v:textbox>
                    <w10:wrap anchorx="page" anchory="page"/>
                    <w10:anchorlock/>
                  </v:rect>
                </w:pict>
              </mc:Fallback>
            </mc:AlternateContent>
          </w:r>
          <w:r>
            <w:rPr>
              <w:noProof/>
              <w:lang w:eastAsia="en-GB"/>
            </w:rPr>
            <mc:AlternateContent>
              <mc:Choice Requires="wps">
                <w:drawing>
                  <wp:anchor distT="0" distB="0" distL="114300" distR="114300" simplePos="0" relativeHeight="251660288" behindDoc="0" locked="1" layoutInCell="0" allowOverlap="1" wp14:anchorId="60FE2125" wp14:editId="104A843A">
                    <wp:simplePos x="0" y="0"/>
                    <wp:positionH relativeFrom="page">
                      <wp:posOffset>428625</wp:posOffset>
                    </wp:positionH>
                    <wp:positionV relativeFrom="page">
                      <wp:posOffset>9734550</wp:posOffset>
                    </wp:positionV>
                    <wp:extent cx="6675120" cy="393192"/>
                    <wp:effectExtent l="0" t="0" r="0" b="6985"/>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393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b/>
                                    <w:bCs/>
                                    <w:color w:val="548DD4" w:themeColor="text2" w:themeTint="99"/>
                                    <w:spacing w:val="60"/>
                                    <w:sz w:val="20"/>
                                    <w:szCs w:val="20"/>
                                  </w:rPr>
                                  <w:alias w:val="Bedriftens adresse"/>
                                  <w:id w:val="2110843376"/>
                                  <w:showingPlcHdr/>
                                  <w:dataBinding w:prefixMappings="xmlns:ns0='http://schemas.microsoft.com/office/2006/coverPageProps' " w:xpath="/ns0:CoverPageProperties[1]/ns0:CompanyAddress[1]" w:storeItemID="{55AF091B-3C7A-41E3-B477-F2FDAA23CFDA}"/>
                                  <w:text/>
                                </w:sdtPr>
                                <w:sdtEndPr/>
                                <w:sdtContent>
                                  <w:p w14:paraId="1C3F0784" w14:textId="3146AC80" w:rsidR="00D75A79" w:rsidRDefault="00D75A79">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33.75pt;margin-top:766.5pt;width:525.6pt;height:30.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" o:allowincell="f" filled="f" stroked="f">
                    <v:textbox>
                      <w:txbxContent>
                        <w:sdt>
                          <w:sdtPr>
                            <w:rPr>
                              <w:rFonts w:asciiTheme="majorHAnsi" w:hAnsiTheme="majorHAnsi"/>
                              <w:b/>
                              <w:bCs/>
                              <w:color w:val="548DD4" w:themeColor="text2" w:themeTint="99"/>
                              <w:spacing w:val="60"/>
                              <w:sz w:val="20"/>
                              <w:szCs w:val="20"/>
                            </w:rPr>
                            <w:alias w:val="Bedriftens adresse"/>
                            <w:id w:val="2110843376"/>
                            <w:showingPlcHdr/>
                            <w:dataBinding w:prefixMappings="xmlns:ns0='http://schemas.microsoft.com/office/2006/coverPageProps' " w:xpath="/ns0:CoverPageProperties[1]/ns0:CompanyAddress[1]" w:storeItemID="{55AF091B-3C7A-41E3-B477-F2FDAA23CFDA}"/>
                            <w:text/>
                          </w:sdtPr>
                          <w:sdtContent>
                            <w:p w14:paraId="1C3F0784" w14:textId="3146AC80" w:rsidR="00D75A79" w:rsidRDefault="00D75A79">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 xml:space="preserve">     </w:t>
                              </w:r>
                            </w:p>
                          </w:sdtContent>
                        </w:sdt>
                      </w:txbxContent>
                    </v:textbox>
                    <w10:wrap anchorx="page" anchory="page"/>
                    <w10:anchorlock/>
                  </v:rect>
                </w:pict>
              </mc:Fallback>
            </mc:AlternateContent>
          </w:r>
          <w:r>
            <w:rPr>
              <w:noProof/>
              <w:lang w:eastAsia="en-GB"/>
            </w:rPr>
            <mc:AlternateContent>
              <mc:Choice Requires="wpg">
                <w:drawing>
                  <wp:anchor distT="0" distB="0" distL="114300" distR="114300" simplePos="0" relativeHeight="251659264" behindDoc="1" locked="1" layoutInCell="0" allowOverlap="1" wp14:anchorId="15BF5B3F" wp14:editId="691C3FE0">
                    <wp:simplePos x="0" y="0"/>
                    <wp:positionH relativeFrom="page">
                      <wp:posOffset>276225</wp:posOffset>
                    </wp:positionH>
                    <wp:positionV relativeFrom="page">
                      <wp:posOffset>9544050</wp:posOffset>
                    </wp:positionV>
                    <wp:extent cx="7013448" cy="685800"/>
                    <wp:effectExtent l="0" t="0" r="16510" b="19050"/>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448" cy="685800"/>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9" o:spid="_x0000_s1026" style="position:absolute;margin-left:21.75pt;margin-top:751.5pt;width:552.25pt;height:54pt;z-index:-251657216;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" o:allowincell="f">
                    <v:shape id="AutoShape 10"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s2/hcIAAADbAAAADwAAAAAAAAAAAAAA&#10;AAChAgAAZHJzL2Rvd25yZXYueG1sUEsFBgAAAAAEAAQA+QAAAJADAAAAAA==&#10;" strokecolor="gray"/>
                    <w10:wrap anchorx="page" anchory="page"/>
                    <w10:anchorlock/>
                  </v:group>
                </w:pict>
              </mc:Fallback>
            </mc:AlternateContent>
          </w:r>
        </w:p>
        <w:p w14:paraId="13FBACDC" w14:textId="1BA24CDB" w:rsidR="00EE5239" w:rsidRDefault="00CF4DA2">
          <w:pPr>
            <w:rPr>
              <w:rFonts w:ascii="Calibri" w:hAnsi="Calibri" w:cs="Times New Roman"/>
              <w:b/>
              <w:smallCaps/>
              <w:spacing w:val="5"/>
              <w:sz w:val="28"/>
              <w:szCs w:val="28"/>
              <w:u w:val="single"/>
              <w:lang w:val="en-US"/>
            </w:rPr>
          </w:pPr>
          <w:r>
            <w:rPr>
              <w:noProof/>
              <w:lang w:eastAsia="en-GB"/>
            </w:rPr>
            <w:drawing>
              <wp:anchor distT="0" distB="0" distL="114300" distR="114300" simplePos="0" relativeHeight="251665408" behindDoc="0" locked="0" layoutInCell="1" allowOverlap="1" wp14:anchorId="743161BD" wp14:editId="75AE1EA1">
                <wp:simplePos x="0" y="0"/>
                <wp:positionH relativeFrom="column">
                  <wp:posOffset>4114800</wp:posOffset>
                </wp:positionH>
                <wp:positionV relativeFrom="paragraph">
                  <wp:posOffset>278765</wp:posOffset>
                </wp:positionV>
                <wp:extent cx="2289175" cy="1714500"/>
                <wp:effectExtent l="0" t="0" r="0" b="12700"/>
                <wp:wrapTight wrapText="bothSides">
                  <wp:wrapPolygon edited="0">
                    <wp:start x="0" y="0"/>
                    <wp:lineTo x="0" y="21440"/>
                    <wp:lineTo x="21330" y="21440"/>
                    <wp:lineTo x="21330"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91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239">
            <w:rPr>
              <w:rFonts w:ascii="Calibri" w:hAnsi="Calibri" w:cs="Times New Roman"/>
              <w:b/>
              <w:u w:val="single"/>
            </w:rPr>
            <w:br w:type="page"/>
          </w:r>
        </w:p>
      </w:sdtContent>
    </w:sdt>
    <w:p w14:paraId="22285954" w14:textId="1D21E75A" w:rsidR="004E5EBC" w:rsidRPr="00BA6A24" w:rsidRDefault="00CF4DA2" w:rsidP="004E5EBC">
      <w:pPr>
        <w:pStyle w:val="ListParagraph"/>
        <w:ind w:left="0"/>
        <w:rPr>
          <w:rFonts w:ascii="Times New Roman" w:hAnsi="Times New Roman" w:cs="Times New Roman"/>
          <w:sz w:val="28"/>
          <w:szCs w:val="28"/>
        </w:rPr>
      </w:pPr>
      <w:r w:rsidRPr="00DE055A">
        <w:rPr>
          <w:rStyle w:val="PageNumber"/>
          <w:noProof/>
          <w:lang w:eastAsia="en-GB"/>
        </w:rPr>
        <w:lastRenderedPageBreak/>
        <mc:AlternateContent>
          <mc:Choice Requires="wps">
            <w:drawing>
              <wp:anchor distT="0" distB="0" distL="114300" distR="114300" simplePos="0" relativeHeight="251668480" behindDoc="0" locked="0" layoutInCell="1" allowOverlap="1" wp14:anchorId="05A9947E" wp14:editId="1C904A22">
                <wp:simplePos x="0" y="0"/>
                <wp:positionH relativeFrom="column">
                  <wp:posOffset>4457700</wp:posOffset>
                </wp:positionH>
                <wp:positionV relativeFrom="paragraph">
                  <wp:posOffset>114300</wp:posOffset>
                </wp:positionV>
                <wp:extent cx="2207260" cy="9258300"/>
                <wp:effectExtent l="0" t="0" r="0" b="12700"/>
                <wp:wrapSquare wrapText="bothSides"/>
                <wp:docPr id="7" name="Tekstboks 7"/>
                <wp:cNvGraphicFramePr/>
                <a:graphic xmlns:a="http://schemas.openxmlformats.org/drawingml/2006/main">
                  <a:graphicData uri="http://schemas.microsoft.com/office/word/2010/wordprocessingShape">
                    <wps:wsp>
                      <wps:cNvSpPr txBox="1"/>
                      <wps:spPr>
                        <a:xfrm>
                          <a:off x="0" y="0"/>
                          <a:ext cx="2207260" cy="9258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698E89" w14:textId="77777777" w:rsidR="00D75A79" w:rsidRPr="00975EBE" w:rsidRDefault="00D75A79" w:rsidP="00291C53">
                            <w:pPr>
                              <w:jc w:val="center"/>
                              <w:rPr>
                                <w:b/>
                                <w:color w:val="FFFFFF" w:themeColor="background1"/>
                                <w:sz w:val="44"/>
                              </w:rPr>
                            </w:pPr>
                            <w:r w:rsidRPr="00975EBE">
                              <w:rPr>
                                <w:b/>
                                <w:color w:val="FFFFFF" w:themeColor="background1"/>
                                <w:sz w:val="44"/>
                              </w:rPr>
                              <w:t>L</w:t>
                            </w:r>
                          </w:p>
                          <w:p w14:paraId="208E07F2" w14:textId="77777777" w:rsidR="00D75A79" w:rsidRPr="00975EBE" w:rsidRDefault="00D75A79" w:rsidP="00291C53">
                            <w:pPr>
                              <w:jc w:val="center"/>
                              <w:rPr>
                                <w:b/>
                                <w:color w:val="FFFFFF" w:themeColor="background1"/>
                                <w:sz w:val="44"/>
                              </w:rPr>
                            </w:pPr>
                            <w:r w:rsidRPr="00975EBE">
                              <w:rPr>
                                <w:b/>
                                <w:color w:val="FFFFFF" w:themeColor="background1"/>
                                <w:sz w:val="44"/>
                              </w:rPr>
                              <w:t>S</w:t>
                            </w:r>
                          </w:p>
                          <w:p w14:paraId="03D39128" w14:textId="77777777" w:rsidR="00D75A79" w:rsidRPr="00975EBE" w:rsidRDefault="00D75A79" w:rsidP="00291C53">
                            <w:pPr>
                              <w:jc w:val="center"/>
                              <w:rPr>
                                <w:b/>
                                <w:color w:val="FFFFFF" w:themeColor="background1"/>
                                <w:sz w:val="44"/>
                              </w:rPr>
                            </w:pPr>
                            <w:r w:rsidRPr="00975EBE">
                              <w:rPr>
                                <w:b/>
                                <w:color w:val="FFFFFF" w:themeColor="background1"/>
                                <w:sz w:val="44"/>
                              </w:rPr>
                              <w:t>E</w:t>
                            </w:r>
                          </w:p>
                          <w:p w14:paraId="66744E85" w14:textId="77777777" w:rsidR="00D75A79" w:rsidRPr="00975EBE" w:rsidRDefault="00D75A79" w:rsidP="00291C53">
                            <w:pPr>
                              <w:jc w:val="center"/>
                              <w:rPr>
                                <w:b/>
                                <w:color w:val="FFFFFF" w:themeColor="background1"/>
                                <w:sz w:val="44"/>
                              </w:rPr>
                            </w:pPr>
                          </w:p>
                          <w:p w14:paraId="16F53DDA" w14:textId="77777777" w:rsidR="00D75A79" w:rsidRPr="00975EBE" w:rsidRDefault="00D75A79" w:rsidP="00291C53">
                            <w:pPr>
                              <w:jc w:val="center"/>
                              <w:rPr>
                                <w:b/>
                                <w:color w:val="FFFFFF" w:themeColor="background1"/>
                                <w:sz w:val="44"/>
                              </w:rPr>
                            </w:pPr>
                            <w:r w:rsidRPr="00975EBE">
                              <w:rPr>
                                <w:b/>
                                <w:color w:val="FFFFFF" w:themeColor="background1"/>
                                <w:sz w:val="44"/>
                              </w:rPr>
                              <w:t>P</w:t>
                            </w:r>
                          </w:p>
                          <w:p w14:paraId="59529F7F" w14:textId="77777777" w:rsidR="00D75A79" w:rsidRPr="00975EBE" w:rsidRDefault="00D75A79" w:rsidP="00291C53">
                            <w:pPr>
                              <w:jc w:val="center"/>
                              <w:rPr>
                                <w:b/>
                                <w:color w:val="FFFFFF" w:themeColor="background1"/>
                                <w:sz w:val="44"/>
                              </w:rPr>
                            </w:pPr>
                            <w:r w:rsidRPr="00975EBE">
                              <w:rPr>
                                <w:b/>
                                <w:color w:val="FFFFFF" w:themeColor="background1"/>
                                <w:sz w:val="44"/>
                              </w:rPr>
                              <w:t>R</w:t>
                            </w:r>
                          </w:p>
                          <w:p w14:paraId="51BDBA08" w14:textId="77777777" w:rsidR="00D75A79" w:rsidRPr="00975EBE" w:rsidRDefault="00D75A79" w:rsidP="00291C53">
                            <w:pPr>
                              <w:jc w:val="center"/>
                              <w:rPr>
                                <w:b/>
                                <w:color w:val="FFFFFF" w:themeColor="background1"/>
                                <w:sz w:val="44"/>
                              </w:rPr>
                            </w:pPr>
                            <w:r w:rsidRPr="00975EBE">
                              <w:rPr>
                                <w:b/>
                                <w:color w:val="FFFFFF" w:themeColor="background1"/>
                                <w:sz w:val="44"/>
                              </w:rPr>
                              <w:t>O</w:t>
                            </w:r>
                          </w:p>
                          <w:p w14:paraId="76969826" w14:textId="77777777" w:rsidR="00D75A79" w:rsidRPr="00975EBE" w:rsidRDefault="00D75A79" w:rsidP="00291C53">
                            <w:pPr>
                              <w:jc w:val="center"/>
                              <w:rPr>
                                <w:b/>
                                <w:color w:val="FFFFFF" w:themeColor="background1"/>
                                <w:sz w:val="44"/>
                              </w:rPr>
                            </w:pPr>
                          </w:p>
                          <w:p w14:paraId="0A57E271" w14:textId="77777777" w:rsidR="00D75A79" w:rsidRPr="00975EBE" w:rsidRDefault="00D75A79" w:rsidP="00291C53">
                            <w:pPr>
                              <w:jc w:val="center"/>
                              <w:rPr>
                                <w:b/>
                                <w:color w:val="FFFFFF" w:themeColor="background1"/>
                                <w:sz w:val="44"/>
                              </w:rPr>
                            </w:pPr>
                            <w:r w:rsidRPr="00975EBE">
                              <w:rPr>
                                <w:b/>
                                <w:color w:val="FFFFFF" w:themeColor="background1"/>
                                <w:sz w:val="44"/>
                              </w:rPr>
                              <w:t>B</w:t>
                            </w:r>
                          </w:p>
                          <w:p w14:paraId="6896CD9C" w14:textId="77777777" w:rsidR="00D75A79" w:rsidRPr="00975EBE" w:rsidRDefault="00D75A79" w:rsidP="00291C53">
                            <w:pPr>
                              <w:jc w:val="center"/>
                              <w:rPr>
                                <w:b/>
                                <w:color w:val="FFFFFF" w:themeColor="background1"/>
                                <w:sz w:val="44"/>
                              </w:rPr>
                            </w:pPr>
                            <w:r w:rsidRPr="00975EBE">
                              <w:rPr>
                                <w:b/>
                                <w:color w:val="FFFFFF" w:themeColor="background1"/>
                                <w:sz w:val="44"/>
                              </w:rPr>
                              <w:t>O</w:t>
                            </w:r>
                          </w:p>
                          <w:p w14:paraId="7C5ABB3A" w14:textId="77777777" w:rsidR="00D75A79" w:rsidRPr="00975EBE" w:rsidRDefault="00D75A79" w:rsidP="00291C53">
                            <w:pPr>
                              <w:jc w:val="center"/>
                              <w:rPr>
                                <w:b/>
                                <w:color w:val="FFFFFF" w:themeColor="background1"/>
                                <w:sz w:val="44"/>
                              </w:rPr>
                            </w:pPr>
                            <w:r w:rsidRPr="00975EBE">
                              <w:rPr>
                                <w:b/>
                                <w:color w:val="FFFFFF" w:themeColor="background1"/>
                                <w:sz w:val="44"/>
                              </w:rPr>
                              <w:t>N</w:t>
                            </w:r>
                          </w:p>
                          <w:p w14:paraId="3FCD8CF1" w14:textId="77777777" w:rsidR="00D75A79" w:rsidRPr="00975EBE" w:rsidRDefault="00D75A79" w:rsidP="00291C53">
                            <w:pPr>
                              <w:jc w:val="center"/>
                              <w:rPr>
                                <w:b/>
                                <w:color w:val="FFFFFF" w:themeColor="background1"/>
                                <w:sz w:val="44"/>
                              </w:rPr>
                            </w:pPr>
                            <w:r w:rsidRPr="00975EBE">
                              <w:rPr>
                                <w:b/>
                                <w:color w:val="FFFFFF" w:themeColor="background1"/>
                                <w:sz w:val="44"/>
                              </w:rPr>
                              <w:t>O</w:t>
                            </w:r>
                          </w:p>
                          <w:p w14:paraId="4BA4D08B" w14:textId="77777777" w:rsidR="00D75A79" w:rsidRPr="00975EBE" w:rsidRDefault="00D75A79" w:rsidP="00291C53">
                            <w:pPr>
                              <w:jc w:val="center"/>
                              <w:rPr>
                                <w:b/>
                                <w:color w:val="FFFFFF" w:themeColor="background1"/>
                                <w:sz w:val="44"/>
                              </w:rPr>
                            </w:pPr>
                          </w:p>
                          <w:p w14:paraId="0CE139EB" w14:textId="77777777" w:rsidR="00D75A79" w:rsidRPr="00975EBE" w:rsidRDefault="00D75A79" w:rsidP="00291C53">
                            <w:pPr>
                              <w:jc w:val="center"/>
                              <w:rPr>
                                <w:b/>
                                <w:color w:val="FFFFFF" w:themeColor="background1"/>
                                <w:sz w:val="44"/>
                              </w:rPr>
                            </w:pPr>
                            <w:r w:rsidRPr="00975EBE">
                              <w:rPr>
                                <w:b/>
                                <w:color w:val="FFFFFF" w:themeColor="background1"/>
                                <w:sz w:val="44"/>
                              </w:rPr>
                              <w:t>M</w:t>
                            </w:r>
                          </w:p>
                          <w:p w14:paraId="3777A28C" w14:textId="77777777" w:rsidR="00D75A79" w:rsidRPr="00975EBE" w:rsidRDefault="00D75A79" w:rsidP="00291C53">
                            <w:pPr>
                              <w:jc w:val="center"/>
                              <w:rPr>
                                <w:b/>
                                <w:color w:val="FFFFFF" w:themeColor="background1"/>
                                <w:sz w:val="44"/>
                              </w:rPr>
                            </w:pPr>
                            <w:r w:rsidRPr="00975EBE">
                              <w:rPr>
                                <w:b/>
                                <w:color w:val="FFFFFF" w:themeColor="background1"/>
                                <w:sz w:val="44"/>
                              </w:rPr>
                              <w:t>A</w:t>
                            </w:r>
                          </w:p>
                          <w:p w14:paraId="03A394DA" w14:textId="77777777" w:rsidR="00D75A79" w:rsidRPr="00975EBE" w:rsidRDefault="00D75A79" w:rsidP="00291C53">
                            <w:pPr>
                              <w:jc w:val="center"/>
                              <w:rPr>
                                <w:b/>
                                <w:color w:val="FFFFFF" w:themeColor="background1"/>
                                <w:sz w:val="44"/>
                              </w:rPr>
                            </w:pPr>
                            <w:r w:rsidRPr="00975EBE">
                              <w:rPr>
                                <w:b/>
                                <w:color w:val="FFFFFF" w:themeColor="background1"/>
                                <w:sz w:val="44"/>
                              </w:rPr>
                              <w:t>T</w:t>
                            </w:r>
                          </w:p>
                          <w:p w14:paraId="35922751" w14:textId="77777777" w:rsidR="00D75A79" w:rsidRPr="00975EBE" w:rsidRDefault="00D75A79" w:rsidP="00291C53">
                            <w:pPr>
                              <w:jc w:val="center"/>
                              <w:rPr>
                                <w:b/>
                                <w:color w:val="FFFFFF" w:themeColor="background1"/>
                                <w:sz w:val="44"/>
                              </w:rPr>
                            </w:pPr>
                            <w:r w:rsidRPr="00975EBE">
                              <w:rPr>
                                <w:b/>
                                <w:color w:val="FFFFFF" w:themeColor="background1"/>
                                <w:sz w:val="44"/>
                              </w:rPr>
                              <w:t>T</w:t>
                            </w:r>
                          </w:p>
                          <w:p w14:paraId="42FB2A23" w14:textId="77777777" w:rsidR="00D75A79" w:rsidRPr="00975EBE" w:rsidRDefault="00D75A79" w:rsidP="00291C53">
                            <w:pPr>
                              <w:jc w:val="center"/>
                              <w:rPr>
                                <w:b/>
                                <w:color w:val="FFFFFF" w:themeColor="background1"/>
                                <w:sz w:val="44"/>
                              </w:rPr>
                            </w:pPr>
                            <w:r w:rsidRPr="00975EBE">
                              <w:rPr>
                                <w:b/>
                                <w:color w:val="FFFFFF" w:themeColor="background1"/>
                                <w:sz w:val="44"/>
                              </w:rPr>
                              <w:t>E</w:t>
                            </w:r>
                          </w:p>
                          <w:p w14:paraId="388C6725" w14:textId="77777777" w:rsidR="00D75A79" w:rsidRPr="00975EBE" w:rsidRDefault="00D75A79" w:rsidP="00291C53">
                            <w:pPr>
                              <w:jc w:val="center"/>
                              <w:rPr>
                                <w:b/>
                                <w:color w:val="FFFFFF" w:themeColor="background1"/>
                                <w:sz w:val="44"/>
                              </w:rPr>
                            </w:pPr>
                            <w:r w:rsidRPr="00975EBE">
                              <w:rPr>
                                <w:b/>
                                <w:color w:val="FFFFFF" w:themeColor="background1"/>
                                <w:sz w:val="44"/>
                              </w:rPr>
                              <w:t>R</w:t>
                            </w:r>
                          </w:p>
                          <w:p w14:paraId="7D5DB587" w14:textId="77777777" w:rsidR="00D75A79" w:rsidRPr="00975EBE" w:rsidRDefault="00D75A79" w:rsidP="00291C53">
                            <w:pPr>
                              <w:jc w:val="center"/>
                              <w:rPr>
                                <w:b/>
                                <w:color w:val="FFFFFF" w:themeColor="background1"/>
                                <w:sz w:val="44"/>
                              </w:rPr>
                            </w:pPr>
                            <w:r w:rsidRPr="00975EBE">
                              <w:rPr>
                                <w:b/>
                                <w:color w:val="FFFFFF" w:themeColor="background1"/>
                                <w:sz w:val="4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7" o:spid="_x0000_s1032" type="#_x0000_t202" style="position:absolute;margin-left:351pt;margin-top:9pt;width:173.8pt;height:7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" filled="f" stroked="f">
                <v:textbox>
                  <w:txbxContent>
                    <w:p w14:paraId="44698E89" w14:textId="77777777" w:rsidR="00D75A79" w:rsidRPr="00975EBE" w:rsidRDefault="00D75A79" w:rsidP="00291C53">
                      <w:pPr>
                        <w:jc w:val="center"/>
                        <w:rPr>
                          <w:b/>
                          <w:color w:val="FFFFFF" w:themeColor="background1"/>
                          <w:sz w:val="44"/>
                        </w:rPr>
                      </w:pPr>
                      <w:r w:rsidRPr="00975EBE">
                        <w:rPr>
                          <w:b/>
                          <w:color w:val="FFFFFF" w:themeColor="background1"/>
                          <w:sz w:val="44"/>
                        </w:rPr>
                        <w:t>L</w:t>
                      </w:r>
                    </w:p>
                    <w:p w14:paraId="208E07F2" w14:textId="77777777" w:rsidR="00D75A79" w:rsidRPr="00975EBE" w:rsidRDefault="00D75A79" w:rsidP="00291C53">
                      <w:pPr>
                        <w:jc w:val="center"/>
                        <w:rPr>
                          <w:b/>
                          <w:color w:val="FFFFFF" w:themeColor="background1"/>
                          <w:sz w:val="44"/>
                        </w:rPr>
                      </w:pPr>
                      <w:r w:rsidRPr="00975EBE">
                        <w:rPr>
                          <w:b/>
                          <w:color w:val="FFFFFF" w:themeColor="background1"/>
                          <w:sz w:val="44"/>
                        </w:rPr>
                        <w:t>S</w:t>
                      </w:r>
                    </w:p>
                    <w:p w14:paraId="03D39128" w14:textId="77777777" w:rsidR="00D75A79" w:rsidRPr="00975EBE" w:rsidRDefault="00D75A79" w:rsidP="00291C53">
                      <w:pPr>
                        <w:jc w:val="center"/>
                        <w:rPr>
                          <w:b/>
                          <w:color w:val="FFFFFF" w:themeColor="background1"/>
                          <w:sz w:val="44"/>
                        </w:rPr>
                      </w:pPr>
                      <w:r w:rsidRPr="00975EBE">
                        <w:rPr>
                          <w:b/>
                          <w:color w:val="FFFFFF" w:themeColor="background1"/>
                          <w:sz w:val="44"/>
                        </w:rPr>
                        <w:t>E</w:t>
                      </w:r>
                    </w:p>
                    <w:p w14:paraId="66744E85" w14:textId="77777777" w:rsidR="00D75A79" w:rsidRPr="00975EBE" w:rsidRDefault="00D75A79" w:rsidP="00291C53">
                      <w:pPr>
                        <w:jc w:val="center"/>
                        <w:rPr>
                          <w:b/>
                          <w:color w:val="FFFFFF" w:themeColor="background1"/>
                          <w:sz w:val="44"/>
                        </w:rPr>
                      </w:pPr>
                    </w:p>
                    <w:p w14:paraId="16F53DDA" w14:textId="77777777" w:rsidR="00D75A79" w:rsidRPr="00975EBE" w:rsidRDefault="00D75A79" w:rsidP="00291C53">
                      <w:pPr>
                        <w:jc w:val="center"/>
                        <w:rPr>
                          <w:b/>
                          <w:color w:val="FFFFFF" w:themeColor="background1"/>
                          <w:sz w:val="44"/>
                        </w:rPr>
                      </w:pPr>
                      <w:r w:rsidRPr="00975EBE">
                        <w:rPr>
                          <w:b/>
                          <w:color w:val="FFFFFF" w:themeColor="background1"/>
                          <w:sz w:val="44"/>
                        </w:rPr>
                        <w:t>P</w:t>
                      </w:r>
                    </w:p>
                    <w:p w14:paraId="59529F7F" w14:textId="77777777" w:rsidR="00D75A79" w:rsidRPr="00975EBE" w:rsidRDefault="00D75A79" w:rsidP="00291C53">
                      <w:pPr>
                        <w:jc w:val="center"/>
                        <w:rPr>
                          <w:b/>
                          <w:color w:val="FFFFFF" w:themeColor="background1"/>
                          <w:sz w:val="44"/>
                        </w:rPr>
                      </w:pPr>
                      <w:r w:rsidRPr="00975EBE">
                        <w:rPr>
                          <w:b/>
                          <w:color w:val="FFFFFF" w:themeColor="background1"/>
                          <w:sz w:val="44"/>
                        </w:rPr>
                        <w:t>R</w:t>
                      </w:r>
                    </w:p>
                    <w:p w14:paraId="51BDBA08" w14:textId="77777777" w:rsidR="00D75A79" w:rsidRPr="00975EBE" w:rsidRDefault="00D75A79" w:rsidP="00291C53">
                      <w:pPr>
                        <w:jc w:val="center"/>
                        <w:rPr>
                          <w:b/>
                          <w:color w:val="FFFFFF" w:themeColor="background1"/>
                          <w:sz w:val="44"/>
                        </w:rPr>
                      </w:pPr>
                      <w:r w:rsidRPr="00975EBE">
                        <w:rPr>
                          <w:b/>
                          <w:color w:val="FFFFFF" w:themeColor="background1"/>
                          <w:sz w:val="44"/>
                        </w:rPr>
                        <w:t>O</w:t>
                      </w:r>
                    </w:p>
                    <w:p w14:paraId="76969826" w14:textId="77777777" w:rsidR="00D75A79" w:rsidRPr="00975EBE" w:rsidRDefault="00D75A79" w:rsidP="00291C53">
                      <w:pPr>
                        <w:jc w:val="center"/>
                        <w:rPr>
                          <w:b/>
                          <w:color w:val="FFFFFF" w:themeColor="background1"/>
                          <w:sz w:val="44"/>
                        </w:rPr>
                      </w:pPr>
                    </w:p>
                    <w:p w14:paraId="0A57E271" w14:textId="77777777" w:rsidR="00D75A79" w:rsidRPr="00975EBE" w:rsidRDefault="00D75A79" w:rsidP="00291C53">
                      <w:pPr>
                        <w:jc w:val="center"/>
                        <w:rPr>
                          <w:b/>
                          <w:color w:val="FFFFFF" w:themeColor="background1"/>
                          <w:sz w:val="44"/>
                        </w:rPr>
                      </w:pPr>
                      <w:r w:rsidRPr="00975EBE">
                        <w:rPr>
                          <w:b/>
                          <w:color w:val="FFFFFF" w:themeColor="background1"/>
                          <w:sz w:val="44"/>
                        </w:rPr>
                        <w:t>B</w:t>
                      </w:r>
                    </w:p>
                    <w:p w14:paraId="6896CD9C" w14:textId="77777777" w:rsidR="00D75A79" w:rsidRPr="00975EBE" w:rsidRDefault="00D75A79" w:rsidP="00291C53">
                      <w:pPr>
                        <w:jc w:val="center"/>
                        <w:rPr>
                          <w:b/>
                          <w:color w:val="FFFFFF" w:themeColor="background1"/>
                          <w:sz w:val="44"/>
                        </w:rPr>
                      </w:pPr>
                      <w:r w:rsidRPr="00975EBE">
                        <w:rPr>
                          <w:b/>
                          <w:color w:val="FFFFFF" w:themeColor="background1"/>
                          <w:sz w:val="44"/>
                        </w:rPr>
                        <w:t>O</w:t>
                      </w:r>
                    </w:p>
                    <w:p w14:paraId="7C5ABB3A" w14:textId="77777777" w:rsidR="00D75A79" w:rsidRPr="00975EBE" w:rsidRDefault="00D75A79" w:rsidP="00291C53">
                      <w:pPr>
                        <w:jc w:val="center"/>
                        <w:rPr>
                          <w:b/>
                          <w:color w:val="FFFFFF" w:themeColor="background1"/>
                          <w:sz w:val="44"/>
                        </w:rPr>
                      </w:pPr>
                      <w:r w:rsidRPr="00975EBE">
                        <w:rPr>
                          <w:b/>
                          <w:color w:val="FFFFFF" w:themeColor="background1"/>
                          <w:sz w:val="44"/>
                        </w:rPr>
                        <w:t>N</w:t>
                      </w:r>
                    </w:p>
                    <w:p w14:paraId="3FCD8CF1" w14:textId="77777777" w:rsidR="00D75A79" w:rsidRPr="00975EBE" w:rsidRDefault="00D75A79" w:rsidP="00291C53">
                      <w:pPr>
                        <w:jc w:val="center"/>
                        <w:rPr>
                          <w:b/>
                          <w:color w:val="FFFFFF" w:themeColor="background1"/>
                          <w:sz w:val="44"/>
                        </w:rPr>
                      </w:pPr>
                      <w:r w:rsidRPr="00975EBE">
                        <w:rPr>
                          <w:b/>
                          <w:color w:val="FFFFFF" w:themeColor="background1"/>
                          <w:sz w:val="44"/>
                        </w:rPr>
                        <w:t>O</w:t>
                      </w:r>
                    </w:p>
                    <w:p w14:paraId="4BA4D08B" w14:textId="77777777" w:rsidR="00D75A79" w:rsidRPr="00975EBE" w:rsidRDefault="00D75A79" w:rsidP="00291C53">
                      <w:pPr>
                        <w:jc w:val="center"/>
                        <w:rPr>
                          <w:b/>
                          <w:color w:val="FFFFFF" w:themeColor="background1"/>
                          <w:sz w:val="44"/>
                        </w:rPr>
                      </w:pPr>
                    </w:p>
                    <w:p w14:paraId="0CE139EB" w14:textId="77777777" w:rsidR="00D75A79" w:rsidRPr="00975EBE" w:rsidRDefault="00D75A79" w:rsidP="00291C53">
                      <w:pPr>
                        <w:jc w:val="center"/>
                        <w:rPr>
                          <w:b/>
                          <w:color w:val="FFFFFF" w:themeColor="background1"/>
                          <w:sz w:val="44"/>
                        </w:rPr>
                      </w:pPr>
                      <w:r w:rsidRPr="00975EBE">
                        <w:rPr>
                          <w:b/>
                          <w:color w:val="FFFFFF" w:themeColor="background1"/>
                          <w:sz w:val="44"/>
                        </w:rPr>
                        <w:t>M</w:t>
                      </w:r>
                    </w:p>
                    <w:p w14:paraId="3777A28C" w14:textId="77777777" w:rsidR="00D75A79" w:rsidRPr="00975EBE" w:rsidRDefault="00D75A79" w:rsidP="00291C53">
                      <w:pPr>
                        <w:jc w:val="center"/>
                        <w:rPr>
                          <w:b/>
                          <w:color w:val="FFFFFF" w:themeColor="background1"/>
                          <w:sz w:val="44"/>
                        </w:rPr>
                      </w:pPr>
                      <w:r w:rsidRPr="00975EBE">
                        <w:rPr>
                          <w:b/>
                          <w:color w:val="FFFFFF" w:themeColor="background1"/>
                          <w:sz w:val="44"/>
                        </w:rPr>
                        <w:t>A</w:t>
                      </w:r>
                    </w:p>
                    <w:p w14:paraId="03A394DA" w14:textId="77777777" w:rsidR="00D75A79" w:rsidRPr="00975EBE" w:rsidRDefault="00D75A79" w:rsidP="00291C53">
                      <w:pPr>
                        <w:jc w:val="center"/>
                        <w:rPr>
                          <w:b/>
                          <w:color w:val="FFFFFF" w:themeColor="background1"/>
                          <w:sz w:val="44"/>
                        </w:rPr>
                      </w:pPr>
                      <w:r w:rsidRPr="00975EBE">
                        <w:rPr>
                          <w:b/>
                          <w:color w:val="FFFFFF" w:themeColor="background1"/>
                          <w:sz w:val="44"/>
                        </w:rPr>
                        <w:t>T</w:t>
                      </w:r>
                    </w:p>
                    <w:p w14:paraId="35922751" w14:textId="77777777" w:rsidR="00D75A79" w:rsidRPr="00975EBE" w:rsidRDefault="00D75A79" w:rsidP="00291C53">
                      <w:pPr>
                        <w:jc w:val="center"/>
                        <w:rPr>
                          <w:b/>
                          <w:color w:val="FFFFFF" w:themeColor="background1"/>
                          <w:sz w:val="44"/>
                        </w:rPr>
                      </w:pPr>
                      <w:r w:rsidRPr="00975EBE">
                        <w:rPr>
                          <w:b/>
                          <w:color w:val="FFFFFF" w:themeColor="background1"/>
                          <w:sz w:val="44"/>
                        </w:rPr>
                        <w:t>T</w:t>
                      </w:r>
                    </w:p>
                    <w:p w14:paraId="42FB2A23" w14:textId="77777777" w:rsidR="00D75A79" w:rsidRPr="00975EBE" w:rsidRDefault="00D75A79" w:rsidP="00291C53">
                      <w:pPr>
                        <w:jc w:val="center"/>
                        <w:rPr>
                          <w:b/>
                          <w:color w:val="FFFFFF" w:themeColor="background1"/>
                          <w:sz w:val="44"/>
                        </w:rPr>
                      </w:pPr>
                      <w:r w:rsidRPr="00975EBE">
                        <w:rPr>
                          <w:b/>
                          <w:color w:val="FFFFFF" w:themeColor="background1"/>
                          <w:sz w:val="44"/>
                        </w:rPr>
                        <w:t>E</w:t>
                      </w:r>
                    </w:p>
                    <w:p w14:paraId="388C6725" w14:textId="77777777" w:rsidR="00D75A79" w:rsidRPr="00975EBE" w:rsidRDefault="00D75A79" w:rsidP="00291C53">
                      <w:pPr>
                        <w:jc w:val="center"/>
                        <w:rPr>
                          <w:b/>
                          <w:color w:val="FFFFFF" w:themeColor="background1"/>
                          <w:sz w:val="44"/>
                        </w:rPr>
                      </w:pPr>
                      <w:r w:rsidRPr="00975EBE">
                        <w:rPr>
                          <w:b/>
                          <w:color w:val="FFFFFF" w:themeColor="background1"/>
                          <w:sz w:val="44"/>
                        </w:rPr>
                        <w:t>R</w:t>
                      </w:r>
                    </w:p>
                    <w:p w14:paraId="7D5DB587" w14:textId="77777777" w:rsidR="00D75A79" w:rsidRPr="00975EBE" w:rsidRDefault="00D75A79" w:rsidP="00291C53">
                      <w:pPr>
                        <w:jc w:val="center"/>
                        <w:rPr>
                          <w:b/>
                          <w:color w:val="FFFFFF" w:themeColor="background1"/>
                          <w:sz w:val="44"/>
                        </w:rPr>
                      </w:pPr>
                      <w:r w:rsidRPr="00975EBE">
                        <w:rPr>
                          <w:b/>
                          <w:color w:val="FFFFFF" w:themeColor="background1"/>
                          <w:sz w:val="44"/>
                        </w:rPr>
                        <w:t>S</w:t>
                      </w:r>
                    </w:p>
                  </w:txbxContent>
                </v:textbox>
                <w10:wrap type="square"/>
              </v:shape>
            </w:pict>
          </mc:Fallback>
        </mc:AlternateContent>
      </w:r>
      <w:r w:rsidRPr="00DE055A">
        <w:rPr>
          <w:rStyle w:val="PageNumber"/>
          <w:noProof/>
          <w:lang w:eastAsia="en-GB"/>
        </w:rPr>
        <mc:AlternateContent>
          <mc:Choice Requires="wps">
            <w:drawing>
              <wp:anchor distT="0" distB="0" distL="114300" distR="114300" simplePos="0" relativeHeight="251658239" behindDoc="1" locked="0" layoutInCell="1" allowOverlap="1" wp14:anchorId="738CCFD1" wp14:editId="38B52AE8">
                <wp:simplePos x="0" y="0"/>
                <wp:positionH relativeFrom="column">
                  <wp:posOffset>4457700</wp:posOffset>
                </wp:positionH>
                <wp:positionV relativeFrom="paragraph">
                  <wp:posOffset>114300</wp:posOffset>
                </wp:positionV>
                <wp:extent cx="2171700" cy="9144000"/>
                <wp:effectExtent l="25400" t="25400" r="139700" b="127000"/>
                <wp:wrapThrough wrapText="bothSides">
                  <wp:wrapPolygon edited="0">
                    <wp:start x="-253" y="-60"/>
                    <wp:lineTo x="-253" y="21720"/>
                    <wp:lineTo x="0" y="21840"/>
                    <wp:lineTo x="22232" y="21840"/>
                    <wp:lineTo x="22737" y="21180"/>
                    <wp:lineTo x="22737" y="-60"/>
                    <wp:lineTo x="-253" y="-60"/>
                  </wp:wrapPolygon>
                </wp:wrapThrough>
                <wp:docPr id="6" name="Rektangel 6"/>
                <wp:cNvGraphicFramePr/>
                <a:graphic xmlns:a="http://schemas.openxmlformats.org/drawingml/2006/main">
                  <a:graphicData uri="http://schemas.microsoft.com/office/word/2010/wordprocessingShape">
                    <wps:wsp>
                      <wps:cNvSpPr/>
                      <wps:spPr>
                        <a:xfrm>
                          <a:off x="0" y="0"/>
                          <a:ext cx="2171700" cy="9144000"/>
                        </a:xfrm>
                        <a:prstGeom prst="rect">
                          <a:avLst/>
                        </a:prstGeom>
                        <a:gradFill flip="none" rotWithShape="1">
                          <a:gsLst>
                            <a:gs pos="0">
                              <a:schemeClr val="accent1">
                                <a:tint val="100000"/>
                                <a:shade val="100000"/>
                                <a:satMod val="130000"/>
                              </a:schemeClr>
                            </a:gs>
                            <a:gs pos="55000">
                              <a:schemeClr val="accent1">
                                <a:tint val="50000"/>
                                <a:shade val="100000"/>
                                <a:satMod val="350000"/>
                              </a:schemeClr>
                            </a:gs>
                          </a:gsLst>
                          <a:path path="circle">
                            <a:fillToRect l="100000" t="100000"/>
                          </a:path>
                          <a:tileRect r="-100000" b="-100000"/>
                        </a:gradFill>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ktangel 6" o:spid="_x0000_s1026" style="position:absolute;margin-left:351pt;margin-top:9pt;width:171pt;height:10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" fillcolor="#4f81bd [3204]" strokecolor="#4579b8 [3044]">
                <v:fill color2="#a7bfde [1620]" rotate="t" focusposition="1,1" focussize="" colors="0 #3f80cd;36045f #9bc1ff" focus="100%" type="gradientRadial"/>
                <v:shadow on="t" opacity="26214f" mv:blur="50800f" origin="-.5,-.5" offset="26941emu,26941emu"/>
                <w10:wrap type="through"/>
              </v:rect>
            </w:pict>
          </mc:Fallback>
        </mc:AlternateContent>
      </w:r>
      <w:r>
        <w:rPr>
          <w:rFonts w:ascii="Calibri" w:hAnsi="Calibri" w:cs="Times New Roman"/>
          <w:noProof/>
          <w:lang w:eastAsia="en-GB"/>
        </w:rPr>
        <mc:AlternateContent>
          <mc:Choice Requires="wps">
            <w:drawing>
              <wp:anchor distT="0" distB="0" distL="114300" distR="114300" simplePos="0" relativeHeight="251666432" behindDoc="0" locked="0" layoutInCell="1" allowOverlap="1" wp14:anchorId="04EFF7FA" wp14:editId="3B495B7D">
                <wp:simplePos x="0" y="0"/>
                <wp:positionH relativeFrom="column">
                  <wp:posOffset>0</wp:posOffset>
                </wp:positionH>
                <wp:positionV relativeFrom="paragraph">
                  <wp:posOffset>114300</wp:posOffset>
                </wp:positionV>
                <wp:extent cx="4000500" cy="9029700"/>
                <wp:effectExtent l="0" t="0" r="0" b="12700"/>
                <wp:wrapSquare wrapText="bothSides"/>
                <wp:docPr id="2" name="Tekstboks 2"/>
                <wp:cNvGraphicFramePr/>
                <a:graphic xmlns:a="http://schemas.openxmlformats.org/drawingml/2006/main">
                  <a:graphicData uri="http://schemas.microsoft.com/office/word/2010/wordprocessingShape">
                    <wps:wsp>
                      <wps:cNvSpPr txBox="1"/>
                      <wps:spPr>
                        <a:xfrm>
                          <a:off x="0" y="0"/>
                          <a:ext cx="4000500" cy="9029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61B167" w14:textId="77777777" w:rsidR="00D75A79" w:rsidRPr="005A77DB" w:rsidRDefault="00D75A79" w:rsidP="005A77DB">
                            <w:pPr>
                              <w:pStyle w:val="ListParagraph"/>
                              <w:spacing w:after="180"/>
                              <w:ind w:left="0"/>
                              <w:jc w:val="both"/>
                              <w:rPr>
                                <w:rStyle w:val="Heading1Char"/>
                                <w:color w:val="4F81BD" w:themeColor="accent1"/>
                                <w:spacing w:val="20"/>
                                <w:kern w:val="0"/>
                                <w:szCs w:val="28"/>
                                <w:lang w:val="en-GB"/>
                              </w:rPr>
                            </w:pPr>
                            <w:bookmarkStart w:id="0" w:name="_Toc416867079"/>
                            <w:r w:rsidRPr="005A77DB">
                              <w:rPr>
                                <w:rStyle w:val="Heading1Char"/>
                                <w:color w:val="4F81BD" w:themeColor="accent1"/>
                                <w:spacing w:val="20"/>
                                <w:kern w:val="0"/>
                                <w:szCs w:val="28"/>
                                <w:lang w:val="en-GB"/>
                              </w:rPr>
                              <w:t>AUTHORS AND STRUCTURE OF THIS SUBMISSION:</w:t>
                            </w:r>
                            <w:bookmarkEnd w:id="0"/>
                            <w:r w:rsidRPr="005A77DB">
                              <w:rPr>
                                <w:rStyle w:val="Heading1Char"/>
                                <w:color w:val="4F81BD" w:themeColor="accent1"/>
                                <w:spacing w:val="20"/>
                                <w:kern w:val="0"/>
                                <w:szCs w:val="28"/>
                                <w:lang w:val="en-GB"/>
                              </w:rPr>
                              <w:t xml:space="preserve"> </w:t>
                            </w:r>
                          </w:p>
                          <w:p w14:paraId="72DF9727" w14:textId="77777777" w:rsidR="00D75A79" w:rsidRDefault="00D75A79" w:rsidP="005A77DB">
                            <w:pPr>
                              <w:pStyle w:val="ListParagraph"/>
                              <w:ind w:left="0"/>
                              <w:jc w:val="both"/>
                              <w:rPr>
                                <w:rFonts w:ascii="Calibri" w:hAnsi="Calibri" w:cs="Times New Roman"/>
                              </w:rPr>
                            </w:pPr>
                          </w:p>
                          <w:p w14:paraId="6678C26E" w14:textId="77777777" w:rsidR="00D75A79" w:rsidRDefault="00D75A79" w:rsidP="00291C53">
                            <w:pPr>
                              <w:pStyle w:val="ListParagraph"/>
                              <w:spacing w:after="180" w:line="276" w:lineRule="auto"/>
                              <w:ind w:left="0"/>
                              <w:jc w:val="both"/>
                              <w:rPr>
                                <w:rFonts w:ascii="Calibri" w:eastAsiaTheme="minorHAnsi" w:hAnsi="Calibri" w:cs="Times New Roman"/>
                                <w:color w:val="4F81BD" w:themeColor="accent1"/>
                              </w:rPr>
                            </w:pPr>
                          </w:p>
                          <w:p w14:paraId="06B6B21A" w14:textId="77777777" w:rsidR="00D75A79" w:rsidRDefault="00D75A79" w:rsidP="00291C53">
                            <w:pPr>
                              <w:pStyle w:val="ListParagraph"/>
                              <w:spacing w:after="180" w:line="276" w:lineRule="auto"/>
                              <w:ind w:left="0"/>
                              <w:jc w:val="both"/>
                              <w:rPr>
                                <w:rFonts w:ascii="Calibri" w:eastAsiaTheme="minorHAnsi" w:hAnsi="Calibri" w:cs="Times New Roman"/>
                                <w:color w:val="4F81BD" w:themeColor="accent1"/>
                              </w:rPr>
                            </w:pPr>
                            <w:r w:rsidRPr="00291C53">
                              <w:rPr>
                                <w:rFonts w:ascii="Calibri" w:eastAsiaTheme="minorHAnsi" w:hAnsi="Calibri" w:cs="Times New Roman"/>
                                <w:color w:val="4F81BD" w:themeColor="accent1"/>
                              </w:rPr>
                              <w:t xml:space="preserve">This submission has been prepared by the London School of Economics Pro Bono Matters (LSE Pro Bono Matters) a postgraduate pro bono group based at the LSE Law Department, together with the LSE Centre on Women, Peace and Security. </w:t>
                            </w:r>
                          </w:p>
                          <w:p w14:paraId="3E63FDA4" w14:textId="77777777" w:rsidR="00D75A79" w:rsidRPr="00291C53" w:rsidRDefault="00D75A79" w:rsidP="00291C53">
                            <w:pPr>
                              <w:pStyle w:val="ListParagraph"/>
                              <w:spacing w:after="180" w:line="276" w:lineRule="auto"/>
                              <w:ind w:left="0"/>
                              <w:jc w:val="both"/>
                              <w:rPr>
                                <w:rFonts w:ascii="Calibri" w:eastAsiaTheme="minorHAnsi" w:hAnsi="Calibri" w:cs="Times New Roman"/>
                                <w:color w:val="4F81BD" w:themeColor="accent1"/>
                              </w:rPr>
                            </w:pPr>
                          </w:p>
                          <w:p w14:paraId="29DB3789" w14:textId="77777777" w:rsidR="00D75A79" w:rsidRPr="00291C53" w:rsidRDefault="00D75A79" w:rsidP="00291C53">
                            <w:pPr>
                              <w:pStyle w:val="ListParagraph"/>
                              <w:spacing w:after="180" w:line="276" w:lineRule="auto"/>
                              <w:ind w:left="0"/>
                              <w:jc w:val="both"/>
                              <w:rPr>
                                <w:rFonts w:ascii="Calibri" w:eastAsiaTheme="minorHAnsi" w:hAnsi="Calibri" w:cs="Times New Roman"/>
                                <w:color w:val="4F81BD" w:themeColor="accent1"/>
                              </w:rPr>
                            </w:pPr>
                            <w:r w:rsidRPr="00291C53">
                              <w:rPr>
                                <w:rFonts w:ascii="Calibri" w:eastAsiaTheme="minorHAnsi" w:hAnsi="Calibri" w:cs="Times New Roman"/>
                                <w:color w:val="4F81BD" w:themeColor="accent1"/>
                              </w:rPr>
                              <w:t xml:space="preserve">Project Supervisor - Emeritus Professor Christine Chinkin, Director of the LSE Centre on Women, Peace and Security </w:t>
                            </w:r>
                          </w:p>
                          <w:p w14:paraId="59EE3D10" w14:textId="77777777" w:rsidR="00D75A79" w:rsidRPr="00291C53" w:rsidRDefault="00D75A79" w:rsidP="00291C53">
                            <w:pPr>
                              <w:pStyle w:val="ListParagraph"/>
                              <w:spacing w:after="180" w:line="276" w:lineRule="auto"/>
                              <w:ind w:left="0"/>
                              <w:jc w:val="both"/>
                              <w:rPr>
                                <w:rFonts w:ascii="Calibri" w:eastAsiaTheme="minorHAnsi" w:hAnsi="Calibri" w:cs="Times New Roman"/>
                                <w:color w:val="4F81BD" w:themeColor="accent1"/>
                              </w:rPr>
                            </w:pPr>
                            <w:r w:rsidRPr="00291C53">
                              <w:rPr>
                                <w:rFonts w:ascii="Calibri" w:eastAsiaTheme="minorHAnsi" w:hAnsi="Calibri" w:cs="Times New Roman"/>
                                <w:color w:val="4F81BD" w:themeColor="accent1"/>
                              </w:rPr>
                              <w:t>Lead author - Natasha Lewis, LLM candidate 2014/15, LSE</w:t>
                            </w:r>
                          </w:p>
                          <w:p w14:paraId="1D064B7B" w14:textId="77777777" w:rsidR="00D75A79" w:rsidRDefault="00D75A79" w:rsidP="00291C53">
                            <w:pPr>
                              <w:pStyle w:val="ListParagraph"/>
                              <w:spacing w:after="180" w:line="276" w:lineRule="auto"/>
                              <w:ind w:left="0"/>
                              <w:jc w:val="both"/>
                              <w:rPr>
                                <w:rFonts w:ascii="Calibri" w:eastAsiaTheme="minorHAnsi" w:hAnsi="Calibri" w:cs="Times New Roman"/>
                                <w:color w:val="4F81BD" w:themeColor="accent1"/>
                              </w:rPr>
                            </w:pPr>
                          </w:p>
                          <w:p w14:paraId="23A974CB" w14:textId="173A9408" w:rsidR="00D75A79" w:rsidRPr="00291C53" w:rsidRDefault="00D75A79" w:rsidP="00291C53">
                            <w:pPr>
                              <w:pStyle w:val="ListParagraph"/>
                              <w:spacing w:after="180" w:line="276" w:lineRule="auto"/>
                              <w:ind w:left="0"/>
                              <w:jc w:val="both"/>
                              <w:rPr>
                                <w:rFonts w:ascii="Calibri" w:eastAsiaTheme="minorHAnsi" w:hAnsi="Calibri" w:cs="Times New Roman"/>
                                <w:color w:val="4F81BD" w:themeColor="accent1"/>
                              </w:rPr>
                            </w:pPr>
                            <w:r>
                              <w:rPr>
                                <w:rFonts w:ascii="Calibri" w:eastAsiaTheme="minorHAnsi" w:hAnsi="Calibri" w:cs="Times New Roman"/>
                                <w:color w:val="4F81BD" w:themeColor="accent1"/>
                              </w:rPr>
                              <w:t xml:space="preserve">Section 1 authors </w:t>
                            </w:r>
                            <w:r w:rsidRPr="00291C53">
                              <w:rPr>
                                <w:rFonts w:ascii="Calibri" w:eastAsiaTheme="minorHAnsi" w:hAnsi="Calibri" w:cs="Times New Roman"/>
                                <w:color w:val="4F81BD" w:themeColor="accent1"/>
                              </w:rPr>
                              <w:t xml:space="preserve">- Natasha Lewis, Roopa Mathews and Yasmin Butlin, LLM candidates 2014/15, LSE </w:t>
                            </w:r>
                          </w:p>
                          <w:p w14:paraId="158A6B6D" w14:textId="77777777" w:rsidR="00D75A79" w:rsidRDefault="00D75A79" w:rsidP="00291C53">
                            <w:pPr>
                              <w:pStyle w:val="ListParagraph"/>
                              <w:spacing w:after="180" w:line="276" w:lineRule="auto"/>
                              <w:ind w:left="0"/>
                              <w:jc w:val="both"/>
                              <w:rPr>
                                <w:rFonts w:ascii="Calibri" w:eastAsiaTheme="minorHAnsi" w:hAnsi="Calibri" w:cs="Times New Roman"/>
                                <w:color w:val="4F81BD" w:themeColor="accent1"/>
                              </w:rPr>
                            </w:pPr>
                          </w:p>
                          <w:p w14:paraId="36F24B64" w14:textId="77777777" w:rsidR="00D75A79" w:rsidRPr="00291C53" w:rsidRDefault="00D75A79" w:rsidP="00291C53">
                            <w:pPr>
                              <w:pStyle w:val="ListParagraph"/>
                              <w:spacing w:after="180" w:line="276" w:lineRule="auto"/>
                              <w:ind w:left="0"/>
                              <w:jc w:val="both"/>
                              <w:rPr>
                                <w:rFonts w:ascii="Calibri" w:eastAsiaTheme="minorHAnsi" w:hAnsi="Calibri" w:cs="Times New Roman"/>
                                <w:color w:val="4F81BD" w:themeColor="accent1"/>
                              </w:rPr>
                            </w:pPr>
                            <w:r w:rsidRPr="00291C53">
                              <w:rPr>
                                <w:rFonts w:ascii="Calibri" w:eastAsiaTheme="minorHAnsi" w:hAnsi="Calibri" w:cs="Times New Roman"/>
                                <w:color w:val="4F81BD" w:themeColor="accent1"/>
                              </w:rPr>
                              <w:t>Section 2 authors - Eliza Bechtold, Tania Marcello, Marina Velickovic, Anita Clifford and Salwa Marsh, LLM candidates 2014/15, LSE; Constanza Fernandez-Danceanu, MSc International Relations Theory candidate 2014/15, LSE</w:t>
                            </w:r>
                          </w:p>
                          <w:p w14:paraId="7A4801D8" w14:textId="77777777" w:rsidR="00D75A79" w:rsidRDefault="00D75A79" w:rsidP="00291C53">
                            <w:pPr>
                              <w:pStyle w:val="ListParagraph"/>
                              <w:spacing w:after="180" w:line="276" w:lineRule="auto"/>
                              <w:ind w:left="0"/>
                              <w:jc w:val="both"/>
                              <w:rPr>
                                <w:rFonts w:ascii="Calibri" w:eastAsiaTheme="minorHAnsi" w:hAnsi="Calibri" w:cs="Times New Roman"/>
                                <w:color w:val="4F81BD" w:themeColor="accent1"/>
                              </w:rPr>
                            </w:pPr>
                          </w:p>
                          <w:p w14:paraId="08430549" w14:textId="77777777" w:rsidR="00D75A79" w:rsidRPr="00291C53" w:rsidRDefault="00D75A79" w:rsidP="00291C53">
                            <w:pPr>
                              <w:pStyle w:val="ListParagraph"/>
                              <w:spacing w:after="180" w:line="276" w:lineRule="auto"/>
                              <w:ind w:left="0"/>
                              <w:jc w:val="both"/>
                              <w:rPr>
                                <w:rFonts w:ascii="Calibri" w:eastAsiaTheme="minorHAnsi" w:hAnsi="Calibri" w:cs="Times New Roman"/>
                                <w:color w:val="4F81BD" w:themeColor="accent1"/>
                              </w:rPr>
                            </w:pPr>
                            <w:r w:rsidRPr="00291C53">
                              <w:rPr>
                                <w:rFonts w:ascii="Calibri" w:eastAsiaTheme="minorHAnsi" w:hAnsi="Calibri" w:cs="Times New Roman"/>
                                <w:color w:val="4F81BD" w:themeColor="accent1"/>
                              </w:rPr>
                              <w:t xml:space="preserve">Section 3 authors – Aileen Kreyden and Freya Dinshaw, LLM candidates 2014/15, LSE </w:t>
                            </w:r>
                          </w:p>
                          <w:p w14:paraId="0E2E7FB7" w14:textId="77777777" w:rsidR="00D75A79" w:rsidRPr="00291C53" w:rsidRDefault="00D75A79" w:rsidP="00291C53">
                            <w:pPr>
                              <w:pStyle w:val="ListParagraph"/>
                              <w:spacing w:after="180" w:line="276" w:lineRule="auto"/>
                              <w:ind w:left="0"/>
                              <w:jc w:val="both"/>
                              <w:rPr>
                                <w:rFonts w:ascii="Calibri" w:eastAsiaTheme="minorHAnsi" w:hAnsi="Calibri" w:cs="Times New Roman"/>
                                <w:color w:val="4F81BD" w:themeColor="accent1"/>
                              </w:rPr>
                            </w:pPr>
                            <w:r w:rsidRPr="00291C53">
                              <w:rPr>
                                <w:rFonts w:ascii="Calibri" w:eastAsiaTheme="minorHAnsi" w:hAnsi="Calibri" w:cs="Times New Roman"/>
                                <w:color w:val="4F81BD" w:themeColor="accent1"/>
                              </w:rPr>
                              <w:t xml:space="preserve">Editors  - Anthony Kennelly and Barbara Kammerman, LLM candidates 2014/15, LSE </w:t>
                            </w:r>
                          </w:p>
                          <w:p w14:paraId="28E639D1" w14:textId="77777777" w:rsidR="00D75A79" w:rsidRDefault="00D75A79" w:rsidP="00291C53">
                            <w:pPr>
                              <w:pStyle w:val="ListParagraph"/>
                              <w:spacing w:after="180" w:line="276" w:lineRule="auto"/>
                              <w:ind w:left="0"/>
                              <w:jc w:val="both"/>
                              <w:rPr>
                                <w:rFonts w:ascii="Calibri" w:eastAsiaTheme="minorHAnsi" w:hAnsi="Calibri" w:cs="Times New Roman"/>
                                <w:color w:val="4F81BD" w:themeColor="accent1"/>
                              </w:rPr>
                            </w:pPr>
                          </w:p>
                          <w:p w14:paraId="07CD976A" w14:textId="77777777" w:rsidR="00D75A79" w:rsidRPr="00291C53" w:rsidRDefault="00D75A79" w:rsidP="00291C53">
                            <w:pPr>
                              <w:pStyle w:val="ListParagraph"/>
                              <w:spacing w:after="180" w:line="276" w:lineRule="auto"/>
                              <w:ind w:left="0"/>
                              <w:jc w:val="both"/>
                              <w:rPr>
                                <w:rFonts w:ascii="Calibri" w:eastAsiaTheme="minorHAnsi" w:hAnsi="Calibri" w:cs="Times New Roman"/>
                                <w:color w:val="4F81BD" w:themeColor="accent1"/>
                              </w:rPr>
                            </w:pPr>
                          </w:p>
                          <w:p w14:paraId="2344D275" w14:textId="77777777" w:rsidR="00D75A79" w:rsidRPr="00291C53" w:rsidRDefault="00D75A79" w:rsidP="00291C53">
                            <w:pPr>
                              <w:pStyle w:val="ListParagraph"/>
                              <w:spacing w:after="180" w:line="276" w:lineRule="auto"/>
                              <w:ind w:left="0"/>
                              <w:jc w:val="both"/>
                              <w:rPr>
                                <w:rFonts w:ascii="Calibri" w:eastAsiaTheme="minorHAnsi" w:hAnsi="Calibri" w:cs="Times New Roman"/>
                                <w:color w:val="4F81BD" w:themeColor="accent1"/>
                              </w:rPr>
                            </w:pPr>
                            <w:r w:rsidRPr="00291C53">
                              <w:rPr>
                                <w:rFonts w:ascii="Calibri" w:eastAsiaTheme="minorHAnsi" w:hAnsi="Calibri" w:cs="Times New Roman"/>
                                <w:color w:val="4F81BD" w:themeColor="accent1"/>
                              </w:rPr>
                              <w:t>For more information on the submission please contact LSE Pro Bono Matters at:</w:t>
                            </w:r>
                          </w:p>
                          <w:p w14:paraId="224A8994" w14:textId="77777777" w:rsidR="00D75A79" w:rsidRPr="00291C53" w:rsidRDefault="005F20A5" w:rsidP="00291C53">
                            <w:pPr>
                              <w:pStyle w:val="ListParagraph"/>
                              <w:spacing w:line="276" w:lineRule="auto"/>
                              <w:ind w:left="0"/>
                              <w:jc w:val="both"/>
                              <w:rPr>
                                <w:rFonts w:ascii="Calibri" w:hAnsi="Calibri" w:cs="Times New Roman"/>
                              </w:rPr>
                            </w:pPr>
                            <w:hyperlink r:id="rId10" w:history="1">
                              <w:r w:rsidR="00D75A79" w:rsidRPr="00291C53">
                                <w:rPr>
                                  <w:rStyle w:val="Hyperlink"/>
                                  <w:rFonts w:ascii="Calibri" w:hAnsi="Calibri" w:cs="Times New Roman"/>
                                </w:rPr>
                                <w:t>Law.probonomatters@lse.ac.uk</w:t>
                              </w:r>
                            </w:hyperlink>
                            <w:r w:rsidR="00D75A79" w:rsidRPr="00291C53">
                              <w:rPr>
                                <w:rFonts w:ascii="Calibri" w:hAnsi="Calibri" w:cs="Times New Roman"/>
                              </w:rPr>
                              <w:t xml:space="preserve"> </w:t>
                            </w:r>
                          </w:p>
                          <w:p w14:paraId="208CB9A6" w14:textId="77777777" w:rsidR="00D75A79" w:rsidRDefault="00D75A79" w:rsidP="00291C53">
                            <w:pPr>
                              <w:spacing w:line="276" w:lineRule="auto"/>
                              <w:jc w:val="both"/>
                              <w:rPr>
                                <w:rFonts w:ascii="Calibri" w:hAnsi="Calibri" w:cs="Times New Roman"/>
                              </w:rPr>
                            </w:pPr>
                          </w:p>
                          <w:p w14:paraId="75366298" w14:textId="77777777" w:rsidR="00D75A79" w:rsidRDefault="00D75A79" w:rsidP="00291C53">
                            <w:pPr>
                              <w:pStyle w:val="ListParagraph"/>
                              <w:spacing w:after="180" w:line="276" w:lineRule="auto"/>
                              <w:ind w:left="0"/>
                              <w:jc w:val="both"/>
                              <w:rPr>
                                <w:rFonts w:ascii="Calibri" w:eastAsiaTheme="minorHAnsi" w:hAnsi="Calibri" w:cs="Times New Roman"/>
                                <w:color w:val="4F81BD" w:themeColor="accent1"/>
                              </w:rPr>
                            </w:pPr>
                          </w:p>
                          <w:p w14:paraId="51BAE8B3" w14:textId="77777777" w:rsidR="00D75A79" w:rsidRPr="00291C53" w:rsidRDefault="00D75A79" w:rsidP="00291C53">
                            <w:pPr>
                              <w:pStyle w:val="ListParagraph"/>
                              <w:spacing w:after="180" w:line="276" w:lineRule="auto"/>
                              <w:ind w:left="0"/>
                              <w:jc w:val="both"/>
                              <w:rPr>
                                <w:rFonts w:ascii="Calibri" w:eastAsiaTheme="minorHAnsi" w:hAnsi="Calibri" w:cs="Times New Roman"/>
                                <w:color w:val="4F81BD" w:themeColor="accent1"/>
                              </w:rPr>
                            </w:pPr>
                            <w:r w:rsidRPr="00291C53">
                              <w:rPr>
                                <w:rFonts w:ascii="Calibri" w:eastAsiaTheme="minorHAnsi" w:hAnsi="Calibri" w:cs="Times New Roman"/>
                                <w:color w:val="4F81BD" w:themeColor="accent1"/>
                              </w:rPr>
                              <w:t>April 2015</w:t>
                            </w:r>
                          </w:p>
                          <w:p w14:paraId="5933388B" w14:textId="77777777" w:rsidR="00D75A79" w:rsidRDefault="00D75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 o:spid="_x0000_s1033" type="#_x0000_t202" style="position:absolute;margin-left:0;margin-top:9pt;width:315pt;height:7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" filled="f" stroked="f">
                <v:textbox>
                  <w:txbxContent>
                    <w:p w14:paraId="4461B167" w14:textId="77777777" w:rsidR="00D75A79" w:rsidRPr="005A77DB" w:rsidRDefault="00D75A79" w:rsidP="005A77DB">
                      <w:pPr>
                        <w:pStyle w:val="ListParagraph"/>
                        <w:spacing w:after="180"/>
                        <w:ind w:left="0"/>
                        <w:jc w:val="both"/>
                        <w:rPr>
                          <w:rStyle w:val="Heading1Char"/>
                          <w:color w:val="4F81BD" w:themeColor="accent1"/>
                          <w:spacing w:val="20"/>
                          <w:kern w:val="0"/>
                          <w:szCs w:val="28"/>
                          <w:lang w:val="en-GB"/>
                        </w:rPr>
                      </w:pPr>
                      <w:bookmarkStart w:id="1" w:name="_Toc416867079"/>
                      <w:r w:rsidRPr="005A77DB">
                        <w:rPr>
                          <w:rStyle w:val="Heading1Char"/>
                          <w:color w:val="4F81BD" w:themeColor="accent1"/>
                          <w:spacing w:val="20"/>
                          <w:kern w:val="0"/>
                          <w:szCs w:val="28"/>
                          <w:lang w:val="en-GB"/>
                        </w:rPr>
                        <w:t>AUTHORS AND STRUCTURE OF THIS SUBMISSION:</w:t>
                      </w:r>
                      <w:bookmarkEnd w:id="1"/>
                      <w:r w:rsidRPr="005A77DB">
                        <w:rPr>
                          <w:rStyle w:val="Heading1Char"/>
                          <w:color w:val="4F81BD" w:themeColor="accent1"/>
                          <w:spacing w:val="20"/>
                          <w:kern w:val="0"/>
                          <w:szCs w:val="28"/>
                          <w:lang w:val="en-GB"/>
                        </w:rPr>
                        <w:t xml:space="preserve"> </w:t>
                      </w:r>
                    </w:p>
                    <w:p w14:paraId="72DF9727" w14:textId="77777777" w:rsidR="00D75A79" w:rsidRDefault="00D75A79" w:rsidP="005A77DB">
                      <w:pPr>
                        <w:pStyle w:val="ListParagraph"/>
                        <w:ind w:left="0"/>
                        <w:jc w:val="both"/>
                        <w:rPr>
                          <w:rFonts w:ascii="Calibri" w:hAnsi="Calibri" w:cs="Times New Roman"/>
                        </w:rPr>
                      </w:pPr>
                    </w:p>
                    <w:p w14:paraId="6678C26E" w14:textId="77777777" w:rsidR="00D75A79" w:rsidRDefault="00D75A79" w:rsidP="00291C53">
                      <w:pPr>
                        <w:pStyle w:val="ListParagraph"/>
                        <w:spacing w:after="180" w:line="276" w:lineRule="auto"/>
                        <w:ind w:left="0"/>
                        <w:jc w:val="both"/>
                        <w:rPr>
                          <w:rFonts w:ascii="Calibri" w:eastAsiaTheme="minorHAnsi" w:hAnsi="Calibri" w:cs="Times New Roman"/>
                          <w:color w:val="4F81BD" w:themeColor="accent1"/>
                        </w:rPr>
                      </w:pPr>
                    </w:p>
                    <w:p w14:paraId="06B6B21A" w14:textId="77777777" w:rsidR="00D75A79" w:rsidRDefault="00D75A79" w:rsidP="00291C53">
                      <w:pPr>
                        <w:pStyle w:val="ListParagraph"/>
                        <w:spacing w:after="180" w:line="276" w:lineRule="auto"/>
                        <w:ind w:left="0"/>
                        <w:jc w:val="both"/>
                        <w:rPr>
                          <w:rFonts w:ascii="Calibri" w:eastAsiaTheme="minorHAnsi" w:hAnsi="Calibri" w:cs="Times New Roman"/>
                          <w:color w:val="4F81BD" w:themeColor="accent1"/>
                        </w:rPr>
                      </w:pPr>
                      <w:r w:rsidRPr="00291C53">
                        <w:rPr>
                          <w:rFonts w:ascii="Calibri" w:eastAsiaTheme="minorHAnsi" w:hAnsi="Calibri" w:cs="Times New Roman"/>
                          <w:color w:val="4F81BD" w:themeColor="accent1"/>
                        </w:rPr>
                        <w:t xml:space="preserve">This submission has been prepared by the London School of Economics Pro Bono Matters (LSE Pro Bono Matters) a postgraduate pro bono group based at the LSE Law Department, together with the LSE Centre on Women, Peace and Security. </w:t>
                      </w:r>
                    </w:p>
                    <w:p w14:paraId="3E63FDA4" w14:textId="77777777" w:rsidR="00D75A79" w:rsidRPr="00291C53" w:rsidRDefault="00D75A79" w:rsidP="00291C53">
                      <w:pPr>
                        <w:pStyle w:val="ListParagraph"/>
                        <w:spacing w:after="180" w:line="276" w:lineRule="auto"/>
                        <w:ind w:left="0"/>
                        <w:jc w:val="both"/>
                        <w:rPr>
                          <w:rFonts w:ascii="Calibri" w:eastAsiaTheme="minorHAnsi" w:hAnsi="Calibri" w:cs="Times New Roman"/>
                          <w:color w:val="4F81BD" w:themeColor="accent1"/>
                        </w:rPr>
                      </w:pPr>
                    </w:p>
                    <w:p w14:paraId="29DB3789" w14:textId="77777777" w:rsidR="00D75A79" w:rsidRPr="00291C53" w:rsidRDefault="00D75A79" w:rsidP="00291C53">
                      <w:pPr>
                        <w:pStyle w:val="ListParagraph"/>
                        <w:spacing w:after="180" w:line="276" w:lineRule="auto"/>
                        <w:ind w:left="0"/>
                        <w:jc w:val="both"/>
                        <w:rPr>
                          <w:rFonts w:ascii="Calibri" w:eastAsiaTheme="minorHAnsi" w:hAnsi="Calibri" w:cs="Times New Roman"/>
                          <w:color w:val="4F81BD" w:themeColor="accent1"/>
                        </w:rPr>
                      </w:pPr>
                      <w:r w:rsidRPr="00291C53">
                        <w:rPr>
                          <w:rFonts w:ascii="Calibri" w:eastAsiaTheme="minorHAnsi" w:hAnsi="Calibri" w:cs="Times New Roman"/>
                          <w:color w:val="4F81BD" w:themeColor="accent1"/>
                        </w:rPr>
                        <w:t xml:space="preserve">Project Supervisor - Emeritus Professor Christine Chinkin, Director of the LSE Centre on Women, Peace and Security </w:t>
                      </w:r>
                    </w:p>
                    <w:p w14:paraId="59EE3D10" w14:textId="77777777" w:rsidR="00D75A79" w:rsidRPr="00291C53" w:rsidRDefault="00D75A79" w:rsidP="00291C53">
                      <w:pPr>
                        <w:pStyle w:val="ListParagraph"/>
                        <w:spacing w:after="180" w:line="276" w:lineRule="auto"/>
                        <w:ind w:left="0"/>
                        <w:jc w:val="both"/>
                        <w:rPr>
                          <w:rFonts w:ascii="Calibri" w:eastAsiaTheme="minorHAnsi" w:hAnsi="Calibri" w:cs="Times New Roman"/>
                          <w:color w:val="4F81BD" w:themeColor="accent1"/>
                        </w:rPr>
                      </w:pPr>
                      <w:r w:rsidRPr="00291C53">
                        <w:rPr>
                          <w:rFonts w:ascii="Calibri" w:eastAsiaTheme="minorHAnsi" w:hAnsi="Calibri" w:cs="Times New Roman"/>
                          <w:color w:val="4F81BD" w:themeColor="accent1"/>
                        </w:rPr>
                        <w:t>Lead author - Natasha Lewis, LLM candidate 2014/15, LSE</w:t>
                      </w:r>
                    </w:p>
                    <w:p w14:paraId="1D064B7B" w14:textId="77777777" w:rsidR="00D75A79" w:rsidRDefault="00D75A79" w:rsidP="00291C53">
                      <w:pPr>
                        <w:pStyle w:val="ListParagraph"/>
                        <w:spacing w:after="180" w:line="276" w:lineRule="auto"/>
                        <w:ind w:left="0"/>
                        <w:jc w:val="both"/>
                        <w:rPr>
                          <w:rFonts w:ascii="Calibri" w:eastAsiaTheme="minorHAnsi" w:hAnsi="Calibri" w:cs="Times New Roman"/>
                          <w:color w:val="4F81BD" w:themeColor="accent1"/>
                        </w:rPr>
                      </w:pPr>
                    </w:p>
                    <w:p w14:paraId="23A974CB" w14:textId="173A9408" w:rsidR="00D75A79" w:rsidRPr="00291C53" w:rsidRDefault="00D75A79" w:rsidP="00291C53">
                      <w:pPr>
                        <w:pStyle w:val="ListParagraph"/>
                        <w:spacing w:after="180" w:line="276" w:lineRule="auto"/>
                        <w:ind w:left="0"/>
                        <w:jc w:val="both"/>
                        <w:rPr>
                          <w:rFonts w:ascii="Calibri" w:eastAsiaTheme="minorHAnsi" w:hAnsi="Calibri" w:cs="Times New Roman"/>
                          <w:color w:val="4F81BD" w:themeColor="accent1"/>
                        </w:rPr>
                      </w:pPr>
                      <w:r>
                        <w:rPr>
                          <w:rFonts w:ascii="Calibri" w:eastAsiaTheme="minorHAnsi" w:hAnsi="Calibri" w:cs="Times New Roman"/>
                          <w:color w:val="4F81BD" w:themeColor="accent1"/>
                        </w:rPr>
                        <w:t xml:space="preserve">Section 1 authors </w:t>
                      </w:r>
                      <w:r w:rsidRPr="00291C53">
                        <w:rPr>
                          <w:rFonts w:ascii="Calibri" w:eastAsiaTheme="minorHAnsi" w:hAnsi="Calibri" w:cs="Times New Roman"/>
                          <w:color w:val="4F81BD" w:themeColor="accent1"/>
                        </w:rPr>
                        <w:t xml:space="preserve">- Natasha Lewis, Roopa Mathews and Yasmin Butlin, LLM candidates 2014/15, LSE </w:t>
                      </w:r>
                    </w:p>
                    <w:p w14:paraId="158A6B6D" w14:textId="77777777" w:rsidR="00D75A79" w:rsidRDefault="00D75A79" w:rsidP="00291C53">
                      <w:pPr>
                        <w:pStyle w:val="ListParagraph"/>
                        <w:spacing w:after="180" w:line="276" w:lineRule="auto"/>
                        <w:ind w:left="0"/>
                        <w:jc w:val="both"/>
                        <w:rPr>
                          <w:rFonts w:ascii="Calibri" w:eastAsiaTheme="minorHAnsi" w:hAnsi="Calibri" w:cs="Times New Roman"/>
                          <w:color w:val="4F81BD" w:themeColor="accent1"/>
                        </w:rPr>
                      </w:pPr>
                    </w:p>
                    <w:p w14:paraId="36F24B64" w14:textId="77777777" w:rsidR="00D75A79" w:rsidRPr="00291C53" w:rsidRDefault="00D75A79" w:rsidP="00291C53">
                      <w:pPr>
                        <w:pStyle w:val="ListParagraph"/>
                        <w:spacing w:after="180" w:line="276" w:lineRule="auto"/>
                        <w:ind w:left="0"/>
                        <w:jc w:val="both"/>
                        <w:rPr>
                          <w:rFonts w:ascii="Calibri" w:eastAsiaTheme="minorHAnsi" w:hAnsi="Calibri" w:cs="Times New Roman"/>
                          <w:color w:val="4F81BD" w:themeColor="accent1"/>
                        </w:rPr>
                      </w:pPr>
                      <w:r w:rsidRPr="00291C53">
                        <w:rPr>
                          <w:rFonts w:ascii="Calibri" w:eastAsiaTheme="minorHAnsi" w:hAnsi="Calibri" w:cs="Times New Roman"/>
                          <w:color w:val="4F81BD" w:themeColor="accent1"/>
                        </w:rPr>
                        <w:t>Section 2 authors - Eliza Bechtold, Tania Marcello, Marina Velickovic, Anita Clifford and Salwa Marsh, LLM candidates 2014/15, LSE; Constanza Fernandez-Danceanu, MSc International Relations Theory candidate 2014/15, LSE</w:t>
                      </w:r>
                    </w:p>
                    <w:p w14:paraId="7A4801D8" w14:textId="77777777" w:rsidR="00D75A79" w:rsidRDefault="00D75A79" w:rsidP="00291C53">
                      <w:pPr>
                        <w:pStyle w:val="ListParagraph"/>
                        <w:spacing w:after="180" w:line="276" w:lineRule="auto"/>
                        <w:ind w:left="0"/>
                        <w:jc w:val="both"/>
                        <w:rPr>
                          <w:rFonts w:ascii="Calibri" w:eastAsiaTheme="minorHAnsi" w:hAnsi="Calibri" w:cs="Times New Roman"/>
                          <w:color w:val="4F81BD" w:themeColor="accent1"/>
                        </w:rPr>
                      </w:pPr>
                    </w:p>
                    <w:p w14:paraId="08430549" w14:textId="77777777" w:rsidR="00D75A79" w:rsidRPr="00291C53" w:rsidRDefault="00D75A79" w:rsidP="00291C53">
                      <w:pPr>
                        <w:pStyle w:val="ListParagraph"/>
                        <w:spacing w:after="180" w:line="276" w:lineRule="auto"/>
                        <w:ind w:left="0"/>
                        <w:jc w:val="both"/>
                        <w:rPr>
                          <w:rFonts w:ascii="Calibri" w:eastAsiaTheme="minorHAnsi" w:hAnsi="Calibri" w:cs="Times New Roman"/>
                          <w:color w:val="4F81BD" w:themeColor="accent1"/>
                        </w:rPr>
                      </w:pPr>
                      <w:r w:rsidRPr="00291C53">
                        <w:rPr>
                          <w:rFonts w:ascii="Calibri" w:eastAsiaTheme="minorHAnsi" w:hAnsi="Calibri" w:cs="Times New Roman"/>
                          <w:color w:val="4F81BD" w:themeColor="accent1"/>
                        </w:rPr>
                        <w:t xml:space="preserve">Section 3 authors – Aileen Kreyden and Freya Dinshaw, LLM candidates 2014/15, LSE </w:t>
                      </w:r>
                    </w:p>
                    <w:p w14:paraId="0E2E7FB7" w14:textId="77777777" w:rsidR="00D75A79" w:rsidRPr="00291C53" w:rsidRDefault="00D75A79" w:rsidP="00291C53">
                      <w:pPr>
                        <w:pStyle w:val="ListParagraph"/>
                        <w:spacing w:after="180" w:line="276" w:lineRule="auto"/>
                        <w:ind w:left="0"/>
                        <w:jc w:val="both"/>
                        <w:rPr>
                          <w:rFonts w:ascii="Calibri" w:eastAsiaTheme="minorHAnsi" w:hAnsi="Calibri" w:cs="Times New Roman"/>
                          <w:color w:val="4F81BD" w:themeColor="accent1"/>
                        </w:rPr>
                      </w:pPr>
                      <w:r w:rsidRPr="00291C53">
                        <w:rPr>
                          <w:rFonts w:ascii="Calibri" w:eastAsiaTheme="minorHAnsi" w:hAnsi="Calibri" w:cs="Times New Roman"/>
                          <w:color w:val="4F81BD" w:themeColor="accent1"/>
                        </w:rPr>
                        <w:t xml:space="preserve">Editors  - Anthony Kennelly and Barbara Kammerman, LLM candidates 2014/15, LSE </w:t>
                      </w:r>
                    </w:p>
                    <w:p w14:paraId="28E639D1" w14:textId="77777777" w:rsidR="00D75A79" w:rsidRDefault="00D75A79" w:rsidP="00291C53">
                      <w:pPr>
                        <w:pStyle w:val="ListParagraph"/>
                        <w:spacing w:after="180" w:line="276" w:lineRule="auto"/>
                        <w:ind w:left="0"/>
                        <w:jc w:val="both"/>
                        <w:rPr>
                          <w:rFonts w:ascii="Calibri" w:eastAsiaTheme="minorHAnsi" w:hAnsi="Calibri" w:cs="Times New Roman"/>
                          <w:color w:val="4F81BD" w:themeColor="accent1"/>
                        </w:rPr>
                      </w:pPr>
                    </w:p>
                    <w:p w14:paraId="07CD976A" w14:textId="77777777" w:rsidR="00D75A79" w:rsidRPr="00291C53" w:rsidRDefault="00D75A79" w:rsidP="00291C53">
                      <w:pPr>
                        <w:pStyle w:val="ListParagraph"/>
                        <w:spacing w:after="180" w:line="276" w:lineRule="auto"/>
                        <w:ind w:left="0"/>
                        <w:jc w:val="both"/>
                        <w:rPr>
                          <w:rFonts w:ascii="Calibri" w:eastAsiaTheme="minorHAnsi" w:hAnsi="Calibri" w:cs="Times New Roman"/>
                          <w:color w:val="4F81BD" w:themeColor="accent1"/>
                        </w:rPr>
                      </w:pPr>
                    </w:p>
                    <w:p w14:paraId="2344D275" w14:textId="77777777" w:rsidR="00D75A79" w:rsidRPr="00291C53" w:rsidRDefault="00D75A79" w:rsidP="00291C53">
                      <w:pPr>
                        <w:pStyle w:val="ListParagraph"/>
                        <w:spacing w:after="180" w:line="276" w:lineRule="auto"/>
                        <w:ind w:left="0"/>
                        <w:jc w:val="both"/>
                        <w:rPr>
                          <w:rFonts w:ascii="Calibri" w:eastAsiaTheme="minorHAnsi" w:hAnsi="Calibri" w:cs="Times New Roman"/>
                          <w:color w:val="4F81BD" w:themeColor="accent1"/>
                        </w:rPr>
                      </w:pPr>
                      <w:r w:rsidRPr="00291C53">
                        <w:rPr>
                          <w:rFonts w:ascii="Calibri" w:eastAsiaTheme="minorHAnsi" w:hAnsi="Calibri" w:cs="Times New Roman"/>
                          <w:color w:val="4F81BD" w:themeColor="accent1"/>
                        </w:rPr>
                        <w:t>For more information on the submission please contact LSE Pro Bono Matters at:</w:t>
                      </w:r>
                    </w:p>
                    <w:p w14:paraId="224A8994" w14:textId="77777777" w:rsidR="00D75A79" w:rsidRPr="00291C53" w:rsidRDefault="00D75A79" w:rsidP="00291C53">
                      <w:pPr>
                        <w:pStyle w:val="ListParagraph"/>
                        <w:spacing w:line="276" w:lineRule="auto"/>
                        <w:ind w:left="0"/>
                        <w:jc w:val="both"/>
                        <w:rPr>
                          <w:rFonts w:ascii="Calibri" w:hAnsi="Calibri" w:cs="Times New Roman"/>
                        </w:rPr>
                      </w:pPr>
                      <w:hyperlink r:id="rId11" w:history="1">
                        <w:r w:rsidRPr="00291C53">
                          <w:rPr>
                            <w:rStyle w:val="Hyperlink"/>
                            <w:rFonts w:ascii="Calibri" w:hAnsi="Calibri" w:cs="Times New Roman"/>
                          </w:rPr>
                          <w:t>Law.probonomatters@lse.ac.uk</w:t>
                        </w:r>
                      </w:hyperlink>
                      <w:r w:rsidRPr="00291C53">
                        <w:rPr>
                          <w:rFonts w:ascii="Calibri" w:hAnsi="Calibri" w:cs="Times New Roman"/>
                        </w:rPr>
                        <w:t xml:space="preserve"> </w:t>
                      </w:r>
                    </w:p>
                    <w:p w14:paraId="208CB9A6" w14:textId="77777777" w:rsidR="00D75A79" w:rsidRDefault="00D75A79" w:rsidP="00291C53">
                      <w:pPr>
                        <w:spacing w:line="276" w:lineRule="auto"/>
                        <w:jc w:val="both"/>
                        <w:rPr>
                          <w:rFonts w:ascii="Calibri" w:hAnsi="Calibri" w:cs="Times New Roman"/>
                        </w:rPr>
                      </w:pPr>
                    </w:p>
                    <w:p w14:paraId="75366298" w14:textId="77777777" w:rsidR="00D75A79" w:rsidRDefault="00D75A79" w:rsidP="00291C53">
                      <w:pPr>
                        <w:pStyle w:val="ListParagraph"/>
                        <w:spacing w:after="180" w:line="276" w:lineRule="auto"/>
                        <w:ind w:left="0"/>
                        <w:jc w:val="both"/>
                        <w:rPr>
                          <w:rFonts w:ascii="Calibri" w:eastAsiaTheme="minorHAnsi" w:hAnsi="Calibri" w:cs="Times New Roman"/>
                          <w:color w:val="4F81BD" w:themeColor="accent1"/>
                        </w:rPr>
                      </w:pPr>
                    </w:p>
                    <w:p w14:paraId="51BAE8B3" w14:textId="77777777" w:rsidR="00D75A79" w:rsidRPr="00291C53" w:rsidRDefault="00D75A79" w:rsidP="00291C53">
                      <w:pPr>
                        <w:pStyle w:val="ListParagraph"/>
                        <w:spacing w:after="180" w:line="276" w:lineRule="auto"/>
                        <w:ind w:left="0"/>
                        <w:jc w:val="both"/>
                        <w:rPr>
                          <w:rFonts w:ascii="Calibri" w:eastAsiaTheme="minorHAnsi" w:hAnsi="Calibri" w:cs="Times New Roman"/>
                          <w:color w:val="4F81BD" w:themeColor="accent1"/>
                        </w:rPr>
                      </w:pPr>
                      <w:r w:rsidRPr="00291C53">
                        <w:rPr>
                          <w:rFonts w:ascii="Calibri" w:eastAsiaTheme="minorHAnsi" w:hAnsi="Calibri" w:cs="Times New Roman"/>
                          <w:color w:val="4F81BD" w:themeColor="accent1"/>
                        </w:rPr>
                        <w:t>April 2015</w:t>
                      </w:r>
                    </w:p>
                    <w:p w14:paraId="5933388B" w14:textId="77777777" w:rsidR="00D75A79" w:rsidRDefault="00D75A79"/>
                  </w:txbxContent>
                </v:textbox>
                <w10:wrap type="square"/>
              </v:shape>
            </w:pict>
          </mc:Fallback>
        </mc:AlternateContent>
      </w:r>
    </w:p>
    <w:p w14:paraId="7614AD6C" w14:textId="7C6673C2" w:rsidR="001B6F53" w:rsidRDefault="001B6F53" w:rsidP="004E5EBC">
      <w:pPr>
        <w:rPr>
          <w:rFonts w:ascii="Calibri" w:hAnsi="Calibri" w:cs="Times New Roman"/>
        </w:rPr>
      </w:pPr>
      <w:r>
        <w:rPr>
          <w:rFonts w:ascii="Calibri" w:hAnsi="Calibri" w:cs="Times New Roman"/>
        </w:rPr>
        <w:br w:type="page"/>
      </w:r>
    </w:p>
    <w:sdt>
      <w:sdtPr>
        <w:rPr>
          <w:rFonts w:asciiTheme="minorHAnsi" w:eastAsiaTheme="minorEastAsia" w:hAnsiTheme="minorHAnsi" w:cstheme="minorBidi"/>
          <w:b w:val="0"/>
          <w:bCs w:val="0"/>
          <w:color w:val="auto"/>
          <w:sz w:val="24"/>
          <w:szCs w:val="24"/>
          <w:lang w:val="en-GB" w:eastAsia="en-US"/>
        </w:rPr>
        <w:id w:val="903181719"/>
        <w:docPartObj>
          <w:docPartGallery w:val="Table of Contents"/>
          <w:docPartUnique/>
        </w:docPartObj>
      </w:sdtPr>
      <w:sdtEndPr>
        <w:rPr>
          <w:rFonts w:ascii="Calibri" w:hAnsi="Calibri"/>
          <w:noProof/>
          <w:color w:val="002060"/>
        </w:rPr>
      </w:sdtEndPr>
      <w:sdtContent>
        <w:p w14:paraId="0687711D" w14:textId="476CCEE0" w:rsidR="00471761" w:rsidRPr="0082288E" w:rsidRDefault="00471761" w:rsidP="0082288E">
          <w:pPr>
            <w:pStyle w:val="TOCHeading"/>
            <w:jc w:val="center"/>
            <w:rPr>
              <w:caps/>
            </w:rPr>
          </w:pPr>
          <w:r w:rsidRPr="0082288E">
            <w:rPr>
              <w:caps/>
            </w:rPr>
            <w:t>Table of Contents</w:t>
          </w:r>
        </w:p>
        <w:p w14:paraId="66584EDD" w14:textId="6B617C05" w:rsidR="00B107F5" w:rsidRPr="0082288E" w:rsidRDefault="0082288E" w:rsidP="0082288E">
          <w:pPr>
            <w:pStyle w:val="TOC1"/>
            <w:tabs>
              <w:tab w:val="left" w:pos="1670"/>
            </w:tabs>
            <w:rPr>
              <w:rFonts w:asciiTheme="majorHAnsi" w:hAnsiTheme="majorHAnsi"/>
              <w:color w:val="002060"/>
            </w:rPr>
          </w:pPr>
          <w:r w:rsidRPr="0082288E">
            <w:rPr>
              <w:rFonts w:asciiTheme="majorHAnsi" w:hAnsiTheme="majorHAnsi"/>
              <w:color w:val="002060"/>
            </w:rPr>
            <w:tab/>
          </w:r>
        </w:p>
        <w:p w14:paraId="31E20872" w14:textId="77777777" w:rsidR="0082288E" w:rsidRPr="0082288E" w:rsidRDefault="00471761">
          <w:pPr>
            <w:pStyle w:val="TOC1"/>
            <w:tabs>
              <w:tab w:val="right" w:leader="dot" w:pos="10450"/>
            </w:tabs>
            <w:rPr>
              <w:rFonts w:asciiTheme="majorHAnsi" w:hAnsiTheme="majorHAnsi"/>
              <w:noProof/>
              <w:color w:val="0070C0"/>
              <w:sz w:val="22"/>
              <w:szCs w:val="22"/>
              <w:lang w:eastAsia="en-GB"/>
            </w:rPr>
          </w:pPr>
          <w:r w:rsidRPr="0082288E">
            <w:rPr>
              <w:rFonts w:asciiTheme="majorHAnsi" w:hAnsiTheme="majorHAnsi"/>
              <w:color w:val="002060"/>
            </w:rPr>
            <w:fldChar w:fldCharType="begin"/>
          </w:r>
          <w:r w:rsidRPr="0082288E">
            <w:rPr>
              <w:rFonts w:asciiTheme="majorHAnsi" w:hAnsiTheme="majorHAnsi"/>
              <w:color w:val="002060"/>
            </w:rPr>
            <w:instrText xml:space="preserve"> TOC \o "1-3" \h \z \u </w:instrText>
          </w:r>
          <w:r w:rsidRPr="0082288E">
            <w:rPr>
              <w:rFonts w:asciiTheme="majorHAnsi" w:hAnsiTheme="majorHAnsi"/>
              <w:color w:val="002060"/>
            </w:rPr>
            <w:fldChar w:fldCharType="separate"/>
          </w:r>
          <w:hyperlink r:id="rId12" w:anchor="_Toc416867079" w:history="1">
            <w:r w:rsidR="0082288E" w:rsidRPr="0082288E">
              <w:rPr>
                <w:rStyle w:val="Hyperlink"/>
                <w:rFonts w:asciiTheme="majorHAnsi" w:hAnsiTheme="majorHAnsi"/>
                <w:noProof/>
                <w:color w:val="0070C0"/>
                <w:spacing w:val="20"/>
              </w:rPr>
              <w:t>AUTHORS AND STRUCTURE OF THIS SUBMISSION:</w:t>
            </w:r>
            <w:r w:rsidR="0082288E" w:rsidRPr="0082288E">
              <w:rPr>
                <w:rFonts w:asciiTheme="majorHAnsi" w:hAnsiTheme="majorHAnsi"/>
                <w:noProof/>
                <w:webHidden/>
                <w:color w:val="0070C0"/>
              </w:rPr>
              <w:tab/>
            </w:r>
            <w:r w:rsidR="0082288E" w:rsidRPr="0082288E">
              <w:rPr>
                <w:rFonts w:asciiTheme="majorHAnsi" w:hAnsiTheme="majorHAnsi"/>
                <w:noProof/>
                <w:webHidden/>
                <w:color w:val="0070C0"/>
              </w:rPr>
              <w:fldChar w:fldCharType="begin"/>
            </w:r>
            <w:r w:rsidR="0082288E" w:rsidRPr="0082288E">
              <w:rPr>
                <w:rFonts w:asciiTheme="majorHAnsi" w:hAnsiTheme="majorHAnsi"/>
                <w:noProof/>
                <w:webHidden/>
                <w:color w:val="0070C0"/>
              </w:rPr>
              <w:instrText xml:space="preserve"> PAGEREF _Toc416867079 \h </w:instrText>
            </w:r>
            <w:r w:rsidR="0082288E" w:rsidRPr="0082288E">
              <w:rPr>
                <w:rFonts w:asciiTheme="majorHAnsi" w:hAnsiTheme="majorHAnsi"/>
                <w:noProof/>
                <w:webHidden/>
                <w:color w:val="0070C0"/>
              </w:rPr>
            </w:r>
            <w:r w:rsidR="0082288E" w:rsidRPr="0082288E">
              <w:rPr>
                <w:rFonts w:asciiTheme="majorHAnsi" w:hAnsiTheme="majorHAnsi"/>
                <w:noProof/>
                <w:webHidden/>
                <w:color w:val="0070C0"/>
              </w:rPr>
              <w:fldChar w:fldCharType="separate"/>
            </w:r>
            <w:r w:rsidR="00F7609A">
              <w:rPr>
                <w:rFonts w:asciiTheme="majorHAnsi" w:hAnsiTheme="majorHAnsi"/>
                <w:noProof/>
                <w:webHidden/>
                <w:color w:val="0070C0"/>
              </w:rPr>
              <w:t>1</w:t>
            </w:r>
            <w:r w:rsidR="0082288E" w:rsidRPr="0082288E">
              <w:rPr>
                <w:rFonts w:asciiTheme="majorHAnsi" w:hAnsiTheme="majorHAnsi"/>
                <w:noProof/>
                <w:webHidden/>
                <w:color w:val="0070C0"/>
              </w:rPr>
              <w:fldChar w:fldCharType="end"/>
            </w:r>
          </w:hyperlink>
        </w:p>
        <w:p w14:paraId="476ABE9A" w14:textId="77777777" w:rsidR="0082288E" w:rsidRPr="0082288E" w:rsidRDefault="005F20A5">
          <w:pPr>
            <w:pStyle w:val="TOC1"/>
            <w:tabs>
              <w:tab w:val="right" w:leader="dot" w:pos="10450"/>
            </w:tabs>
            <w:rPr>
              <w:rStyle w:val="Hyperlink"/>
              <w:rFonts w:asciiTheme="majorHAnsi" w:hAnsiTheme="majorHAnsi"/>
              <w:b/>
              <w:noProof/>
              <w:color w:val="0070C0"/>
            </w:rPr>
          </w:pPr>
          <w:hyperlink w:anchor="_Toc416867080" w:history="1">
            <w:r w:rsidR="0082288E" w:rsidRPr="0082288E">
              <w:rPr>
                <w:rStyle w:val="Hyperlink"/>
                <w:rFonts w:asciiTheme="majorHAnsi" w:hAnsiTheme="majorHAnsi"/>
                <w:b/>
                <w:noProof/>
                <w:color w:val="0070C0"/>
                <w:spacing w:val="20"/>
              </w:rPr>
              <w:t>EXECUTIVE SUMMARY AND KEY RECOMMENDATIONS</w:t>
            </w:r>
            <w:r w:rsidR="0082288E" w:rsidRPr="0082288E">
              <w:rPr>
                <w:rFonts w:asciiTheme="majorHAnsi" w:hAnsiTheme="majorHAnsi"/>
                <w:b/>
                <w:noProof/>
                <w:webHidden/>
                <w:color w:val="0070C0"/>
              </w:rPr>
              <w:tab/>
            </w:r>
            <w:r w:rsidR="0082288E" w:rsidRPr="0082288E">
              <w:rPr>
                <w:rFonts w:asciiTheme="majorHAnsi" w:hAnsiTheme="majorHAnsi"/>
                <w:b/>
                <w:noProof/>
                <w:webHidden/>
                <w:color w:val="0070C0"/>
              </w:rPr>
              <w:fldChar w:fldCharType="begin"/>
            </w:r>
            <w:r w:rsidR="0082288E" w:rsidRPr="0082288E">
              <w:rPr>
                <w:rFonts w:asciiTheme="majorHAnsi" w:hAnsiTheme="majorHAnsi"/>
                <w:b/>
                <w:noProof/>
                <w:webHidden/>
                <w:color w:val="0070C0"/>
              </w:rPr>
              <w:instrText xml:space="preserve"> PAGEREF _Toc416867080 \h </w:instrText>
            </w:r>
            <w:r w:rsidR="0082288E" w:rsidRPr="0082288E">
              <w:rPr>
                <w:rFonts w:asciiTheme="majorHAnsi" w:hAnsiTheme="majorHAnsi"/>
                <w:b/>
                <w:noProof/>
                <w:webHidden/>
                <w:color w:val="0070C0"/>
              </w:rPr>
            </w:r>
            <w:r w:rsidR="0082288E" w:rsidRPr="0082288E">
              <w:rPr>
                <w:rFonts w:asciiTheme="majorHAnsi" w:hAnsiTheme="majorHAnsi"/>
                <w:b/>
                <w:noProof/>
                <w:webHidden/>
                <w:color w:val="0070C0"/>
              </w:rPr>
              <w:fldChar w:fldCharType="separate"/>
            </w:r>
            <w:r w:rsidR="00F7609A">
              <w:rPr>
                <w:rFonts w:asciiTheme="majorHAnsi" w:hAnsiTheme="majorHAnsi"/>
                <w:b/>
                <w:noProof/>
                <w:webHidden/>
                <w:color w:val="0070C0"/>
              </w:rPr>
              <w:t>3</w:t>
            </w:r>
            <w:r w:rsidR="0082288E" w:rsidRPr="0082288E">
              <w:rPr>
                <w:rFonts w:asciiTheme="majorHAnsi" w:hAnsiTheme="majorHAnsi"/>
                <w:b/>
                <w:noProof/>
                <w:webHidden/>
                <w:color w:val="0070C0"/>
              </w:rPr>
              <w:fldChar w:fldCharType="end"/>
            </w:r>
          </w:hyperlink>
        </w:p>
        <w:p w14:paraId="05963B41" w14:textId="77777777" w:rsidR="0082288E" w:rsidRPr="0082288E" w:rsidRDefault="0082288E" w:rsidP="0082288E">
          <w:pPr>
            <w:rPr>
              <w:noProof/>
              <w:color w:val="0070C0"/>
            </w:rPr>
          </w:pPr>
        </w:p>
        <w:p w14:paraId="651EF4D5" w14:textId="6B06BB1D" w:rsidR="0082288E" w:rsidRPr="0082288E" w:rsidRDefault="005F20A5">
          <w:pPr>
            <w:pStyle w:val="TOC2"/>
            <w:tabs>
              <w:tab w:val="right" w:leader="dot" w:pos="10450"/>
            </w:tabs>
            <w:rPr>
              <w:rFonts w:asciiTheme="majorHAnsi" w:hAnsiTheme="majorHAnsi"/>
              <w:b/>
              <w:noProof/>
              <w:color w:val="0070C0"/>
            </w:rPr>
          </w:pPr>
          <w:hyperlink w:anchor="_Toc416867081" w:history="1">
            <w:r w:rsidR="0082288E" w:rsidRPr="0082288E">
              <w:rPr>
                <w:rStyle w:val="Hyperlink"/>
                <w:rFonts w:asciiTheme="majorHAnsi" w:hAnsiTheme="majorHAnsi"/>
                <w:b/>
                <w:noProof/>
                <w:color w:val="0070C0"/>
                <w:spacing w:val="20"/>
              </w:rPr>
              <w:t xml:space="preserve">SECTION 1: </w:t>
            </w:r>
            <w:r w:rsidR="0082288E" w:rsidRPr="0082288E">
              <w:rPr>
                <w:rStyle w:val="Hyperlink"/>
                <w:rFonts w:asciiTheme="majorHAnsi" w:hAnsiTheme="majorHAnsi"/>
                <w:b/>
                <w:noProof/>
                <w:color w:val="0070C0"/>
                <w:spacing w:val="14"/>
              </w:rPr>
              <w:t>MAKING THE NORMATIVE CASE TO READ SCR 1325 TOGETHER WITH CEDAW, ITS GENERAL RECOMMENDATION NO. 30 AND THE LEGAL FRAMEWORK ON WOMEN, PEACE AND SECURITY</w:t>
            </w:r>
            <w:r w:rsidR="0082288E" w:rsidRPr="0082288E">
              <w:rPr>
                <w:rFonts w:asciiTheme="majorHAnsi" w:hAnsiTheme="majorHAnsi"/>
                <w:b/>
                <w:noProof/>
                <w:webHidden/>
                <w:color w:val="0070C0"/>
              </w:rPr>
              <w:tab/>
            </w:r>
            <w:r w:rsidR="0082288E" w:rsidRPr="0082288E">
              <w:rPr>
                <w:rFonts w:asciiTheme="majorHAnsi" w:hAnsiTheme="majorHAnsi"/>
                <w:b/>
                <w:noProof/>
                <w:webHidden/>
                <w:color w:val="0070C0"/>
              </w:rPr>
              <w:fldChar w:fldCharType="begin"/>
            </w:r>
            <w:r w:rsidR="0082288E" w:rsidRPr="0082288E">
              <w:rPr>
                <w:rFonts w:asciiTheme="majorHAnsi" w:hAnsiTheme="majorHAnsi"/>
                <w:b/>
                <w:noProof/>
                <w:webHidden/>
                <w:color w:val="0070C0"/>
              </w:rPr>
              <w:instrText xml:space="preserve"> PAGEREF _Toc416867081 \h </w:instrText>
            </w:r>
            <w:r w:rsidR="0082288E" w:rsidRPr="0082288E">
              <w:rPr>
                <w:rFonts w:asciiTheme="majorHAnsi" w:hAnsiTheme="majorHAnsi"/>
                <w:b/>
                <w:noProof/>
                <w:webHidden/>
                <w:color w:val="0070C0"/>
              </w:rPr>
            </w:r>
            <w:r w:rsidR="0082288E" w:rsidRPr="0082288E">
              <w:rPr>
                <w:rFonts w:asciiTheme="majorHAnsi" w:hAnsiTheme="majorHAnsi"/>
                <w:b/>
                <w:noProof/>
                <w:webHidden/>
                <w:color w:val="0070C0"/>
              </w:rPr>
              <w:fldChar w:fldCharType="separate"/>
            </w:r>
            <w:r w:rsidR="00F7609A">
              <w:rPr>
                <w:rFonts w:asciiTheme="majorHAnsi" w:hAnsiTheme="majorHAnsi"/>
                <w:b/>
                <w:noProof/>
                <w:webHidden/>
                <w:color w:val="0070C0"/>
              </w:rPr>
              <w:t>8</w:t>
            </w:r>
            <w:r w:rsidR="0082288E" w:rsidRPr="0082288E">
              <w:rPr>
                <w:rFonts w:asciiTheme="majorHAnsi" w:hAnsiTheme="majorHAnsi"/>
                <w:b/>
                <w:noProof/>
                <w:webHidden/>
                <w:color w:val="0070C0"/>
              </w:rPr>
              <w:fldChar w:fldCharType="end"/>
            </w:r>
          </w:hyperlink>
        </w:p>
        <w:p w14:paraId="6FA375E1" w14:textId="77777777" w:rsidR="0082288E" w:rsidRPr="0082288E" w:rsidRDefault="005F20A5">
          <w:pPr>
            <w:pStyle w:val="TOC3"/>
            <w:tabs>
              <w:tab w:val="right" w:leader="dot" w:pos="10450"/>
            </w:tabs>
            <w:rPr>
              <w:rFonts w:asciiTheme="majorHAnsi" w:hAnsiTheme="majorHAnsi"/>
              <w:noProof/>
              <w:color w:val="0070C0"/>
              <w:sz w:val="22"/>
              <w:szCs w:val="22"/>
              <w:lang w:eastAsia="en-GB"/>
            </w:rPr>
          </w:pPr>
          <w:hyperlink w:anchor="_Toc416867082" w:history="1">
            <w:r w:rsidR="0082288E" w:rsidRPr="0082288E">
              <w:rPr>
                <w:rStyle w:val="Hyperlink"/>
                <w:rFonts w:asciiTheme="majorHAnsi" w:hAnsiTheme="majorHAnsi"/>
                <w:noProof/>
                <w:color w:val="0070C0"/>
                <w:spacing w:val="14"/>
              </w:rPr>
              <w:t>SCR 1325: REFLECTING INTERNATIONAL LAW, ESPECIALLY CEDAW, OBLIGATIONS</w:t>
            </w:r>
            <w:r w:rsidR="0082288E" w:rsidRPr="0082288E">
              <w:rPr>
                <w:rFonts w:asciiTheme="majorHAnsi" w:hAnsiTheme="majorHAnsi"/>
                <w:noProof/>
                <w:webHidden/>
                <w:color w:val="0070C0"/>
              </w:rPr>
              <w:tab/>
            </w:r>
            <w:r w:rsidR="0082288E" w:rsidRPr="0082288E">
              <w:rPr>
                <w:rFonts w:asciiTheme="majorHAnsi" w:hAnsiTheme="majorHAnsi"/>
                <w:noProof/>
                <w:webHidden/>
                <w:color w:val="0070C0"/>
              </w:rPr>
              <w:fldChar w:fldCharType="begin"/>
            </w:r>
            <w:r w:rsidR="0082288E" w:rsidRPr="0082288E">
              <w:rPr>
                <w:rFonts w:asciiTheme="majorHAnsi" w:hAnsiTheme="majorHAnsi"/>
                <w:noProof/>
                <w:webHidden/>
                <w:color w:val="0070C0"/>
              </w:rPr>
              <w:instrText xml:space="preserve"> PAGEREF _Toc416867082 \h </w:instrText>
            </w:r>
            <w:r w:rsidR="0082288E" w:rsidRPr="0082288E">
              <w:rPr>
                <w:rFonts w:asciiTheme="majorHAnsi" w:hAnsiTheme="majorHAnsi"/>
                <w:noProof/>
                <w:webHidden/>
                <w:color w:val="0070C0"/>
              </w:rPr>
            </w:r>
            <w:r w:rsidR="0082288E" w:rsidRPr="0082288E">
              <w:rPr>
                <w:rFonts w:asciiTheme="majorHAnsi" w:hAnsiTheme="majorHAnsi"/>
                <w:noProof/>
                <w:webHidden/>
                <w:color w:val="0070C0"/>
              </w:rPr>
              <w:fldChar w:fldCharType="separate"/>
            </w:r>
            <w:r w:rsidR="00F7609A">
              <w:rPr>
                <w:rFonts w:asciiTheme="majorHAnsi" w:hAnsiTheme="majorHAnsi"/>
                <w:noProof/>
                <w:webHidden/>
                <w:color w:val="0070C0"/>
              </w:rPr>
              <w:t>13</w:t>
            </w:r>
            <w:r w:rsidR="0082288E" w:rsidRPr="0082288E">
              <w:rPr>
                <w:rFonts w:asciiTheme="majorHAnsi" w:hAnsiTheme="majorHAnsi"/>
                <w:noProof/>
                <w:webHidden/>
                <w:color w:val="0070C0"/>
              </w:rPr>
              <w:fldChar w:fldCharType="end"/>
            </w:r>
          </w:hyperlink>
        </w:p>
        <w:p w14:paraId="6CEE2528" w14:textId="10956D64" w:rsidR="0082288E" w:rsidRPr="0082288E" w:rsidRDefault="005F20A5">
          <w:pPr>
            <w:pStyle w:val="TOC3"/>
            <w:tabs>
              <w:tab w:val="right" w:leader="dot" w:pos="10450"/>
            </w:tabs>
            <w:rPr>
              <w:rFonts w:asciiTheme="majorHAnsi" w:hAnsiTheme="majorHAnsi"/>
              <w:noProof/>
              <w:color w:val="0070C0"/>
              <w:sz w:val="22"/>
              <w:szCs w:val="22"/>
              <w:lang w:eastAsia="en-GB"/>
            </w:rPr>
          </w:pPr>
          <w:hyperlink w:anchor="_Toc416867083" w:history="1">
            <w:r w:rsidR="0082288E" w:rsidRPr="0082288E">
              <w:rPr>
                <w:rStyle w:val="Hyperlink"/>
                <w:rFonts w:asciiTheme="majorHAnsi" w:hAnsiTheme="majorHAnsi"/>
                <w:noProof/>
                <w:color w:val="0070C0"/>
                <w:spacing w:val="14"/>
              </w:rPr>
              <w:t>UNDERSTANDING SCR 1325 IN AN INTEGRATED WAY WITH THE CEDAW GENERAL RECOMMENDATION NO. 30</w:t>
            </w:r>
            <w:r w:rsidR="0082288E" w:rsidRPr="0082288E">
              <w:rPr>
                <w:rFonts w:asciiTheme="majorHAnsi" w:hAnsiTheme="majorHAnsi"/>
                <w:noProof/>
                <w:webHidden/>
                <w:color w:val="0070C0"/>
              </w:rPr>
              <w:tab/>
            </w:r>
            <w:r w:rsidR="0082288E" w:rsidRPr="0082288E">
              <w:rPr>
                <w:rFonts w:asciiTheme="majorHAnsi" w:hAnsiTheme="majorHAnsi"/>
                <w:noProof/>
                <w:webHidden/>
                <w:color w:val="0070C0"/>
              </w:rPr>
              <w:fldChar w:fldCharType="begin"/>
            </w:r>
            <w:r w:rsidR="0082288E" w:rsidRPr="0082288E">
              <w:rPr>
                <w:rFonts w:asciiTheme="majorHAnsi" w:hAnsiTheme="majorHAnsi"/>
                <w:noProof/>
                <w:webHidden/>
                <w:color w:val="0070C0"/>
              </w:rPr>
              <w:instrText xml:space="preserve"> PAGEREF _Toc416867083 \h </w:instrText>
            </w:r>
            <w:r w:rsidR="0082288E" w:rsidRPr="0082288E">
              <w:rPr>
                <w:rFonts w:asciiTheme="majorHAnsi" w:hAnsiTheme="majorHAnsi"/>
                <w:noProof/>
                <w:webHidden/>
                <w:color w:val="0070C0"/>
              </w:rPr>
            </w:r>
            <w:r w:rsidR="0082288E" w:rsidRPr="0082288E">
              <w:rPr>
                <w:rFonts w:asciiTheme="majorHAnsi" w:hAnsiTheme="majorHAnsi"/>
                <w:noProof/>
                <w:webHidden/>
                <w:color w:val="0070C0"/>
              </w:rPr>
              <w:fldChar w:fldCharType="separate"/>
            </w:r>
            <w:r w:rsidR="00F7609A">
              <w:rPr>
                <w:rFonts w:asciiTheme="majorHAnsi" w:hAnsiTheme="majorHAnsi"/>
                <w:noProof/>
                <w:webHidden/>
                <w:color w:val="0070C0"/>
              </w:rPr>
              <w:t>29</w:t>
            </w:r>
            <w:r w:rsidR="0082288E" w:rsidRPr="0082288E">
              <w:rPr>
                <w:rFonts w:asciiTheme="majorHAnsi" w:hAnsiTheme="majorHAnsi"/>
                <w:noProof/>
                <w:webHidden/>
                <w:color w:val="0070C0"/>
              </w:rPr>
              <w:fldChar w:fldCharType="end"/>
            </w:r>
          </w:hyperlink>
        </w:p>
        <w:p w14:paraId="07146972" w14:textId="77777777" w:rsidR="0082288E" w:rsidRPr="0082288E" w:rsidRDefault="005F20A5">
          <w:pPr>
            <w:pStyle w:val="TOC3"/>
            <w:tabs>
              <w:tab w:val="right" w:leader="dot" w:pos="10450"/>
            </w:tabs>
            <w:rPr>
              <w:rFonts w:asciiTheme="majorHAnsi" w:hAnsiTheme="majorHAnsi"/>
              <w:noProof/>
              <w:color w:val="0070C0"/>
              <w:sz w:val="22"/>
              <w:szCs w:val="22"/>
              <w:lang w:eastAsia="en-GB"/>
            </w:rPr>
          </w:pPr>
          <w:hyperlink w:anchor="_Toc416867084" w:history="1">
            <w:r w:rsidR="0082288E" w:rsidRPr="0082288E">
              <w:rPr>
                <w:rStyle w:val="Hyperlink"/>
                <w:rFonts w:asciiTheme="majorHAnsi" w:hAnsiTheme="majorHAnsi"/>
                <w:noProof/>
                <w:color w:val="0070C0"/>
                <w:spacing w:val="14"/>
              </w:rPr>
              <w:t>BEYOND CEDAW: SCR 1325 AND ‘SOFT LAW’ IN THE WIDER LEGAL FRAMEWORK</w:t>
            </w:r>
            <w:r w:rsidR="0082288E" w:rsidRPr="0082288E">
              <w:rPr>
                <w:rFonts w:asciiTheme="majorHAnsi" w:hAnsiTheme="majorHAnsi"/>
                <w:noProof/>
                <w:webHidden/>
                <w:color w:val="0070C0"/>
              </w:rPr>
              <w:tab/>
            </w:r>
            <w:r w:rsidR="0082288E" w:rsidRPr="0082288E">
              <w:rPr>
                <w:rFonts w:asciiTheme="majorHAnsi" w:hAnsiTheme="majorHAnsi"/>
                <w:noProof/>
                <w:webHidden/>
                <w:color w:val="0070C0"/>
              </w:rPr>
              <w:fldChar w:fldCharType="begin"/>
            </w:r>
            <w:r w:rsidR="0082288E" w:rsidRPr="0082288E">
              <w:rPr>
                <w:rFonts w:asciiTheme="majorHAnsi" w:hAnsiTheme="majorHAnsi"/>
                <w:noProof/>
                <w:webHidden/>
                <w:color w:val="0070C0"/>
              </w:rPr>
              <w:instrText xml:space="preserve"> PAGEREF _Toc416867084 \h </w:instrText>
            </w:r>
            <w:r w:rsidR="0082288E" w:rsidRPr="0082288E">
              <w:rPr>
                <w:rFonts w:asciiTheme="majorHAnsi" w:hAnsiTheme="majorHAnsi"/>
                <w:noProof/>
                <w:webHidden/>
                <w:color w:val="0070C0"/>
              </w:rPr>
            </w:r>
            <w:r w:rsidR="0082288E" w:rsidRPr="0082288E">
              <w:rPr>
                <w:rFonts w:asciiTheme="majorHAnsi" w:hAnsiTheme="majorHAnsi"/>
                <w:noProof/>
                <w:webHidden/>
                <w:color w:val="0070C0"/>
              </w:rPr>
              <w:fldChar w:fldCharType="separate"/>
            </w:r>
            <w:r w:rsidR="00F7609A">
              <w:rPr>
                <w:rFonts w:asciiTheme="majorHAnsi" w:hAnsiTheme="majorHAnsi"/>
                <w:noProof/>
                <w:webHidden/>
                <w:color w:val="0070C0"/>
              </w:rPr>
              <w:t>34</w:t>
            </w:r>
            <w:r w:rsidR="0082288E" w:rsidRPr="0082288E">
              <w:rPr>
                <w:rFonts w:asciiTheme="majorHAnsi" w:hAnsiTheme="majorHAnsi"/>
                <w:noProof/>
                <w:webHidden/>
                <w:color w:val="0070C0"/>
              </w:rPr>
              <w:fldChar w:fldCharType="end"/>
            </w:r>
          </w:hyperlink>
        </w:p>
        <w:p w14:paraId="351DDBE8" w14:textId="77777777" w:rsidR="0082288E" w:rsidRPr="0082288E" w:rsidRDefault="005F20A5">
          <w:pPr>
            <w:pStyle w:val="TOC3"/>
            <w:tabs>
              <w:tab w:val="right" w:leader="dot" w:pos="10450"/>
            </w:tabs>
            <w:rPr>
              <w:rStyle w:val="Hyperlink"/>
              <w:rFonts w:asciiTheme="majorHAnsi" w:hAnsiTheme="majorHAnsi"/>
              <w:b/>
              <w:noProof/>
              <w:color w:val="0070C0"/>
            </w:rPr>
          </w:pPr>
          <w:hyperlink w:anchor="_Toc416867085" w:history="1">
            <w:r w:rsidR="0082288E" w:rsidRPr="0082288E">
              <w:rPr>
                <w:rStyle w:val="Hyperlink"/>
                <w:rFonts w:asciiTheme="majorHAnsi" w:hAnsiTheme="majorHAnsi"/>
                <w:b/>
                <w:noProof/>
                <w:color w:val="0070C0"/>
                <w:spacing w:val="14"/>
              </w:rPr>
              <w:t>SECTION 1 CONCLUSIONS AND RECOMMENDATION</w:t>
            </w:r>
            <w:r w:rsidR="0082288E" w:rsidRPr="0082288E">
              <w:rPr>
                <w:rFonts w:asciiTheme="majorHAnsi" w:hAnsiTheme="majorHAnsi"/>
                <w:b/>
                <w:noProof/>
                <w:webHidden/>
                <w:color w:val="0070C0"/>
              </w:rPr>
              <w:tab/>
            </w:r>
            <w:r w:rsidR="0082288E" w:rsidRPr="0082288E">
              <w:rPr>
                <w:rFonts w:asciiTheme="majorHAnsi" w:hAnsiTheme="majorHAnsi"/>
                <w:b/>
                <w:noProof/>
                <w:webHidden/>
                <w:color w:val="0070C0"/>
              </w:rPr>
              <w:fldChar w:fldCharType="begin"/>
            </w:r>
            <w:r w:rsidR="0082288E" w:rsidRPr="0082288E">
              <w:rPr>
                <w:rFonts w:asciiTheme="majorHAnsi" w:hAnsiTheme="majorHAnsi"/>
                <w:b/>
                <w:noProof/>
                <w:webHidden/>
                <w:color w:val="0070C0"/>
              </w:rPr>
              <w:instrText xml:space="preserve"> PAGEREF _Toc416867085 \h </w:instrText>
            </w:r>
            <w:r w:rsidR="0082288E" w:rsidRPr="0082288E">
              <w:rPr>
                <w:rFonts w:asciiTheme="majorHAnsi" w:hAnsiTheme="majorHAnsi"/>
                <w:b/>
                <w:noProof/>
                <w:webHidden/>
                <w:color w:val="0070C0"/>
              </w:rPr>
            </w:r>
            <w:r w:rsidR="0082288E" w:rsidRPr="0082288E">
              <w:rPr>
                <w:rFonts w:asciiTheme="majorHAnsi" w:hAnsiTheme="majorHAnsi"/>
                <w:b/>
                <w:noProof/>
                <w:webHidden/>
                <w:color w:val="0070C0"/>
              </w:rPr>
              <w:fldChar w:fldCharType="separate"/>
            </w:r>
            <w:r w:rsidR="00F7609A">
              <w:rPr>
                <w:rFonts w:asciiTheme="majorHAnsi" w:hAnsiTheme="majorHAnsi"/>
                <w:b/>
                <w:noProof/>
                <w:webHidden/>
                <w:color w:val="0070C0"/>
              </w:rPr>
              <w:t>39</w:t>
            </w:r>
            <w:r w:rsidR="0082288E" w:rsidRPr="0082288E">
              <w:rPr>
                <w:rFonts w:asciiTheme="majorHAnsi" w:hAnsiTheme="majorHAnsi"/>
                <w:b/>
                <w:noProof/>
                <w:webHidden/>
                <w:color w:val="0070C0"/>
              </w:rPr>
              <w:fldChar w:fldCharType="end"/>
            </w:r>
          </w:hyperlink>
        </w:p>
        <w:p w14:paraId="25F365D4" w14:textId="77777777" w:rsidR="0082288E" w:rsidRPr="0082288E" w:rsidRDefault="0082288E" w:rsidP="0082288E">
          <w:pPr>
            <w:rPr>
              <w:noProof/>
              <w:color w:val="0070C0"/>
            </w:rPr>
          </w:pPr>
        </w:p>
        <w:p w14:paraId="558A348A" w14:textId="77777777" w:rsidR="0082288E" w:rsidRPr="0082288E" w:rsidRDefault="005F20A5">
          <w:pPr>
            <w:pStyle w:val="TOC2"/>
            <w:tabs>
              <w:tab w:val="right" w:leader="dot" w:pos="10450"/>
            </w:tabs>
            <w:rPr>
              <w:rFonts w:asciiTheme="majorHAnsi" w:hAnsiTheme="majorHAnsi"/>
              <w:b/>
              <w:noProof/>
              <w:color w:val="0070C0"/>
            </w:rPr>
          </w:pPr>
          <w:hyperlink w:anchor="_Toc416867086" w:history="1">
            <w:r w:rsidR="0082288E" w:rsidRPr="0082288E">
              <w:rPr>
                <w:rStyle w:val="Hyperlink"/>
                <w:rFonts w:asciiTheme="majorHAnsi" w:hAnsiTheme="majorHAnsi"/>
                <w:b/>
                <w:noProof/>
                <w:color w:val="0070C0"/>
                <w:spacing w:val="14"/>
              </w:rPr>
              <w:t>SECTION 2: IMPLEMENTING SCR 1325 VIA NATIONAL ACTION PLANS</w:t>
            </w:r>
            <w:r w:rsidR="0082288E" w:rsidRPr="0082288E">
              <w:rPr>
                <w:rFonts w:asciiTheme="majorHAnsi" w:hAnsiTheme="majorHAnsi"/>
                <w:b/>
                <w:noProof/>
                <w:webHidden/>
                <w:color w:val="0070C0"/>
              </w:rPr>
              <w:tab/>
            </w:r>
            <w:r w:rsidR="0082288E" w:rsidRPr="0082288E">
              <w:rPr>
                <w:rFonts w:asciiTheme="majorHAnsi" w:hAnsiTheme="majorHAnsi"/>
                <w:b/>
                <w:noProof/>
                <w:webHidden/>
                <w:color w:val="0070C0"/>
              </w:rPr>
              <w:fldChar w:fldCharType="begin"/>
            </w:r>
            <w:r w:rsidR="0082288E" w:rsidRPr="0082288E">
              <w:rPr>
                <w:rFonts w:asciiTheme="majorHAnsi" w:hAnsiTheme="majorHAnsi"/>
                <w:b/>
                <w:noProof/>
                <w:webHidden/>
                <w:color w:val="0070C0"/>
              </w:rPr>
              <w:instrText xml:space="preserve"> PAGEREF _Toc416867086 \h </w:instrText>
            </w:r>
            <w:r w:rsidR="0082288E" w:rsidRPr="0082288E">
              <w:rPr>
                <w:rFonts w:asciiTheme="majorHAnsi" w:hAnsiTheme="majorHAnsi"/>
                <w:b/>
                <w:noProof/>
                <w:webHidden/>
                <w:color w:val="0070C0"/>
              </w:rPr>
            </w:r>
            <w:r w:rsidR="0082288E" w:rsidRPr="0082288E">
              <w:rPr>
                <w:rFonts w:asciiTheme="majorHAnsi" w:hAnsiTheme="majorHAnsi"/>
                <w:b/>
                <w:noProof/>
                <w:webHidden/>
                <w:color w:val="0070C0"/>
              </w:rPr>
              <w:fldChar w:fldCharType="separate"/>
            </w:r>
            <w:r w:rsidR="00F7609A">
              <w:rPr>
                <w:rFonts w:asciiTheme="majorHAnsi" w:hAnsiTheme="majorHAnsi"/>
                <w:b/>
                <w:noProof/>
                <w:webHidden/>
                <w:color w:val="0070C0"/>
              </w:rPr>
              <w:t>42</w:t>
            </w:r>
            <w:r w:rsidR="0082288E" w:rsidRPr="0082288E">
              <w:rPr>
                <w:rFonts w:asciiTheme="majorHAnsi" w:hAnsiTheme="majorHAnsi"/>
                <w:b/>
                <w:noProof/>
                <w:webHidden/>
                <w:color w:val="0070C0"/>
              </w:rPr>
              <w:fldChar w:fldCharType="end"/>
            </w:r>
          </w:hyperlink>
        </w:p>
        <w:p w14:paraId="320E6322" w14:textId="77777777" w:rsidR="0082288E" w:rsidRPr="0082288E" w:rsidRDefault="005F20A5">
          <w:pPr>
            <w:pStyle w:val="TOC3"/>
            <w:tabs>
              <w:tab w:val="right" w:leader="dot" w:pos="10450"/>
            </w:tabs>
            <w:rPr>
              <w:rFonts w:asciiTheme="majorHAnsi" w:hAnsiTheme="majorHAnsi"/>
              <w:noProof/>
              <w:color w:val="0070C0"/>
              <w:sz w:val="22"/>
              <w:szCs w:val="22"/>
              <w:lang w:eastAsia="en-GB"/>
            </w:rPr>
          </w:pPr>
          <w:hyperlink w:anchor="_Toc416867087" w:history="1">
            <w:r w:rsidR="0082288E" w:rsidRPr="0082288E">
              <w:rPr>
                <w:rStyle w:val="Hyperlink"/>
                <w:rFonts w:asciiTheme="majorHAnsi" w:hAnsiTheme="majorHAnsi"/>
                <w:noProof/>
                <w:color w:val="0070C0"/>
                <w:spacing w:val="14"/>
              </w:rPr>
              <w:t>AFRICA</w:t>
            </w:r>
            <w:r w:rsidR="0082288E" w:rsidRPr="0082288E">
              <w:rPr>
                <w:rFonts w:asciiTheme="majorHAnsi" w:hAnsiTheme="majorHAnsi"/>
                <w:noProof/>
                <w:webHidden/>
                <w:color w:val="0070C0"/>
              </w:rPr>
              <w:tab/>
            </w:r>
            <w:r w:rsidR="0082288E" w:rsidRPr="0082288E">
              <w:rPr>
                <w:rFonts w:asciiTheme="majorHAnsi" w:hAnsiTheme="majorHAnsi"/>
                <w:noProof/>
                <w:webHidden/>
                <w:color w:val="0070C0"/>
              </w:rPr>
              <w:fldChar w:fldCharType="begin"/>
            </w:r>
            <w:r w:rsidR="0082288E" w:rsidRPr="0082288E">
              <w:rPr>
                <w:rFonts w:asciiTheme="majorHAnsi" w:hAnsiTheme="majorHAnsi"/>
                <w:noProof/>
                <w:webHidden/>
                <w:color w:val="0070C0"/>
              </w:rPr>
              <w:instrText xml:space="preserve"> PAGEREF _Toc416867087 \h </w:instrText>
            </w:r>
            <w:r w:rsidR="0082288E" w:rsidRPr="0082288E">
              <w:rPr>
                <w:rFonts w:asciiTheme="majorHAnsi" w:hAnsiTheme="majorHAnsi"/>
                <w:noProof/>
                <w:webHidden/>
                <w:color w:val="0070C0"/>
              </w:rPr>
            </w:r>
            <w:r w:rsidR="0082288E" w:rsidRPr="0082288E">
              <w:rPr>
                <w:rFonts w:asciiTheme="majorHAnsi" w:hAnsiTheme="majorHAnsi"/>
                <w:noProof/>
                <w:webHidden/>
                <w:color w:val="0070C0"/>
              </w:rPr>
              <w:fldChar w:fldCharType="separate"/>
            </w:r>
            <w:r w:rsidR="00F7609A">
              <w:rPr>
                <w:rFonts w:asciiTheme="majorHAnsi" w:hAnsiTheme="majorHAnsi"/>
                <w:noProof/>
                <w:webHidden/>
                <w:color w:val="0070C0"/>
              </w:rPr>
              <w:t>45</w:t>
            </w:r>
            <w:r w:rsidR="0082288E" w:rsidRPr="0082288E">
              <w:rPr>
                <w:rFonts w:asciiTheme="majorHAnsi" w:hAnsiTheme="majorHAnsi"/>
                <w:noProof/>
                <w:webHidden/>
                <w:color w:val="0070C0"/>
              </w:rPr>
              <w:fldChar w:fldCharType="end"/>
            </w:r>
          </w:hyperlink>
        </w:p>
        <w:p w14:paraId="6CFDD063" w14:textId="77777777" w:rsidR="0082288E" w:rsidRPr="0082288E" w:rsidRDefault="005F20A5">
          <w:pPr>
            <w:pStyle w:val="TOC3"/>
            <w:tabs>
              <w:tab w:val="right" w:leader="dot" w:pos="10450"/>
            </w:tabs>
            <w:rPr>
              <w:rFonts w:asciiTheme="majorHAnsi" w:hAnsiTheme="majorHAnsi"/>
              <w:noProof/>
              <w:color w:val="0070C0"/>
              <w:sz w:val="22"/>
              <w:szCs w:val="22"/>
              <w:lang w:eastAsia="en-GB"/>
            </w:rPr>
          </w:pPr>
          <w:hyperlink w:anchor="_Toc416867088" w:history="1">
            <w:r w:rsidR="0082288E" w:rsidRPr="0082288E">
              <w:rPr>
                <w:rStyle w:val="Hyperlink"/>
                <w:rFonts w:asciiTheme="majorHAnsi" w:hAnsiTheme="majorHAnsi"/>
                <w:noProof/>
                <w:color w:val="0070C0"/>
                <w:spacing w:val="14"/>
              </w:rPr>
              <w:t>THE DEMOCRATIC REPUBLIC OF THE CONGO (DRC) – A NEED TO ADDRESS CONFLICT-RELATED SEXUAL AND GENDER-BASED VIOLENCE</w:t>
            </w:r>
            <w:r w:rsidR="0082288E" w:rsidRPr="0082288E">
              <w:rPr>
                <w:rFonts w:asciiTheme="majorHAnsi" w:hAnsiTheme="majorHAnsi"/>
                <w:noProof/>
                <w:webHidden/>
                <w:color w:val="0070C0"/>
              </w:rPr>
              <w:tab/>
            </w:r>
            <w:r w:rsidR="0082288E" w:rsidRPr="0082288E">
              <w:rPr>
                <w:rFonts w:asciiTheme="majorHAnsi" w:hAnsiTheme="majorHAnsi"/>
                <w:noProof/>
                <w:webHidden/>
                <w:color w:val="0070C0"/>
              </w:rPr>
              <w:fldChar w:fldCharType="begin"/>
            </w:r>
            <w:r w:rsidR="0082288E" w:rsidRPr="0082288E">
              <w:rPr>
                <w:rFonts w:asciiTheme="majorHAnsi" w:hAnsiTheme="majorHAnsi"/>
                <w:noProof/>
                <w:webHidden/>
                <w:color w:val="0070C0"/>
              </w:rPr>
              <w:instrText xml:space="preserve"> PAGEREF _Toc416867088 \h </w:instrText>
            </w:r>
            <w:r w:rsidR="0082288E" w:rsidRPr="0082288E">
              <w:rPr>
                <w:rFonts w:asciiTheme="majorHAnsi" w:hAnsiTheme="majorHAnsi"/>
                <w:noProof/>
                <w:webHidden/>
                <w:color w:val="0070C0"/>
              </w:rPr>
            </w:r>
            <w:r w:rsidR="0082288E" w:rsidRPr="0082288E">
              <w:rPr>
                <w:rFonts w:asciiTheme="majorHAnsi" w:hAnsiTheme="majorHAnsi"/>
                <w:noProof/>
                <w:webHidden/>
                <w:color w:val="0070C0"/>
              </w:rPr>
              <w:fldChar w:fldCharType="separate"/>
            </w:r>
            <w:r w:rsidR="00F7609A">
              <w:rPr>
                <w:rFonts w:asciiTheme="majorHAnsi" w:hAnsiTheme="majorHAnsi"/>
                <w:noProof/>
                <w:webHidden/>
                <w:color w:val="0070C0"/>
              </w:rPr>
              <w:t>45</w:t>
            </w:r>
            <w:r w:rsidR="0082288E" w:rsidRPr="0082288E">
              <w:rPr>
                <w:rFonts w:asciiTheme="majorHAnsi" w:hAnsiTheme="majorHAnsi"/>
                <w:noProof/>
                <w:webHidden/>
                <w:color w:val="0070C0"/>
              </w:rPr>
              <w:fldChar w:fldCharType="end"/>
            </w:r>
          </w:hyperlink>
        </w:p>
        <w:p w14:paraId="60305947" w14:textId="77777777" w:rsidR="0082288E" w:rsidRPr="0082288E" w:rsidRDefault="005F20A5">
          <w:pPr>
            <w:pStyle w:val="TOC3"/>
            <w:tabs>
              <w:tab w:val="right" w:leader="dot" w:pos="10450"/>
            </w:tabs>
            <w:rPr>
              <w:rFonts w:asciiTheme="majorHAnsi" w:hAnsiTheme="majorHAnsi"/>
              <w:noProof/>
              <w:color w:val="0070C0"/>
              <w:sz w:val="22"/>
              <w:szCs w:val="22"/>
              <w:lang w:eastAsia="en-GB"/>
            </w:rPr>
          </w:pPr>
          <w:hyperlink w:anchor="_Toc416867089" w:history="1">
            <w:r w:rsidR="0082288E" w:rsidRPr="0082288E">
              <w:rPr>
                <w:rStyle w:val="Hyperlink"/>
                <w:rFonts w:asciiTheme="majorHAnsi" w:hAnsiTheme="majorHAnsi"/>
                <w:noProof/>
                <w:color w:val="0070C0"/>
                <w:spacing w:val="14"/>
              </w:rPr>
              <w:t>ASIA</w:t>
            </w:r>
            <w:r w:rsidR="0082288E" w:rsidRPr="0082288E">
              <w:rPr>
                <w:rFonts w:asciiTheme="majorHAnsi" w:hAnsiTheme="majorHAnsi"/>
                <w:noProof/>
                <w:webHidden/>
                <w:color w:val="0070C0"/>
              </w:rPr>
              <w:tab/>
            </w:r>
            <w:r w:rsidR="0082288E" w:rsidRPr="0082288E">
              <w:rPr>
                <w:rFonts w:asciiTheme="majorHAnsi" w:hAnsiTheme="majorHAnsi"/>
                <w:noProof/>
                <w:webHidden/>
                <w:color w:val="0070C0"/>
              </w:rPr>
              <w:fldChar w:fldCharType="begin"/>
            </w:r>
            <w:r w:rsidR="0082288E" w:rsidRPr="0082288E">
              <w:rPr>
                <w:rFonts w:asciiTheme="majorHAnsi" w:hAnsiTheme="majorHAnsi"/>
                <w:noProof/>
                <w:webHidden/>
                <w:color w:val="0070C0"/>
              </w:rPr>
              <w:instrText xml:space="preserve"> PAGEREF _Toc416867089 \h </w:instrText>
            </w:r>
            <w:r w:rsidR="0082288E" w:rsidRPr="0082288E">
              <w:rPr>
                <w:rFonts w:asciiTheme="majorHAnsi" w:hAnsiTheme="majorHAnsi"/>
                <w:noProof/>
                <w:webHidden/>
                <w:color w:val="0070C0"/>
              </w:rPr>
            </w:r>
            <w:r w:rsidR="0082288E" w:rsidRPr="0082288E">
              <w:rPr>
                <w:rFonts w:asciiTheme="majorHAnsi" w:hAnsiTheme="majorHAnsi"/>
                <w:noProof/>
                <w:webHidden/>
                <w:color w:val="0070C0"/>
              </w:rPr>
              <w:fldChar w:fldCharType="separate"/>
            </w:r>
            <w:r w:rsidR="00F7609A">
              <w:rPr>
                <w:rFonts w:asciiTheme="majorHAnsi" w:hAnsiTheme="majorHAnsi"/>
                <w:noProof/>
                <w:webHidden/>
                <w:color w:val="0070C0"/>
              </w:rPr>
              <w:t>52</w:t>
            </w:r>
            <w:r w:rsidR="0082288E" w:rsidRPr="0082288E">
              <w:rPr>
                <w:rFonts w:asciiTheme="majorHAnsi" w:hAnsiTheme="majorHAnsi"/>
                <w:noProof/>
                <w:webHidden/>
                <w:color w:val="0070C0"/>
              </w:rPr>
              <w:fldChar w:fldCharType="end"/>
            </w:r>
          </w:hyperlink>
        </w:p>
        <w:p w14:paraId="39DDE79D" w14:textId="77777777" w:rsidR="0082288E" w:rsidRPr="0082288E" w:rsidRDefault="005F20A5">
          <w:pPr>
            <w:pStyle w:val="TOC3"/>
            <w:tabs>
              <w:tab w:val="right" w:leader="dot" w:pos="10450"/>
            </w:tabs>
            <w:rPr>
              <w:rFonts w:asciiTheme="majorHAnsi" w:hAnsiTheme="majorHAnsi"/>
              <w:noProof/>
              <w:color w:val="0070C0"/>
              <w:sz w:val="22"/>
              <w:szCs w:val="22"/>
              <w:lang w:eastAsia="en-GB"/>
            </w:rPr>
          </w:pPr>
          <w:hyperlink w:anchor="_Toc416867090" w:history="1">
            <w:r w:rsidR="0082288E" w:rsidRPr="0082288E">
              <w:rPr>
                <w:rStyle w:val="Hyperlink"/>
                <w:rFonts w:asciiTheme="majorHAnsi" w:hAnsiTheme="majorHAnsi"/>
                <w:noProof/>
                <w:color w:val="0070C0"/>
                <w:spacing w:val="14"/>
              </w:rPr>
              <w:t>NEPAL– WOMEN’S PARTICIPATION AND CIVIL SOCIETY LEADERSHIP IN A POST-CONFLICT NAP</w:t>
            </w:r>
            <w:r w:rsidR="0082288E" w:rsidRPr="0082288E">
              <w:rPr>
                <w:rFonts w:asciiTheme="majorHAnsi" w:hAnsiTheme="majorHAnsi"/>
                <w:noProof/>
                <w:webHidden/>
                <w:color w:val="0070C0"/>
              </w:rPr>
              <w:tab/>
            </w:r>
            <w:r w:rsidR="0082288E" w:rsidRPr="0082288E">
              <w:rPr>
                <w:rFonts w:asciiTheme="majorHAnsi" w:hAnsiTheme="majorHAnsi"/>
                <w:noProof/>
                <w:webHidden/>
                <w:color w:val="0070C0"/>
              </w:rPr>
              <w:fldChar w:fldCharType="begin"/>
            </w:r>
            <w:r w:rsidR="0082288E" w:rsidRPr="0082288E">
              <w:rPr>
                <w:rFonts w:asciiTheme="majorHAnsi" w:hAnsiTheme="majorHAnsi"/>
                <w:noProof/>
                <w:webHidden/>
                <w:color w:val="0070C0"/>
              </w:rPr>
              <w:instrText xml:space="preserve"> PAGEREF _Toc416867090 \h </w:instrText>
            </w:r>
            <w:r w:rsidR="0082288E" w:rsidRPr="0082288E">
              <w:rPr>
                <w:rFonts w:asciiTheme="majorHAnsi" w:hAnsiTheme="majorHAnsi"/>
                <w:noProof/>
                <w:webHidden/>
                <w:color w:val="0070C0"/>
              </w:rPr>
            </w:r>
            <w:r w:rsidR="0082288E" w:rsidRPr="0082288E">
              <w:rPr>
                <w:rFonts w:asciiTheme="majorHAnsi" w:hAnsiTheme="majorHAnsi"/>
                <w:noProof/>
                <w:webHidden/>
                <w:color w:val="0070C0"/>
              </w:rPr>
              <w:fldChar w:fldCharType="separate"/>
            </w:r>
            <w:r w:rsidR="00F7609A">
              <w:rPr>
                <w:rFonts w:asciiTheme="majorHAnsi" w:hAnsiTheme="majorHAnsi"/>
                <w:noProof/>
                <w:webHidden/>
                <w:color w:val="0070C0"/>
              </w:rPr>
              <w:t>52</w:t>
            </w:r>
            <w:r w:rsidR="0082288E" w:rsidRPr="0082288E">
              <w:rPr>
                <w:rFonts w:asciiTheme="majorHAnsi" w:hAnsiTheme="majorHAnsi"/>
                <w:noProof/>
                <w:webHidden/>
                <w:color w:val="0070C0"/>
              </w:rPr>
              <w:fldChar w:fldCharType="end"/>
            </w:r>
          </w:hyperlink>
        </w:p>
        <w:p w14:paraId="110B3E51" w14:textId="77777777" w:rsidR="0082288E" w:rsidRPr="0082288E" w:rsidRDefault="005F20A5">
          <w:pPr>
            <w:pStyle w:val="TOC3"/>
            <w:tabs>
              <w:tab w:val="right" w:leader="dot" w:pos="10450"/>
            </w:tabs>
            <w:rPr>
              <w:rFonts w:asciiTheme="majorHAnsi" w:hAnsiTheme="majorHAnsi"/>
              <w:noProof/>
              <w:color w:val="0070C0"/>
              <w:sz w:val="22"/>
              <w:szCs w:val="22"/>
              <w:lang w:eastAsia="en-GB"/>
            </w:rPr>
          </w:pPr>
          <w:hyperlink w:anchor="_Toc416867091" w:history="1">
            <w:r w:rsidR="0082288E" w:rsidRPr="0082288E">
              <w:rPr>
                <w:rStyle w:val="Hyperlink"/>
                <w:rFonts w:asciiTheme="majorHAnsi" w:hAnsiTheme="majorHAnsi"/>
                <w:noProof/>
                <w:color w:val="0070C0"/>
                <w:spacing w:val="14"/>
              </w:rPr>
              <w:t>ASIA</w:t>
            </w:r>
            <w:r w:rsidR="0082288E" w:rsidRPr="0082288E">
              <w:rPr>
                <w:rFonts w:asciiTheme="majorHAnsi" w:hAnsiTheme="majorHAnsi"/>
                <w:noProof/>
                <w:webHidden/>
                <w:color w:val="0070C0"/>
              </w:rPr>
              <w:tab/>
            </w:r>
            <w:r w:rsidR="0082288E" w:rsidRPr="0082288E">
              <w:rPr>
                <w:rFonts w:asciiTheme="majorHAnsi" w:hAnsiTheme="majorHAnsi"/>
                <w:noProof/>
                <w:webHidden/>
                <w:color w:val="0070C0"/>
              </w:rPr>
              <w:fldChar w:fldCharType="begin"/>
            </w:r>
            <w:r w:rsidR="0082288E" w:rsidRPr="0082288E">
              <w:rPr>
                <w:rFonts w:asciiTheme="majorHAnsi" w:hAnsiTheme="majorHAnsi"/>
                <w:noProof/>
                <w:webHidden/>
                <w:color w:val="0070C0"/>
              </w:rPr>
              <w:instrText xml:space="preserve"> PAGEREF _Toc416867091 \h </w:instrText>
            </w:r>
            <w:r w:rsidR="0082288E" w:rsidRPr="0082288E">
              <w:rPr>
                <w:rFonts w:asciiTheme="majorHAnsi" w:hAnsiTheme="majorHAnsi"/>
                <w:noProof/>
                <w:webHidden/>
                <w:color w:val="0070C0"/>
              </w:rPr>
            </w:r>
            <w:r w:rsidR="0082288E" w:rsidRPr="0082288E">
              <w:rPr>
                <w:rFonts w:asciiTheme="majorHAnsi" w:hAnsiTheme="majorHAnsi"/>
                <w:noProof/>
                <w:webHidden/>
                <w:color w:val="0070C0"/>
              </w:rPr>
              <w:fldChar w:fldCharType="separate"/>
            </w:r>
            <w:r w:rsidR="00F7609A">
              <w:rPr>
                <w:rFonts w:asciiTheme="majorHAnsi" w:hAnsiTheme="majorHAnsi"/>
                <w:noProof/>
                <w:webHidden/>
                <w:color w:val="0070C0"/>
              </w:rPr>
              <w:t>57</w:t>
            </w:r>
            <w:r w:rsidR="0082288E" w:rsidRPr="0082288E">
              <w:rPr>
                <w:rFonts w:asciiTheme="majorHAnsi" w:hAnsiTheme="majorHAnsi"/>
                <w:noProof/>
                <w:webHidden/>
                <w:color w:val="0070C0"/>
              </w:rPr>
              <w:fldChar w:fldCharType="end"/>
            </w:r>
          </w:hyperlink>
        </w:p>
        <w:p w14:paraId="77625974" w14:textId="77777777" w:rsidR="0082288E" w:rsidRPr="0082288E" w:rsidRDefault="005F20A5">
          <w:pPr>
            <w:pStyle w:val="TOC3"/>
            <w:tabs>
              <w:tab w:val="right" w:leader="dot" w:pos="10450"/>
            </w:tabs>
            <w:rPr>
              <w:rFonts w:asciiTheme="majorHAnsi" w:hAnsiTheme="majorHAnsi"/>
              <w:noProof/>
              <w:color w:val="0070C0"/>
              <w:sz w:val="22"/>
              <w:szCs w:val="22"/>
              <w:lang w:eastAsia="en-GB"/>
            </w:rPr>
          </w:pPr>
          <w:hyperlink w:anchor="_Toc416867092" w:history="1">
            <w:r w:rsidR="0082288E" w:rsidRPr="0082288E">
              <w:rPr>
                <w:rStyle w:val="Hyperlink"/>
                <w:rFonts w:asciiTheme="majorHAnsi" w:hAnsiTheme="majorHAnsi"/>
                <w:noProof/>
                <w:color w:val="0070C0"/>
                <w:spacing w:val="14"/>
              </w:rPr>
              <w:t>MYANMAR – A JOURNEY TOWARDS A NAP THAT DRAWS ON THE LEGAL FRAMEWORK</w:t>
            </w:r>
            <w:r w:rsidR="0082288E" w:rsidRPr="0082288E">
              <w:rPr>
                <w:rFonts w:asciiTheme="majorHAnsi" w:hAnsiTheme="majorHAnsi"/>
                <w:noProof/>
                <w:webHidden/>
                <w:color w:val="0070C0"/>
              </w:rPr>
              <w:tab/>
            </w:r>
            <w:r w:rsidR="0082288E" w:rsidRPr="0082288E">
              <w:rPr>
                <w:rFonts w:asciiTheme="majorHAnsi" w:hAnsiTheme="majorHAnsi"/>
                <w:noProof/>
                <w:webHidden/>
                <w:color w:val="0070C0"/>
              </w:rPr>
              <w:fldChar w:fldCharType="begin"/>
            </w:r>
            <w:r w:rsidR="0082288E" w:rsidRPr="0082288E">
              <w:rPr>
                <w:rFonts w:asciiTheme="majorHAnsi" w:hAnsiTheme="majorHAnsi"/>
                <w:noProof/>
                <w:webHidden/>
                <w:color w:val="0070C0"/>
              </w:rPr>
              <w:instrText xml:space="preserve"> PAGEREF _Toc416867092 \h </w:instrText>
            </w:r>
            <w:r w:rsidR="0082288E" w:rsidRPr="0082288E">
              <w:rPr>
                <w:rFonts w:asciiTheme="majorHAnsi" w:hAnsiTheme="majorHAnsi"/>
                <w:noProof/>
                <w:webHidden/>
                <w:color w:val="0070C0"/>
              </w:rPr>
            </w:r>
            <w:r w:rsidR="0082288E" w:rsidRPr="0082288E">
              <w:rPr>
                <w:rFonts w:asciiTheme="majorHAnsi" w:hAnsiTheme="majorHAnsi"/>
                <w:noProof/>
                <w:webHidden/>
                <w:color w:val="0070C0"/>
              </w:rPr>
              <w:fldChar w:fldCharType="separate"/>
            </w:r>
            <w:r w:rsidR="00F7609A">
              <w:rPr>
                <w:rFonts w:asciiTheme="majorHAnsi" w:hAnsiTheme="majorHAnsi"/>
                <w:noProof/>
                <w:webHidden/>
                <w:color w:val="0070C0"/>
              </w:rPr>
              <w:t>57</w:t>
            </w:r>
            <w:r w:rsidR="0082288E" w:rsidRPr="0082288E">
              <w:rPr>
                <w:rFonts w:asciiTheme="majorHAnsi" w:hAnsiTheme="majorHAnsi"/>
                <w:noProof/>
                <w:webHidden/>
                <w:color w:val="0070C0"/>
              </w:rPr>
              <w:fldChar w:fldCharType="end"/>
            </w:r>
          </w:hyperlink>
        </w:p>
        <w:p w14:paraId="130EA18B" w14:textId="77777777" w:rsidR="0082288E" w:rsidRPr="0082288E" w:rsidRDefault="005F20A5">
          <w:pPr>
            <w:pStyle w:val="TOC3"/>
            <w:tabs>
              <w:tab w:val="right" w:leader="dot" w:pos="10450"/>
            </w:tabs>
            <w:rPr>
              <w:rFonts w:asciiTheme="majorHAnsi" w:hAnsiTheme="majorHAnsi"/>
              <w:noProof/>
              <w:color w:val="0070C0"/>
              <w:sz w:val="22"/>
              <w:szCs w:val="22"/>
              <w:lang w:eastAsia="en-GB"/>
            </w:rPr>
          </w:pPr>
          <w:hyperlink w:anchor="_Toc416867093" w:history="1">
            <w:r w:rsidR="0082288E" w:rsidRPr="0082288E">
              <w:rPr>
                <w:rStyle w:val="Hyperlink"/>
                <w:rFonts w:asciiTheme="majorHAnsi" w:hAnsiTheme="majorHAnsi"/>
                <w:noProof/>
                <w:color w:val="0070C0"/>
                <w:spacing w:val="14"/>
              </w:rPr>
              <w:t>EUROPE</w:t>
            </w:r>
            <w:r w:rsidR="0082288E" w:rsidRPr="0082288E">
              <w:rPr>
                <w:rFonts w:asciiTheme="majorHAnsi" w:hAnsiTheme="majorHAnsi"/>
                <w:noProof/>
                <w:webHidden/>
                <w:color w:val="0070C0"/>
              </w:rPr>
              <w:tab/>
            </w:r>
            <w:r w:rsidR="0082288E" w:rsidRPr="0082288E">
              <w:rPr>
                <w:rFonts w:asciiTheme="majorHAnsi" w:hAnsiTheme="majorHAnsi"/>
                <w:noProof/>
                <w:webHidden/>
                <w:color w:val="0070C0"/>
              </w:rPr>
              <w:fldChar w:fldCharType="begin"/>
            </w:r>
            <w:r w:rsidR="0082288E" w:rsidRPr="0082288E">
              <w:rPr>
                <w:rFonts w:asciiTheme="majorHAnsi" w:hAnsiTheme="majorHAnsi"/>
                <w:noProof/>
                <w:webHidden/>
                <w:color w:val="0070C0"/>
              </w:rPr>
              <w:instrText xml:space="preserve"> PAGEREF _Toc416867093 \h </w:instrText>
            </w:r>
            <w:r w:rsidR="0082288E" w:rsidRPr="0082288E">
              <w:rPr>
                <w:rFonts w:asciiTheme="majorHAnsi" w:hAnsiTheme="majorHAnsi"/>
                <w:noProof/>
                <w:webHidden/>
                <w:color w:val="0070C0"/>
              </w:rPr>
            </w:r>
            <w:r w:rsidR="0082288E" w:rsidRPr="0082288E">
              <w:rPr>
                <w:rFonts w:asciiTheme="majorHAnsi" w:hAnsiTheme="majorHAnsi"/>
                <w:noProof/>
                <w:webHidden/>
                <w:color w:val="0070C0"/>
              </w:rPr>
              <w:fldChar w:fldCharType="separate"/>
            </w:r>
            <w:r w:rsidR="00F7609A">
              <w:rPr>
                <w:rFonts w:asciiTheme="majorHAnsi" w:hAnsiTheme="majorHAnsi"/>
                <w:noProof/>
                <w:webHidden/>
                <w:color w:val="0070C0"/>
              </w:rPr>
              <w:t>61</w:t>
            </w:r>
            <w:r w:rsidR="0082288E" w:rsidRPr="0082288E">
              <w:rPr>
                <w:rFonts w:asciiTheme="majorHAnsi" w:hAnsiTheme="majorHAnsi"/>
                <w:noProof/>
                <w:webHidden/>
                <w:color w:val="0070C0"/>
              </w:rPr>
              <w:fldChar w:fldCharType="end"/>
            </w:r>
          </w:hyperlink>
        </w:p>
        <w:p w14:paraId="33580247" w14:textId="77777777" w:rsidR="0082288E" w:rsidRPr="0082288E" w:rsidRDefault="005F20A5">
          <w:pPr>
            <w:pStyle w:val="TOC3"/>
            <w:tabs>
              <w:tab w:val="right" w:leader="dot" w:pos="10450"/>
            </w:tabs>
            <w:rPr>
              <w:rFonts w:asciiTheme="majorHAnsi" w:hAnsiTheme="majorHAnsi"/>
              <w:noProof/>
              <w:color w:val="0070C0"/>
              <w:sz w:val="22"/>
              <w:szCs w:val="22"/>
              <w:lang w:eastAsia="en-GB"/>
            </w:rPr>
          </w:pPr>
          <w:hyperlink w:anchor="_Toc416867094" w:history="1">
            <w:r w:rsidR="0082288E" w:rsidRPr="0082288E">
              <w:rPr>
                <w:rStyle w:val="Hyperlink"/>
                <w:rFonts w:asciiTheme="majorHAnsi" w:hAnsiTheme="majorHAnsi"/>
                <w:noProof/>
                <w:color w:val="0070C0"/>
                <w:spacing w:val="14"/>
              </w:rPr>
              <w:t>BOSNIA AND HERZEGOVINA – AN OLD NAP FEATURING FRAGMENTATION, A NEW NAP THAT DRAWS ON THE LEGAL FRAMEWORK</w:t>
            </w:r>
            <w:r w:rsidR="0082288E" w:rsidRPr="0082288E">
              <w:rPr>
                <w:rFonts w:asciiTheme="majorHAnsi" w:hAnsiTheme="majorHAnsi"/>
                <w:noProof/>
                <w:webHidden/>
                <w:color w:val="0070C0"/>
              </w:rPr>
              <w:tab/>
            </w:r>
            <w:r w:rsidR="0082288E" w:rsidRPr="0082288E">
              <w:rPr>
                <w:rFonts w:asciiTheme="majorHAnsi" w:hAnsiTheme="majorHAnsi"/>
                <w:noProof/>
                <w:webHidden/>
                <w:color w:val="0070C0"/>
              </w:rPr>
              <w:fldChar w:fldCharType="begin"/>
            </w:r>
            <w:r w:rsidR="0082288E" w:rsidRPr="0082288E">
              <w:rPr>
                <w:rFonts w:asciiTheme="majorHAnsi" w:hAnsiTheme="majorHAnsi"/>
                <w:noProof/>
                <w:webHidden/>
                <w:color w:val="0070C0"/>
              </w:rPr>
              <w:instrText xml:space="preserve"> PAGEREF _Toc416867094 \h </w:instrText>
            </w:r>
            <w:r w:rsidR="0082288E" w:rsidRPr="0082288E">
              <w:rPr>
                <w:rFonts w:asciiTheme="majorHAnsi" w:hAnsiTheme="majorHAnsi"/>
                <w:noProof/>
                <w:webHidden/>
                <w:color w:val="0070C0"/>
              </w:rPr>
            </w:r>
            <w:r w:rsidR="0082288E" w:rsidRPr="0082288E">
              <w:rPr>
                <w:rFonts w:asciiTheme="majorHAnsi" w:hAnsiTheme="majorHAnsi"/>
                <w:noProof/>
                <w:webHidden/>
                <w:color w:val="0070C0"/>
              </w:rPr>
              <w:fldChar w:fldCharType="separate"/>
            </w:r>
            <w:r w:rsidR="00F7609A">
              <w:rPr>
                <w:rFonts w:asciiTheme="majorHAnsi" w:hAnsiTheme="majorHAnsi"/>
                <w:noProof/>
                <w:webHidden/>
                <w:color w:val="0070C0"/>
              </w:rPr>
              <w:t>61</w:t>
            </w:r>
            <w:r w:rsidR="0082288E" w:rsidRPr="0082288E">
              <w:rPr>
                <w:rFonts w:asciiTheme="majorHAnsi" w:hAnsiTheme="majorHAnsi"/>
                <w:noProof/>
                <w:webHidden/>
                <w:color w:val="0070C0"/>
              </w:rPr>
              <w:fldChar w:fldCharType="end"/>
            </w:r>
          </w:hyperlink>
        </w:p>
        <w:p w14:paraId="525C1AC9" w14:textId="77777777" w:rsidR="0082288E" w:rsidRPr="0082288E" w:rsidRDefault="005F20A5">
          <w:pPr>
            <w:pStyle w:val="TOC3"/>
            <w:tabs>
              <w:tab w:val="right" w:leader="dot" w:pos="10450"/>
            </w:tabs>
            <w:rPr>
              <w:rFonts w:asciiTheme="majorHAnsi" w:hAnsiTheme="majorHAnsi"/>
              <w:noProof/>
              <w:color w:val="0070C0"/>
              <w:sz w:val="22"/>
              <w:szCs w:val="22"/>
              <w:lang w:eastAsia="en-GB"/>
            </w:rPr>
          </w:pPr>
          <w:hyperlink w:anchor="_Toc416867095" w:history="1">
            <w:r w:rsidR="0082288E" w:rsidRPr="0082288E">
              <w:rPr>
                <w:rStyle w:val="Hyperlink"/>
                <w:rFonts w:asciiTheme="majorHAnsi" w:hAnsiTheme="majorHAnsi"/>
                <w:noProof/>
                <w:color w:val="0070C0"/>
                <w:spacing w:val="14"/>
              </w:rPr>
              <w:t>LATIN AMERICA</w:t>
            </w:r>
            <w:r w:rsidR="0082288E" w:rsidRPr="0082288E">
              <w:rPr>
                <w:rFonts w:asciiTheme="majorHAnsi" w:hAnsiTheme="majorHAnsi"/>
                <w:noProof/>
                <w:webHidden/>
                <w:color w:val="0070C0"/>
              </w:rPr>
              <w:tab/>
            </w:r>
            <w:r w:rsidR="0082288E" w:rsidRPr="0082288E">
              <w:rPr>
                <w:rFonts w:asciiTheme="majorHAnsi" w:hAnsiTheme="majorHAnsi"/>
                <w:noProof/>
                <w:webHidden/>
                <w:color w:val="0070C0"/>
              </w:rPr>
              <w:fldChar w:fldCharType="begin"/>
            </w:r>
            <w:r w:rsidR="0082288E" w:rsidRPr="0082288E">
              <w:rPr>
                <w:rFonts w:asciiTheme="majorHAnsi" w:hAnsiTheme="majorHAnsi"/>
                <w:noProof/>
                <w:webHidden/>
                <w:color w:val="0070C0"/>
              </w:rPr>
              <w:instrText xml:space="preserve"> PAGEREF _Toc416867095 \h </w:instrText>
            </w:r>
            <w:r w:rsidR="0082288E" w:rsidRPr="0082288E">
              <w:rPr>
                <w:rFonts w:asciiTheme="majorHAnsi" w:hAnsiTheme="majorHAnsi"/>
                <w:noProof/>
                <w:webHidden/>
                <w:color w:val="0070C0"/>
              </w:rPr>
            </w:r>
            <w:r w:rsidR="0082288E" w:rsidRPr="0082288E">
              <w:rPr>
                <w:rFonts w:asciiTheme="majorHAnsi" w:hAnsiTheme="majorHAnsi"/>
                <w:noProof/>
                <w:webHidden/>
                <w:color w:val="0070C0"/>
              </w:rPr>
              <w:fldChar w:fldCharType="separate"/>
            </w:r>
            <w:r w:rsidR="00F7609A">
              <w:rPr>
                <w:rFonts w:asciiTheme="majorHAnsi" w:hAnsiTheme="majorHAnsi"/>
                <w:noProof/>
                <w:webHidden/>
                <w:color w:val="0070C0"/>
              </w:rPr>
              <w:t>65</w:t>
            </w:r>
            <w:r w:rsidR="0082288E" w:rsidRPr="0082288E">
              <w:rPr>
                <w:rFonts w:asciiTheme="majorHAnsi" w:hAnsiTheme="majorHAnsi"/>
                <w:noProof/>
                <w:webHidden/>
                <w:color w:val="0070C0"/>
              </w:rPr>
              <w:fldChar w:fldCharType="end"/>
            </w:r>
          </w:hyperlink>
        </w:p>
        <w:p w14:paraId="327C6551" w14:textId="77777777" w:rsidR="0082288E" w:rsidRPr="0082288E" w:rsidRDefault="005F20A5">
          <w:pPr>
            <w:pStyle w:val="TOC3"/>
            <w:tabs>
              <w:tab w:val="right" w:leader="dot" w:pos="10450"/>
            </w:tabs>
            <w:rPr>
              <w:rFonts w:asciiTheme="majorHAnsi" w:hAnsiTheme="majorHAnsi"/>
              <w:noProof/>
              <w:color w:val="0070C0"/>
              <w:sz w:val="22"/>
              <w:szCs w:val="22"/>
              <w:lang w:eastAsia="en-GB"/>
            </w:rPr>
          </w:pPr>
          <w:hyperlink w:anchor="_Toc416867096" w:history="1">
            <w:r w:rsidR="0082288E" w:rsidRPr="0082288E">
              <w:rPr>
                <w:rStyle w:val="Hyperlink"/>
                <w:rFonts w:asciiTheme="majorHAnsi" w:hAnsiTheme="majorHAnsi"/>
                <w:noProof/>
                <w:color w:val="0070C0"/>
                <w:spacing w:val="14"/>
              </w:rPr>
              <w:t>CHILE – A NAP FOR NATIONAL AND INTERNATIONAL COOPERATION</w:t>
            </w:r>
            <w:r w:rsidR="0082288E" w:rsidRPr="0082288E">
              <w:rPr>
                <w:rFonts w:asciiTheme="majorHAnsi" w:hAnsiTheme="majorHAnsi"/>
                <w:noProof/>
                <w:webHidden/>
                <w:color w:val="0070C0"/>
              </w:rPr>
              <w:tab/>
            </w:r>
            <w:r w:rsidR="0082288E" w:rsidRPr="0082288E">
              <w:rPr>
                <w:rFonts w:asciiTheme="majorHAnsi" w:hAnsiTheme="majorHAnsi"/>
                <w:noProof/>
                <w:webHidden/>
                <w:color w:val="0070C0"/>
              </w:rPr>
              <w:fldChar w:fldCharType="begin"/>
            </w:r>
            <w:r w:rsidR="0082288E" w:rsidRPr="0082288E">
              <w:rPr>
                <w:rFonts w:asciiTheme="majorHAnsi" w:hAnsiTheme="majorHAnsi"/>
                <w:noProof/>
                <w:webHidden/>
                <w:color w:val="0070C0"/>
              </w:rPr>
              <w:instrText xml:space="preserve"> PAGEREF _Toc416867096 \h </w:instrText>
            </w:r>
            <w:r w:rsidR="0082288E" w:rsidRPr="0082288E">
              <w:rPr>
                <w:rFonts w:asciiTheme="majorHAnsi" w:hAnsiTheme="majorHAnsi"/>
                <w:noProof/>
                <w:webHidden/>
                <w:color w:val="0070C0"/>
              </w:rPr>
            </w:r>
            <w:r w:rsidR="0082288E" w:rsidRPr="0082288E">
              <w:rPr>
                <w:rFonts w:asciiTheme="majorHAnsi" w:hAnsiTheme="majorHAnsi"/>
                <w:noProof/>
                <w:webHidden/>
                <w:color w:val="0070C0"/>
              </w:rPr>
              <w:fldChar w:fldCharType="separate"/>
            </w:r>
            <w:r w:rsidR="00F7609A">
              <w:rPr>
                <w:rFonts w:asciiTheme="majorHAnsi" w:hAnsiTheme="majorHAnsi"/>
                <w:noProof/>
                <w:webHidden/>
                <w:color w:val="0070C0"/>
              </w:rPr>
              <w:t>65</w:t>
            </w:r>
            <w:r w:rsidR="0082288E" w:rsidRPr="0082288E">
              <w:rPr>
                <w:rFonts w:asciiTheme="majorHAnsi" w:hAnsiTheme="majorHAnsi"/>
                <w:noProof/>
                <w:webHidden/>
                <w:color w:val="0070C0"/>
              </w:rPr>
              <w:fldChar w:fldCharType="end"/>
            </w:r>
          </w:hyperlink>
        </w:p>
        <w:p w14:paraId="69479529" w14:textId="77777777" w:rsidR="0082288E" w:rsidRPr="0082288E" w:rsidRDefault="005F20A5">
          <w:pPr>
            <w:pStyle w:val="TOC3"/>
            <w:tabs>
              <w:tab w:val="right" w:leader="dot" w:pos="10450"/>
            </w:tabs>
            <w:rPr>
              <w:rFonts w:asciiTheme="majorHAnsi" w:hAnsiTheme="majorHAnsi"/>
              <w:noProof/>
              <w:color w:val="0070C0"/>
              <w:sz w:val="22"/>
              <w:szCs w:val="22"/>
              <w:lang w:eastAsia="en-GB"/>
            </w:rPr>
          </w:pPr>
          <w:hyperlink w:anchor="_Toc416867097" w:history="1">
            <w:r w:rsidR="0082288E" w:rsidRPr="0082288E">
              <w:rPr>
                <w:rStyle w:val="Hyperlink"/>
                <w:rFonts w:asciiTheme="majorHAnsi" w:hAnsiTheme="majorHAnsi"/>
                <w:noProof/>
                <w:color w:val="0070C0"/>
                <w:spacing w:val="14"/>
              </w:rPr>
              <w:t>THE MIDDLE EAST</w:t>
            </w:r>
            <w:r w:rsidR="0082288E" w:rsidRPr="0082288E">
              <w:rPr>
                <w:rFonts w:asciiTheme="majorHAnsi" w:hAnsiTheme="majorHAnsi"/>
                <w:noProof/>
                <w:webHidden/>
                <w:color w:val="0070C0"/>
              </w:rPr>
              <w:tab/>
            </w:r>
            <w:r w:rsidR="0082288E" w:rsidRPr="0082288E">
              <w:rPr>
                <w:rFonts w:asciiTheme="majorHAnsi" w:hAnsiTheme="majorHAnsi"/>
                <w:noProof/>
                <w:webHidden/>
                <w:color w:val="0070C0"/>
              </w:rPr>
              <w:fldChar w:fldCharType="begin"/>
            </w:r>
            <w:r w:rsidR="0082288E" w:rsidRPr="0082288E">
              <w:rPr>
                <w:rFonts w:asciiTheme="majorHAnsi" w:hAnsiTheme="majorHAnsi"/>
                <w:noProof/>
                <w:webHidden/>
                <w:color w:val="0070C0"/>
              </w:rPr>
              <w:instrText xml:space="preserve"> PAGEREF _Toc416867097 \h </w:instrText>
            </w:r>
            <w:r w:rsidR="0082288E" w:rsidRPr="0082288E">
              <w:rPr>
                <w:rFonts w:asciiTheme="majorHAnsi" w:hAnsiTheme="majorHAnsi"/>
                <w:noProof/>
                <w:webHidden/>
                <w:color w:val="0070C0"/>
              </w:rPr>
            </w:r>
            <w:r w:rsidR="0082288E" w:rsidRPr="0082288E">
              <w:rPr>
                <w:rFonts w:asciiTheme="majorHAnsi" w:hAnsiTheme="majorHAnsi"/>
                <w:noProof/>
                <w:webHidden/>
                <w:color w:val="0070C0"/>
              </w:rPr>
              <w:fldChar w:fldCharType="separate"/>
            </w:r>
            <w:r w:rsidR="00F7609A">
              <w:rPr>
                <w:rFonts w:asciiTheme="majorHAnsi" w:hAnsiTheme="majorHAnsi"/>
                <w:noProof/>
                <w:webHidden/>
                <w:color w:val="0070C0"/>
              </w:rPr>
              <w:t>70</w:t>
            </w:r>
            <w:r w:rsidR="0082288E" w:rsidRPr="0082288E">
              <w:rPr>
                <w:rFonts w:asciiTheme="majorHAnsi" w:hAnsiTheme="majorHAnsi"/>
                <w:noProof/>
                <w:webHidden/>
                <w:color w:val="0070C0"/>
              </w:rPr>
              <w:fldChar w:fldCharType="end"/>
            </w:r>
          </w:hyperlink>
        </w:p>
        <w:p w14:paraId="7A3243B2" w14:textId="77777777" w:rsidR="0082288E" w:rsidRPr="0082288E" w:rsidRDefault="005F20A5">
          <w:pPr>
            <w:pStyle w:val="TOC3"/>
            <w:tabs>
              <w:tab w:val="right" w:leader="dot" w:pos="10450"/>
            </w:tabs>
            <w:rPr>
              <w:rFonts w:asciiTheme="majorHAnsi" w:hAnsiTheme="majorHAnsi"/>
              <w:noProof/>
              <w:color w:val="0070C0"/>
              <w:sz w:val="22"/>
              <w:szCs w:val="22"/>
              <w:lang w:eastAsia="en-GB"/>
            </w:rPr>
          </w:pPr>
          <w:hyperlink w:anchor="_Toc416867098" w:history="1">
            <w:r w:rsidR="0082288E" w:rsidRPr="0082288E">
              <w:rPr>
                <w:rStyle w:val="Hyperlink"/>
                <w:rFonts w:asciiTheme="majorHAnsi" w:hAnsiTheme="majorHAnsi"/>
                <w:noProof/>
                <w:color w:val="0070C0"/>
                <w:spacing w:val="14"/>
              </w:rPr>
              <w:t>IRAQ – A NAP AMIDST CURRENT CONFLICT, FOLLOWING WAR AND OCCUPATION</w:t>
            </w:r>
            <w:r w:rsidR="0082288E" w:rsidRPr="0082288E">
              <w:rPr>
                <w:rFonts w:asciiTheme="majorHAnsi" w:hAnsiTheme="majorHAnsi"/>
                <w:noProof/>
                <w:webHidden/>
                <w:color w:val="0070C0"/>
              </w:rPr>
              <w:tab/>
            </w:r>
            <w:r w:rsidR="0082288E" w:rsidRPr="0082288E">
              <w:rPr>
                <w:rFonts w:asciiTheme="majorHAnsi" w:hAnsiTheme="majorHAnsi"/>
                <w:noProof/>
                <w:webHidden/>
                <w:color w:val="0070C0"/>
              </w:rPr>
              <w:fldChar w:fldCharType="begin"/>
            </w:r>
            <w:r w:rsidR="0082288E" w:rsidRPr="0082288E">
              <w:rPr>
                <w:rFonts w:asciiTheme="majorHAnsi" w:hAnsiTheme="majorHAnsi"/>
                <w:noProof/>
                <w:webHidden/>
                <w:color w:val="0070C0"/>
              </w:rPr>
              <w:instrText xml:space="preserve"> PAGEREF _Toc416867098 \h </w:instrText>
            </w:r>
            <w:r w:rsidR="0082288E" w:rsidRPr="0082288E">
              <w:rPr>
                <w:rFonts w:asciiTheme="majorHAnsi" w:hAnsiTheme="majorHAnsi"/>
                <w:noProof/>
                <w:webHidden/>
                <w:color w:val="0070C0"/>
              </w:rPr>
            </w:r>
            <w:r w:rsidR="0082288E" w:rsidRPr="0082288E">
              <w:rPr>
                <w:rFonts w:asciiTheme="majorHAnsi" w:hAnsiTheme="majorHAnsi"/>
                <w:noProof/>
                <w:webHidden/>
                <w:color w:val="0070C0"/>
              </w:rPr>
              <w:fldChar w:fldCharType="separate"/>
            </w:r>
            <w:r w:rsidR="00F7609A">
              <w:rPr>
                <w:rFonts w:asciiTheme="majorHAnsi" w:hAnsiTheme="majorHAnsi"/>
                <w:noProof/>
                <w:webHidden/>
                <w:color w:val="0070C0"/>
              </w:rPr>
              <w:t>70</w:t>
            </w:r>
            <w:r w:rsidR="0082288E" w:rsidRPr="0082288E">
              <w:rPr>
                <w:rFonts w:asciiTheme="majorHAnsi" w:hAnsiTheme="majorHAnsi"/>
                <w:noProof/>
                <w:webHidden/>
                <w:color w:val="0070C0"/>
              </w:rPr>
              <w:fldChar w:fldCharType="end"/>
            </w:r>
          </w:hyperlink>
        </w:p>
        <w:p w14:paraId="755C02E4" w14:textId="77777777" w:rsidR="0082288E" w:rsidRPr="0082288E" w:rsidRDefault="005F20A5">
          <w:pPr>
            <w:pStyle w:val="TOC3"/>
            <w:tabs>
              <w:tab w:val="right" w:leader="dot" w:pos="10450"/>
            </w:tabs>
            <w:rPr>
              <w:rStyle w:val="Hyperlink"/>
              <w:rFonts w:asciiTheme="majorHAnsi" w:hAnsiTheme="majorHAnsi"/>
              <w:b/>
              <w:noProof/>
              <w:color w:val="0070C0"/>
            </w:rPr>
          </w:pPr>
          <w:hyperlink w:anchor="_Toc416867099" w:history="1">
            <w:r w:rsidR="0082288E" w:rsidRPr="0082288E">
              <w:rPr>
                <w:rStyle w:val="Hyperlink"/>
                <w:rFonts w:asciiTheme="majorHAnsi" w:hAnsiTheme="majorHAnsi"/>
                <w:b/>
                <w:noProof/>
                <w:color w:val="0070C0"/>
                <w:spacing w:val="14"/>
              </w:rPr>
              <w:t>SECTION 2 CONCLUSIONS AND RECOMMENDATIONS</w:t>
            </w:r>
            <w:r w:rsidR="0082288E" w:rsidRPr="0082288E">
              <w:rPr>
                <w:rFonts w:asciiTheme="majorHAnsi" w:hAnsiTheme="majorHAnsi"/>
                <w:b/>
                <w:noProof/>
                <w:webHidden/>
                <w:color w:val="0070C0"/>
              </w:rPr>
              <w:tab/>
            </w:r>
            <w:r w:rsidR="0082288E" w:rsidRPr="0082288E">
              <w:rPr>
                <w:rFonts w:asciiTheme="majorHAnsi" w:hAnsiTheme="majorHAnsi"/>
                <w:b/>
                <w:noProof/>
                <w:webHidden/>
                <w:color w:val="0070C0"/>
              </w:rPr>
              <w:fldChar w:fldCharType="begin"/>
            </w:r>
            <w:r w:rsidR="0082288E" w:rsidRPr="0082288E">
              <w:rPr>
                <w:rFonts w:asciiTheme="majorHAnsi" w:hAnsiTheme="majorHAnsi"/>
                <w:b/>
                <w:noProof/>
                <w:webHidden/>
                <w:color w:val="0070C0"/>
              </w:rPr>
              <w:instrText xml:space="preserve"> PAGEREF _Toc416867099 \h </w:instrText>
            </w:r>
            <w:r w:rsidR="0082288E" w:rsidRPr="0082288E">
              <w:rPr>
                <w:rFonts w:asciiTheme="majorHAnsi" w:hAnsiTheme="majorHAnsi"/>
                <w:b/>
                <w:noProof/>
                <w:webHidden/>
                <w:color w:val="0070C0"/>
              </w:rPr>
            </w:r>
            <w:r w:rsidR="0082288E" w:rsidRPr="0082288E">
              <w:rPr>
                <w:rFonts w:asciiTheme="majorHAnsi" w:hAnsiTheme="majorHAnsi"/>
                <w:b/>
                <w:noProof/>
                <w:webHidden/>
                <w:color w:val="0070C0"/>
              </w:rPr>
              <w:fldChar w:fldCharType="separate"/>
            </w:r>
            <w:r w:rsidR="00F7609A">
              <w:rPr>
                <w:rFonts w:asciiTheme="majorHAnsi" w:hAnsiTheme="majorHAnsi"/>
                <w:b/>
                <w:noProof/>
                <w:webHidden/>
                <w:color w:val="0070C0"/>
              </w:rPr>
              <w:t>75</w:t>
            </w:r>
            <w:r w:rsidR="0082288E" w:rsidRPr="0082288E">
              <w:rPr>
                <w:rFonts w:asciiTheme="majorHAnsi" w:hAnsiTheme="majorHAnsi"/>
                <w:b/>
                <w:noProof/>
                <w:webHidden/>
                <w:color w:val="0070C0"/>
              </w:rPr>
              <w:fldChar w:fldCharType="end"/>
            </w:r>
          </w:hyperlink>
        </w:p>
        <w:p w14:paraId="6F6BD9CB" w14:textId="77777777" w:rsidR="0082288E" w:rsidRPr="0082288E" w:rsidRDefault="0082288E" w:rsidP="0082288E">
          <w:pPr>
            <w:rPr>
              <w:noProof/>
              <w:color w:val="0070C0"/>
            </w:rPr>
          </w:pPr>
        </w:p>
        <w:p w14:paraId="65E7CF00" w14:textId="77777777" w:rsidR="0082288E" w:rsidRPr="0082288E" w:rsidRDefault="005F20A5">
          <w:pPr>
            <w:pStyle w:val="TOC1"/>
            <w:tabs>
              <w:tab w:val="right" w:leader="dot" w:pos="10450"/>
            </w:tabs>
            <w:rPr>
              <w:rFonts w:asciiTheme="majorHAnsi" w:hAnsiTheme="majorHAnsi"/>
              <w:noProof/>
              <w:color w:val="0070C0"/>
              <w:sz w:val="22"/>
              <w:szCs w:val="22"/>
              <w:lang w:eastAsia="en-GB"/>
            </w:rPr>
          </w:pPr>
          <w:hyperlink w:anchor="_Toc416867100" w:history="1">
            <w:r w:rsidR="0082288E" w:rsidRPr="0082288E">
              <w:rPr>
                <w:rStyle w:val="Hyperlink"/>
                <w:rFonts w:asciiTheme="majorHAnsi" w:hAnsiTheme="majorHAnsi"/>
                <w:b/>
                <w:noProof/>
                <w:color w:val="0070C0"/>
                <w:spacing w:val="20"/>
              </w:rPr>
              <w:t>SECTION 3: RE-ENVISIONING REMEDIES – IMPROVING EXISTING UN MONITORING AND ACCOUNTABILITY PROCESSES AND PROVIDING TRANSFORMATIVE REMEDIES</w:t>
            </w:r>
            <w:r w:rsidR="0082288E" w:rsidRPr="0082288E">
              <w:rPr>
                <w:rFonts w:asciiTheme="majorHAnsi" w:hAnsiTheme="majorHAnsi"/>
                <w:noProof/>
                <w:webHidden/>
                <w:color w:val="0070C0"/>
              </w:rPr>
              <w:tab/>
            </w:r>
            <w:r w:rsidR="0082288E" w:rsidRPr="0082288E">
              <w:rPr>
                <w:rFonts w:asciiTheme="majorHAnsi" w:hAnsiTheme="majorHAnsi"/>
                <w:noProof/>
                <w:webHidden/>
                <w:color w:val="0070C0"/>
              </w:rPr>
              <w:fldChar w:fldCharType="begin"/>
            </w:r>
            <w:r w:rsidR="0082288E" w:rsidRPr="0082288E">
              <w:rPr>
                <w:rFonts w:asciiTheme="majorHAnsi" w:hAnsiTheme="majorHAnsi"/>
                <w:noProof/>
                <w:webHidden/>
                <w:color w:val="0070C0"/>
              </w:rPr>
              <w:instrText xml:space="preserve"> PAGEREF _Toc416867100 \h </w:instrText>
            </w:r>
            <w:r w:rsidR="0082288E" w:rsidRPr="0082288E">
              <w:rPr>
                <w:rFonts w:asciiTheme="majorHAnsi" w:hAnsiTheme="majorHAnsi"/>
                <w:noProof/>
                <w:webHidden/>
                <w:color w:val="0070C0"/>
              </w:rPr>
            </w:r>
            <w:r w:rsidR="0082288E" w:rsidRPr="0082288E">
              <w:rPr>
                <w:rFonts w:asciiTheme="majorHAnsi" w:hAnsiTheme="majorHAnsi"/>
                <w:noProof/>
                <w:webHidden/>
                <w:color w:val="0070C0"/>
              </w:rPr>
              <w:fldChar w:fldCharType="separate"/>
            </w:r>
            <w:r w:rsidR="00F7609A">
              <w:rPr>
                <w:rFonts w:asciiTheme="majorHAnsi" w:hAnsiTheme="majorHAnsi"/>
                <w:noProof/>
                <w:webHidden/>
                <w:color w:val="0070C0"/>
              </w:rPr>
              <w:t>77</w:t>
            </w:r>
            <w:r w:rsidR="0082288E" w:rsidRPr="0082288E">
              <w:rPr>
                <w:rFonts w:asciiTheme="majorHAnsi" w:hAnsiTheme="majorHAnsi"/>
                <w:noProof/>
                <w:webHidden/>
                <w:color w:val="0070C0"/>
              </w:rPr>
              <w:fldChar w:fldCharType="end"/>
            </w:r>
          </w:hyperlink>
        </w:p>
        <w:p w14:paraId="08FD1BAE" w14:textId="77777777" w:rsidR="0082288E" w:rsidRPr="0082288E" w:rsidRDefault="005F20A5">
          <w:pPr>
            <w:pStyle w:val="TOC3"/>
            <w:tabs>
              <w:tab w:val="right" w:leader="dot" w:pos="10450"/>
            </w:tabs>
            <w:rPr>
              <w:rFonts w:asciiTheme="majorHAnsi" w:hAnsiTheme="majorHAnsi"/>
              <w:noProof/>
              <w:color w:val="0070C0"/>
              <w:sz w:val="22"/>
              <w:szCs w:val="22"/>
              <w:lang w:eastAsia="en-GB"/>
            </w:rPr>
          </w:pPr>
          <w:hyperlink w:anchor="_Toc416867101" w:history="1">
            <w:r w:rsidR="0082288E" w:rsidRPr="0082288E">
              <w:rPr>
                <w:rStyle w:val="Hyperlink"/>
                <w:rFonts w:asciiTheme="majorHAnsi" w:hAnsiTheme="majorHAnsi"/>
                <w:noProof/>
                <w:color w:val="0070C0"/>
                <w:spacing w:val="14"/>
              </w:rPr>
              <w:t>SCR 1325 AND UN MONITORING AND ACCOUNTABILITY PROCESSES</w:t>
            </w:r>
            <w:r w:rsidR="0082288E" w:rsidRPr="0082288E">
              <w:rPr>
                <w:rFonts w:asciiTheme="majorHAnsi" w:hAnsiTheme="majorHAnsi"/>
                <w:noProof/>
                <w:webHidden/>
                <w:color w:val="0070C0"/>
              </w:rPr>
              <w:tab/>
            </w:r>
            <w:r w:rsidR="0082288E" w:rsidRPr="0082288E">
              <w:rPr>
                <w:rFonts w:asciiTheme="majorHAnsi" w:hAnsiTheme="majorHAnsi"/>
                <w:noProof/>
                <w:webHidden/>
                <w:color w:val="0070C0"/>
              </w:rPr>
              <w:fldChar w:fldCharType="begin"/>
            </w:r>
            <w:r w:rsidR="0082288E" w:rsidRPr="0082288E">
              <w:rPr>
                <w:rFonts w:asciiTheme="majorHAnsi" w:hAnsiTheme="majorHAnsi"/>
                <w:noProof/>
                <w:webHidden/>
                <w:color w:val="0070C0"/>
              </w:rPr>
              <w:instrText xml:space="preserve"> PAGEREF _Toc416867101 \h </w:instrText>
            </w:r>
            <w:r w:rsidR="0082288E" w:rsidRPr="0082288E">
              <w:rPr>
                <w:rFonts w:asciiTheme="majorHAnsi" w:hAnsiTheme="majorHAnsi"/>
                <w:noProof/>
                <w:webHidden/>
                <w:color w:val="0070C0"/>
              </w:rPr>
            </w:r>
            <w:r w:rsidR="0082288E" w:rsidRPr="0082288E">
              <w:rPr>
                <w:rFonts w:asciiTheme="majorHAnsi" w:hAnsiTheme="majorHAnsi"/>
                <w:noProof/>
                <w:webHidden/>
                <w:color w:val="0070C0"/>
              </w:rPr>
              <w:fldChar w:fldCharType="separate"/>
            </w:r>
            <w:r w:rsidR="00F7609A">
              <w:rPr>
                <w:rFonts w:asciiTheme="majorHAnsi" w:hAnsiTheme="majorHAnsi"/>
                <w:noProof/>
                <w:webHidden/>
                <w:color w:val="0070C0"/>
              </w:rPr>
              <w:t>79</w:t>
            </w:r>
            <w:r w:rsidR="0082288E" w:rsidRPr="0082288E">
              <w:rPr>
                <w:rFonts w:asciiTheme="majorHAnsi" w:hAnsiTheme="majorHAnsi"/>
                <w:noProof/>
                <w:webHidden/>
                <w:color w:val="0070C0"/>
              </w:rPr>
              <w:fldChar w:fldCharType="end"/>
            </w:r>
          </w:hyperlink>
        </w:p>
        <w:p w14:paraId="711B8C2B" w14:textId="77777777" w:rsidR="0082288E" w:rsidRPr="0082288E" w:rsidRDefault="005F20A5">
          <w:pPr>
            <w:pStyle w:val="TOC3"/>
            <w:tabs>
              <w:tab w:val="right" w:leader="dot" w:pos="10450"/>
            </w:tabs>
            <w:rPr>
              <w:rFonts w:asciiTheme="majorHAnsi" w:hAnsiTheme="majorHAnsi"/>
              <w:noProof/>
              <w:color w:val="0070C0"/>
              <w:sz w:val="22"/>
              <w:szCs w:val="22"/>
              <w:lang w:eastAsia="en-GB"/>
            </w:rPr>
          </w:pPr>
          <w:hyperlink w:anchor="_Toc416867102" w:history="1">
            <w:r w:rsidR="0082288E" w:rsidRPr="0082288E">
              <w:rPr>
                <w:rStyle w:val="Hyperlink"/>
                <w:rFonts w:asciiTheme="majorHAnsi" w:hAnsiTheme="majorHAnsi"/>
                <w:noProof/>
                <w:color w:val="0070C0"/>
                <w:spacing w:val="14"/>
              </w:rPr>
              <w:t>SCR 1325 AND TRANSFORMATIVE REMEDIES FOR VICTIMS OF RIGHTS VIOLATIONS</w:t>
            </w:r>
            <w:r w:rsidR="0082288E" w:rsidRPr="0082288E">
              <w:rPr>
                <w:rFonts w:asciiTheme="majorHAnsi" w:hAnsiTheme="majorHAnsi"/>
                <w:noProof/>
                <w:webHidden/>
                <w:color w:val="0070C0"/>
              </w:rPr>
              <w:tab/>
            </w:r>
            <w:r w:rsidR="0082288E" w:rsidRPr="0082288E">
              <w:rPr>
                <w:rFonts w:asciiTheme="majorHAnsi" w:hAnsiTheme="majorHAnsi"/>
                <w:noProof/>
                <w:webHidden/>
                <w:color w:val="0070C0"/>
              </w:rPr>
              <w:fldChar w:fldCharType="begin"/>
            </w:r>
            <w:r w:rsidR="0082288E" w:rsidRPr="0082288E">
              <w:rPr>
                <w:rFonts w:asciiTheme="majorHAnsi" w:hAnsiTheme="majorHAnsi"/>
                <w:noProof/>
                <w:webHidden/>
                <w:color w:val="0070C0"/>
              </w:rPr>
              <w:instrText xml:space="preserve"> PAGEREF _Toc416867102 \h </w:instrText>
            </w:r>
            <w:r w:rsidR="0082288E" w:rsidRPr="0082288E">
              <w:rPr>
                <w:rFonts w:asciiTheme="majorHAnsi" w:hAnsiTheme="majorHAnsi"/>
                <w:noProof/>
                <w:webHidden/>
                <w:color w:val="0070C0"/>
              </w:rPr>
            </w:r>
            <w:r w:rsidR="0082288E" w:rsidRPr="0082288E">
              <w:rPr>
                <w:rFonts w:asciiTheme="majorHAnsi" w:hAnsiTheme="majorHAnsi"/>
                <w:noProof/>
                <w:webHidden/>
                <w:color w:val="0070C0"/>
              </w:rPr>
              <w:fldChar w:fldCharType="separate"/>
            </w:r>
            <w:r w:rsidR="00F7609A">
              <w:rPr>
                <w:rFonts w:asciiTheme="majorHAnsi" w:hAnsiTheme="majorHAnsi"/>
                <w:noProof/>
                <w:webHidden/>
                <w:color w:val="0070C0"/>
              </w:rPr>
              <w:t>84</w:t>
            </w:r>
            <w:r w:rsidR="0082288E" w:rsidRPr="0082288E">
              <w:rPr>
                <w:rFonts w:asciiTheme="majorHAnsi" w:hAnsiTheme="majorHAnsi"/>
                <w:noProof/>
                <w:webHidden/>
                <w:color w:val="0070C0"/>
              </w:rPr>
              <w:fldChar w:fldCharType="end"/>
            </w:r>
          </w:hyperlink>
        </w:p>
        <w:p w14:paraId="48DD4309" w14:textId="77777777" w:rsidR="0082288E" w:rsidRPr="0082288E" w:rsidRDefault="005F20A5">
          <w:pPr>
            <w:pStyle w:val="TOC3"/>
            <w:tabs>
              <w:tab w:val="right" w:leader="dot" w:pos="10450"/>
            </w:tabs>
            <w:rPr>
              <w:rFonts w:asciiTheme="majorHAnsi" w:hAnsiTheme="majorHAnsi"/>
              <w:b/>
              <w:noProof/>
              <w:sz w:val="22"/>
              <w:szCs w:val="22"/>
              <w:lang w:eastAsia="en-GB"/>
            </w:rPr>
          </w:pPr>
          <w:hyperlink w:anchor="_Toc416867103" w:history="1">
            <w:r w:rsidR="0082288E" w:rsidRPr="0082288E">
              <w:rPr>
                <w:rStyle w:val="Hyperlink"/>
                <w:rFonts w:asciiTheme="majorHAnsi" w:hAnsiTheme="majorHAnsi"/>
                <w:b/>
                <w:noProof/>
                <w:color w:val="0070C0"/>
                <w:spacing w:val="14"/>
              </w:rPr>
              <w:t>SECTION 3 CONCLUSIONS AND RECOMMENDATIONS</w:t>
            </w:r>
            <w:r w:rsidR="0082288E" w:rsidRPr="0082288E">
              <w:rPr>
                <w:rFonts w:asciiTheme="majorHAnsi" w:hAnsiTheme="majorHAnsi"/>
                <w:b/>
                <w:noProof/>
                <w:webHidden/>
                <w:color w:val="0070C0"/>
              </w:rPr>
              <w:tab/>
            </w:r>
            <w:r w:rsidR="0082288E" w:rsidRPr="0082288E">
              <w:rPr>
                <w:rFonts w:asciiTheme="majorHAnsi" w:hAnsiTheme="majorHAnsi"/>
                <w:b/>
                <w:noProof/>
                <w:webHidden/>
                <w:color w:val="0070C0"/>
              </w:rPr>
              <w:fldChar w:fldCharType="begin"/>
            </w:r>
            <w:r w:rsidR="0082288E" w:rsidRPr="0082288E">
              <w:rPr>
                <w:rFonts w:asciiTheme="majorHAnsi" w:hAnsiTheme="majorHAnsi"/>
                <w:b/>
                <w:noProof/>
                <w:webHidden/>
                <w:color w:val="0070C0"/>
              </w:rPr>
              <w:instrText xml:space="preserve"> PAGEREF _Toc416867103 \h </w:instrText>
            </w:r>
            <w:r w:rsidR="0082288E" w:rsidRPr="0082288E">
              <w:rPr>
                <w:rFonts w:asciiTheme="majorHAnsi" w:hAnsiTheme="majorHAnsi"/>
                <w:b/>
                <w:noProof/>
                <w:webHidden/>
                <w:color w:val="0070C0"/>
              </w:rPr>
            </w:r>
            <w:r w:rsidR="0082288E" w:rsidRPr="0082288E">
              <w:rPr>
                <w:rFonts w:asciiTheme="majorHAnsi" w:hAnsiTheme="majorHAnsi"/>
                <w:b/>
                <w:noProof/>
                <w:webHidden/>
                <w:color w:val="0070C0"/>
              </w:rPr>
              <w:fldChar w:fldCharType="separate"/>
            </w:r>
            <w:r w:rsidR="00F7609A">
              <w:rPr>
                <w:rFonts w:asciiTheme="majorHAnsi" w:hAnsiTheme="majorHAnsi"/>
                <w:b/>
                <w:noProof/>
                <w:webHidden/>
                <w:color w:val="0070C0"/>
              </w:rPr>
              <w:t>87</w:t>
            </w:r>
            <w:r w:rsidR="0082288E" w:rsidRPr="0082288E">
              <w:rPr>
                <w:rFonts w:asciiTheme="majorHAnsi" w:hAnsiTheme="majorHAnsi"/>
                <w:b/>
                <w:noProof/>
                <w:webHidden/>
                <w:color w:val="0070C0"/>
              </w:rPr>
              <w:fldChar w:fldCharType="end"/>
            </w:r>
          </w:hyperlink>
        </w:p>
        <w:p w14:paraId="150B0CA7" w14:textId="5DDFE3C4" w:rsidR="00471761" w:rsidRPr="00B107F5" w:rsidRDefault="00471761">
          <w:pPr>
            <w:rPr>
              <w:rFonts w:ascii="Calibri" w:hAnsi="Calibri"/>
              <w:color w:val="002060"/>
            </w:rPr>
          </w:pPr>
          <w:r w:rsidRPr="0082288E">
            <w:rPr>
              <w:rFonts w:asciiTheme="majorHAnsi" w:hAnsiTheme="majorHAnsi"/>
              <w:b/>
              <w:bCs/>
              <w:noProof/>
              <w:color w:val="002060"/>
            </w:rPr>
            <w:fldChar w:fldCharType="end"/>
          </w:r>
        </w:p>
      </w:sdtContent>
    </w:sdt>
    <w:p w14:paraId="6AE76050" w14:textId="38D5881C" w:rsidR="00B107F5" w:rsidRDefault="00B107F5">
      <w:pPr>
        <w:rPr>
          <w:rFonts w:asciiTheme="majorHAnsi" w:eastAsiaTheme="majorEastAsia" w:hAnsiTheme="majorHAnsi" w:cstheme="majorBidi"/>
          <w:bCs/>
          <w:color w:val="4F81BD" w:themeColor="accent1"/>
          <w:spacing w:val="20"/>
          <w:sz w:val="32"/>
          <w:szCs w:val="28"/>
        </w:rPr>
      </w:pPr>
      <w:r>
        <w:rPr>
          <w:b/>
          <w:color w:val="4F81BD" w:themeColor="accent1"/>
          <w:spacing w:val="20"/>
          <w:szCs w:val="28"/>
        </w:rPr>
        <w:br w:type="page"/>
      </w:r>
    </w:p>
    <w:p w14:paraId="7FB8911A" w14:textId="2B8D3451" w:rsidR="004E5EBC" w:rsidRPr="00BD4193" w:rsidRDefault="004E5EBC" w:rsidP="002837F4">
      <w:pPr>
        <w:pStyle w:val="Heading1"/>
        <w:keepLines/>
        <w:spacing w:before="360" w:after="0"/>
        <w:jc w:val="center"/>
        <w:rPr>
          <w:rFonts w:ascii="Calibri" w:hAnsi="Calibri" w:cs="Times New Roman"/>
          <w:sz w:val="28"/>
          <w:szCs w:val="28"/>
          <w:u w:val="single"/>
        </w:rPr>
      </w:pPr>
      <w:bookmarkStart w:id="1" w:name="_Toc416867080"/>
      <w:r w:rsidRPr="00BD4193">
        <w:rPr>
          <w:color w:val="4F81BD" w:themeColor="accent1"/>
          <w:spacing w:val="20"/>
          <w:kern w:val="0"/>
          <w:szCs w:val="28"/>
          <w:lang w:val="en-GB"/>
        </w:rPr>
        <w:lastRenderedPageBreak/>
        <w:t>EXECUTIVE SUMMARY AND KEY RECOMMENDATIONS</w:t>
      </w:r>
      <w:bookmarkEnd w:id="1"/>
    </w:p>
    <w:p w14:paraId="66A37C78" w14:textId="77777777" w:rsidR="004E5EBC" w:rsidRDefault="004E5EBC" w:rsidP="004E5EBC">
      <w:pPr>
        <w:pStyle w:val="ListParagraph"/>
        <w:ind w:left="0"/>
        <w:jc w:val="center"/>
        <w:rPr>
          <w:rFonts w:ascii="Calibri" w:hAnsi="Calibri" w:cs="Times New Roman"/>
          <w:b/>
          <w:sz w:val="28"/>
          <w:szCs w:val="28"/>
          <w:u w:val="single"/>
        </w:rPr>
      </w:pPr>
    </w:p>
    <w:p w14:paraId="5D9D94F5" w14:textId="69761997" w:rsidR="00B2494C" w:rsidRDefault="004E5EBC" w:rsidP="002837F4">
      <w:pPr>
        <w:pStyle w:val="ListParagraph"/>
        <w:spacing w:line="360" w:lineRule="auto"/>
        <w:ind w:left="0"/>
        <w:jc w:val="both"/>
        <w:rPr>
          <w:rFonts w:ascii="Calibri" w:hAnsi="Calibri" w:cs="Times New Roman"/>
        </w:rPr>
      </w:pPr>
      <w:r>
        <w:rPr>
          <w:rFonts w:ascii="Calibri" w:hAnsi="Calibri" w:cs="Times New Roman"/>
        </w:rPr>
        <w:t xml:space="preserve">This submission makes the normative case </w:t>
      </w:r>
      <w:r w:rsidR="00143162">
        <w:rPr>
          <w:rFonts w:ascii="Calibri" w:hAnsi="Calibri" w:cs="Times New Roman"/>
        </w:rPr>
        <w:t>for understanding</w:t>
      </w:r>
      <w:r w:rsidR="0085002D">
        <w:rPr>
          <w:rFonts w:ascii="Calibri" w:hAnsi="Calibri" w:cs="Times New Roman"/>
        </w:rPr>
        <w:t xml:space="preserve"> </w:t>
      </w:r>
      <w:r>
        <w:rPr>
          <w:rFonts w:ascii="Calibri" w:hAnsi="Calibri" w:cs="Times New Roman"/>
        </w:rPr>
        <w:t xml:space="preserve">Security Council Resolution 1325 (SCR 1325) and related resolutions on women, peace and security (WPS) as </w:t>
      </w:r>
      <w:r w:rsidR="00293648">
        <w:rPr>
          <w:rFonts w:ascii="Calibri" w:hAnsi="Calibri" w:cs="Times New Roman"/>
        </w:rPr>
        <w:t xml:space="preserve">an integrated </w:t>
      </w:r>
      <w:r>
        <w:rPr>
          <w:rFonts w:ascii="Calibri" w:hAnsi="Calibri" w:cs="Times New Roman"/>
        </w:rPr>
        <w:t>part of an established and growing framework of international and regional law that upholds the rights of women and girls</w:t>
      </w:r>
      <w:r w:rsidR="004A7A4C">
        <w:rPr>
          <w:rStyle w:val="FootnoteReference"/>
          <w:rFonts w:ascii="Calibri" w:hAnsi="Calibri" w:cs="Times New Roman"/>
        </w:rPr>
        <w:footnoteReference w:id="1"/>
      </w:r>
      <w:r w:rsidR="00143162">
        <w:rPr>
          <w:rFonts w:ascii="Calibri" w:hAnsi="Calibri" w:cs="Times New Roman"/>
        </w:rPr>
        <w:t xml:space="preserve"> in relation to conflict</w:t>
      </w:r>
      <w:r>
        <w:rPr>
          <w:rFonts w:ascii="Calibri" w:hAnsi="Calibri" w:cs="Times New Roman"/>
        </w:rPr>
        <w:t xml:space="preserve"> (the</w:t>
      </w:r>
      <w:r w:rsidR="00B1672D">
        <w:rPr>
          <w:rFonts w:ascii="Calibri" w:hAnsi="Calibri" w:cs="Times New Roman"/>
        </w:rPr>
        <w:t xml:space="preserve"> legal</w:t>
      </w:r>
      <w:r>
        <w:rPr>
          <w:rFonts w:ascii="Calibri" w:hAnsi="Calibri" w:cs="Times New Roman"/>
        </w:rPr>
        <w:t xml:space="preserve"> framework).</w:t>
      </w:r>
      <w:r>
        <w:rPr>
          <w:rStyle w:val="FootnoteReference"/>
          <w:rFonts w:ascii="Calibri" w:hAnsi="Calibri" w:cs="Times New Roman"/>
        </w:rPr>
        <w:footnoteReference w:id="2"/>
      </w:r>
      <w:r>
        <w:rPr>
          <w:rFonts w:ascii="Calibri" w:hAnsi="Calibri" w:cs="Times New Roman"/>
        </w:rPr>
        <w:t xml:space="preserve"> Th</w:t>
      </w:r>
      <w:r w:rsidR="00143162">
        <w:rPr>
          <w:rFonts w:ascii="Calibri" w:hAnsi="Calibri" w:cs="Times New Roman"/>
        </w:rPr>
        <w:t>is</w:t>
      </w:r>
      <w:r>
        <w:rPr>
          <w:rFonts w:ascii="Calibri" w:hAnsi="Calibri" w:cs="Times New Roman"/>
        </w:rPr>
        <w:t xml:space="preserve"> </w:t>
      </w:r>
      <w:r w:rsidR="001522DF">
        <w:rPr>
          <w:rFonts w:ascii="Calibri" w:hAnsi="Calibri" w:cs="Times New Roman"/>
        </w:rPr>
        <w:t xml:space="preserve">legal </w:t>
      </w:r>
      <w:r>
        <w:rPr>
          <w:rFonts w:ascii="Calibri" w:hAnsi="Calibri" w:cs="Times New Roman"/>
        </w:rPr>
        <w:t xml:space="preserve">framework </w:t>
      </w:r>
      <w:r w:rsidR="0085002D">
        <w:rPr>
          <w:rFonts w:ascii="Calibri" w:hAnsi="Calibri" w:cs="Times New Roman"/>
        </w:rPr>
        <w:t>is grounded in</w:t>
      </w:r>
      <w:r>
        <w:rPr>
          <w:rFonts w:ascii="Calibri" w:hAnsi="Calibri" w:cs="Times New Roman"/>
        </w:rPr>
        <w:t xml:space="preserve"> international and regional human rights law, </w:t>
      </w:r>
      <w:r w:rsidR="0085002D">
        <w:rPr>
          <w:rFonts w:ascii="Calibri" w:hAnsi="Calibri" w:cs="Times New Roman"/>
        </w:rPr>
        <w:t xml:space="preserve">international humanitarian law </w:t>
      </w:r>
      <w:r w:rsidR="002F55AB">
        <w:rPr>
          <w:rFonts w:ascii="Calibri" w:hAnsi="Calibri" w:cs="Times New Roman"/>
        </w:rPr>
        <w:t>(IHL)</w:t>
      </w:r>
      <w:r>
        <w:rPr>
          <w:rFonts w:ascii="Calibri" w:hAnsi="Calibri" w:cs="Times New Roman"/>
        </w:rPr>
        <w:t xml:space="preserve"> international criminal law and international refugee law.</w:t>
      </w:r>
      <w:r>
        <w:rPr>
          <w:rStyle w:val="FootnoteReference"/>
          <w:rFonts w:ascii="Calibri" w:hAnsi="Calibri" w:cs="Times New Roman"/>
        </w:rPr>
        <w:footnoteReference w:id="3"/>
      </w:r>
      <w:r>
        <w:rPr>
          <w:rFonts w:ascii="Calibri" w:hAnsi="Calibri" w:cs="Times New Roman"/>
        </w:rPr>
        <w:t xml:space="preserve"> </w:t>
      </w:r>
      <w:r w:rsidR="00143162">
        <w:rPr>
          <w:rFonts w:ascii="Calibri" w:hAnsi="Calibri" w:cs="Times New Roman"/>
        </w:rPr>
        <w:t>These sources of law are</w:t>
      </w:r>
      <w:r>
        <w:rPr>
          <w:rFonts w:ascii="Calibri" w:hAnsi="Calibri" w:cs="Times New Roman"/>
        </w:rPr>
        <w:t xml:space="preserve"> reflected in the commitments in the Security Council resolutions on </w:t>
      </w:r>
      <w:r w:rsidR="004A7A4C">
        <w:rPr>
          <w:rFonts w:ascii="Calibri" w:hAnsi="Calibri" w:cs="Times New Roman"/>
        </w:rPr>
        <w:t>women, peace and security (</w:t>
      </w:r>
      <w:r w:rsidR="00AC36D1">
        <w:rPr>
          <w:rFonts w:ascii="Calibri" w:hAnsi="Calibri" w:cs="Times New Roman"/>
        </w:rPr>
        <w:t>WPS</w:t>
      </w:r>
      <w:r w:rsidR="004A7A4C">
        <w:rPr>
          <w:rFonts w:ascii="Calibri" w:hAnsi="Calibri" w:cs="Times New Roman"/>
        </w:rPr>
        <w:t>)</w:t>
      </w:r>
      <w:r w:rsidR="00293648">
        <w:rPr>
          <w:rFonts w:ascii="Calibri" w:hAnsi="Calibri" w:cs="Times New Roman"/>
        </w:rPr>
        <w:t xml:space="preserve"> </w:t>
      </w:r>
      <w:r>
        <w:rPr>
          <w:rFonts w:ascii="Calibri" w:hAnsi="Calibri" w:cs="Times New Roman"/>
        </w:rPr>
        <w:t xml:space="preserve">to uphold </w:t>
      </w:r>
      <w:r w:rsidR="0085002D">
        <w:rPr>
          <w:rFonts w:ascii="Calibri" w:hAnsi="Calibri" w:cs="Times New Roman"/>
        </w:rPr>
        <w:t xml:space="preserve">the rights of women and girls, and men and boys, </w:t>
      </w:r>
      <w:r>
        <w:rPr>
          <w:rFonts w:ascii="Calibri" w:hAnsi="Calibri" w:cs="Times New Roman"/>
        </w:rPr>
        <w:t>in</w:t>
      </w:r>
      <w:r w:rsidR="0085002D">
        <w:rPr>
          <w:rFonts w:ascii="Calibri" w:hAnsi="Calibri" w:cs="Times New Roman"/>
        </w:rPr>
        <w:t xml:space="preserve"> relation to</w:t>
      </w:r>
      <w:r>
        <w:rPr>
          <w:rFonts w:ascii="Calibri" w:hAnsi="Calibri" w:cs="Times New Roman"/>
        </w:rPr>
        <w:t xml:space="preserve"> conflict. The </w:t>
      </w:r>
      <w:r w:rsidR="001522DF">
        <w:rPr>
          <w:rFonts w:ascii="Calibri" w:hAnsi="Calibri" w:cs="Times New Roman"/>
        </w:rPr>
        <w:t xml:space="preserve">legal </w:t>
      </w:r>
      <w:r>
        <w:rPr>
          <w:rFonts w:ascii="Calibri" w:hAnsi="Calibri" w:cs="Times New Roman"/>
        </w:rPr>
        <w:t xml:space="preserve">framework places binding obligations on </w:t>
      </w:r>
      <w:r w:rsidR="000F7431">
        <w:rPr>
          <w:rFonts w:ascii="Calibri" w:hAnsi="Calibri" w:cs="Times New Roman"/>
        </w:rPr>
        <w:t>states, non-state actors, the United Nations (UN)</w:t>
      </w:r>
      <w:r>
        <w:rPr>
          <w:rFonts w:ascii="Calibri" w:hAnsi="Calibri" w:cs="Times New Roman"/>
        </w:rPr>
        <w:t xml:space="preserve"> and other organizations</w:t>
      </w:r>
      <w:r w:rsidR="004A7A4C">
        <w:rPr>
          <w:rFonts w:ascii="Calibri" w:hAnsi="Calibri" w:cs="Times New Roman"/>
        </w:rPr>
        <w:t>, and</w:t>
      </w:r>
      <w:r w:rsidR="0085002D">
        <w:rPr>
          <w:rFonts w:ascii="Calibri" w:hAnsi="Calibri" w:cs="Times New Roman"/>
        </w:rPr>
        <w:t xml:space="preserve"> is </w:t>
      </w:r>
      <w:r>
        <w:rPr>
          <w:rFonts w:ascii="Calibri" w:hAnsi="Calibri" w:cs="Times New Roman"/>
        </w:rPr>
        <w:t xml:space="preserve">sourced from treaties and customary international law. </w:t>
      </w:r>
      <w:r w:rsidR="00AC36D1">
        <w:rPr>
          <w:rFonts w:ascii="Calibri" w:hAnsi="Calibri" w:cs="Times New Roman"/>
        </w:rPr>
        <w:t>S</w:t>
      </w:r>
      <w:r>
        <w:rPr>
          <w:rFonts w:ascii="Calibri" w:hAnsi="Calibri" w:cs="Times New Roman"/>
        </w:rPr>
        <w:t>ituating SCR 1325</w:t>
      </w:r>
      <w:r w:rsidR="0085002D">
        <w:rPr>
          <w:rFonts w:ascii="Calibri" w:hAnsi="Calibri" w:cs="Times New Roman"/>
        </w:rPr>
        <w:t xml:space="preserve"> and </w:t>
      </w:r>
      <w:r w:rsidR="004A7A4C">
        <w:rPr>
          <w:rFonts w:ascii="Calibri" w:hAnsi="Calibri" w:cs="Times New Roman"/>
        </w:rPr>
        <w:t>its following resolutions on WPS</w:t>
      </w:r>
      <w:r>
        <w:rPr>
          <w:rFonts w:ascii="Calibri" w:hAnsi="Calibri" w:cs="Times New Roman"/>
        </w:rPr>
        <w:t xml:space="preserve"> as part of this</w:t>
      </w:r>
      <w:r w:rsidR="001522DF">
        <w:rPr>
          <w:rFonts w:ascii="Calibri" w:hAnsi="Calibri" w:cs="Times New Roman"/>
        </w:rPr>
        <w:t xml:space="preserve"> legal</w:t>
      </w:r>
      <w:r>
        <w:rPr>
          <w:rFonts w:ascii="Calibri" w:hAnsi="Calibri" w:cs="Times New Roman"/>
        </w:rPr>
        <w:t xml:space="preserve"> framework, rather than seeing </w:t>
      </w:r>
      <w:r w:rsidR="0085002D">
        <w:rPr>
          <w:rFonts w:ascii="Calibri" w:hAnsi="Calibri" w:cs="Times New Roman"/>
        </w:rPr>
        <w:t>them as</w:t>
      </w:r>
      <w:r>
        <w:rPr>
          <w:rFonts w:ascii="Calibri" w:hAnsi="Calibri" w:cs="Times New Roman"/>
        </w:rPr>
        <w:t xml:space="preserve"> isolated </w:t>
      </w:r>
      <w:r w:rsidR="0085002D">
        <w:rPr>
          <w:rFonts w:ascii="Calibri" w:hAnsi="Calibri" w:cs="Times New Roman"/>
        </w:rPr>
        <w:t xml:space="preserve">political statements, allows them to be </w:t>
      </w:r>
      <w:r w:rsidR="006467AF">
        <w:rPr>
          <w:rFonts w:ascii="Calibri" w:hAnsi="Calibri" w:cs="Times New Roman"/>
        </w:rPr>
        <w:t xml:space="preserve">understood </w:t>
      </w:r>
      <w:r w:rsidR="00143162">
        <w:rPr>
          <w:rFonts w:ascii="Calibri" w:hAnsi="Calibri" w:cs="Times New Roman"/>
        </w:rPr>
        <w:t>a part of a body of obligations that</w:t>
      </w:r>
      <w:r w:rsidR="0085002D">
        <w:rPr>
          <w:rFonts w:ascii="Calibri" w:hAnsi="Calibri" w:cs="Times New Roman"/>
        </w:rPr>
        <w:t xml:space="preserve"> </w:t>
      </w:r>
      <w:r w:rsidR="00143162">
        <w:rPr>
          <w:rFonts w:ascii="Calibri" w:hAnsi="Calibri" w:cs="Times New Roman"/>
        </w:rPr>
        <w:t>uphold</w:t>
      </w:r>
      <w:r>
        <w:rPr>
          <w:rFonts w:ascii="Calibri" w:hAnsi="Calibri" w:cs="Times New Roman"/>
        </w:rPr>
        <w:t xml:space="preserve"> </w:t>
      </w:r>
      <w:r w:rsidR="0085002D">
        <w:rPr>
          <w:rFonts w:ascii="Calibri" w:hAnsi="Calibri" w:cs="Times New Roman"/>
        </w:rPr>
        <w:t>human rights</w:t>
      </w:r>
      <w:r w:rsidR="006467AF">
        <w:rPr>
          <w:rFonts w:ascii="Calibri" w:hAnsi="Calibri" w:cs="Times New Roman"/>
        </w:rPr>
        <w:t xml:space="preserve"> </w:t>
      </w:r>
      <w:r w:rsidR="00AC36D1">
        <w:rPr>
          <w:rFonts w:ascii="Calibri" w:hAnsi="Calibri" w:cs="Times New Roman"/>
        </w:rPr>
        <w:t xml:space="preserve">at all stages of </w:t>
      </w:r>
      <w:r w:rsidR="004A7A4C">
        <w:rPr>
          <w:rFonts w:ascii="Calibri" w:hAnsi="Calibri" w:cs="Times New Roman"/>
        </w:rPr>
        <w:t>conflict</w:t>
      </w:r>
      <w:r>
        <w:rPr>
          <w:rFonts w:ascii="Calibri" w:hAnsi="Calibri" w:cs="Times New Roman"/>
        </w:rPr>
        <w:t>, from prevention to resolution to transition</w:t>
      </w:r>
      <w:r w:rsidR="00143162">
        <w:rPr>
          <w:rFonts w:ascii="Calibri" w:hAnsi="Calibri" w:cs="Times New Roman"/>
        </w:rPr>
        <w:t>s</w:t>
      </w:r>
      <w:r w:rsidR="00AC36D1">
        <w:rPr>
          <w:rFonts w:ascii="Calibri" w:hAnsi="Calibri" w:cs="Times New Roman"/>
        </w:rPr>
        <w:t xml:space="preserve"> to</w:t>
      </w:r>
      <w:r w:rsidR="004A7A4C">
        <w:rPr>
          <w:rFonts w:ascii="Calibri" w:hAnsi="Calibri" w:cs="Times New Roman"/>
        </w:rPr>
        <w:t>wards</w:t>
      </w:r>
      <w:r>
        <w:rPr>
          <w:rFonts w:ascii="Calibri" w:hAnsi="Calibri" w:cs="Times New Roman"/>
        </w:rPr>
        <w:t xml:space="preserve"> peace. </w:t>
      </w:r>
    </w:p>
    <w:p w14:paraId="1D829200" w14:textId="77777777" w:rsidR="00B2494C" w:rsidRDefault="00B2494C" w:rsidP="00AE75D5">
      <w:pPr>
        <w:pStyle w:val="ListParagraph"/>
        <w:ind w:left="0"/>
        <w:jc w:val="both"/>
        <w:rPr>
          <w:rFonts w:ascii="Calibri" w:hAnsi="Calibri" w:cs="Times New Roman"/>
        </w:rPr>
      </w:pPr>
    </w:p>
    <w:p w14:paraId="66CC76B6" w14:textId="02D11D5B" w:rsidR="004E5EBC" w:rsidRDefault="004E5EBC" w:rsidP="002837F4">
      <w:pPr>
        <w:pStyle w:val="ListParagraph"/>
        <w:spacing w:line="360" w:lineRule="auto"/>
        <w:ind w:left="0"/>
        <w:jc w:val="both"/>
        <w:rPr>
          <w:rFonts w:ascii="Calibri" w:hAnsi="Calibri" w:cs="Times New Roman"/>
        </w:rPr>
      </w:pPr>
      <w:r>
        <w:rPr>
          <w:rFonts w:ascii="Calibri" w:hAnsi="Calibri" w:cs="Times New Roman"/>
        </w:rPr>
        <w:t xml:space="preserve">This submission makes the following </w:t>
      </w:r>
      <w:r w:rsidR="00C113BA">
        <w:rPr>
          <w:rFonts w:ascii="Calibri" w:hAnsi="Calibri" w:cs="Times New Roman"/>
        </w:rPr>
        <w:t xml:space="preserve">five </w:t>
      </w:r>
      <w:r>
        <w:rPr>
          <w:rFonts w:ascii="Calibri" w:hAnsi="Calibri" w:cs="Times New Roman"/>
        </w:rPr>
        <w:t xml:space="preserve">recommendations: </w:t>
      </w:r>
    </w:p>
    <w:p w14:paraId="4CF31D33" w14:textId="77777777" w:rsidR="004E5EBC" w:rsidRDefault="004E5EBC" w:rsidP="004E5EBC">
      <w:pPr>
        <w:pStyle w:val="ListParagraph"/>
        <w:ind w:left="0"/>
        <w:jc w:val="both"/>
        <w:rPr>
          <w:rFonts w:ascii="Calibri" w:hAnsi="Calibri" w:cs="Times New Roman"/>
        </w:rPr>
      </w:pPr>
    </w:p>
    <w:p w14:paraId="19CF4D8F" w14:textId="2CE222B4" w:rsidR="00520942" w:rsidRPr="002837F4" w:rsidRDefault="00204652" w:rsidP="002837F4">
      <w:pPr>
        <w:pStyle w:val="ListParagraph"/>
        <w:spacing w:after="180"/>
        <w:ind w:left="0"/>
        <w:jc w:val="both"/>
        <w:rPr>
          <w:rFonts w:ascii="Calibri" w:eastAsiaTheme="minorHAnsi" w:hAnsi="Calibri" w:cs="Times New Roman"/>
          <w:b/>
          <w:color w:val="1F497D" w:themeColor="text2"/>
          <w:u w:val="single"/>
        </w:rPr>
      </w:pPr>
      <w:r w:rsidRPr="002837F4">
        <w:rPr>
          <w:rFonts w:ascii="Calibri" w:eastAsiaTheme="minorHAnsi" w:hAnsi="Calibri" w:cs="Times New Roman"/>
          <w:b/>
          <w:color w:val="1F497D" w:themeColor="text2"/>
          <w:u w:val="single"/>
        </w:rPr>
        <w:t>Recommendation</w:t>
      </w:r>
      <w:r w:rsidR="004E5EBC" w:rsidRPr="002837F4">
        <w:rPr>
          <w:rFonts w:ascii="Calibri" w:eastAsiaTheme="minorHAnsi" w:hAnsi="Calibri" w:cs="Times New Roman"/>
          <w:b/>
          <w:color w:val="1F497D" w:themeColor="text2"/>
          <w:u w:val="single"/>
        </w:rPr>
        <w:t xml:space="preserve"> 1: </w:t>
      </w:r>
      <w:r w:rsidR="00A91F3E" w:rsidRPr="002837F4">
        <w:rPr>
          <w:rFonts w:ascii="Calibri" w:eastAsiaTheme="minorHAnsi" w:hAnsi="Calibri" w:cs="Times New Roman"/>
          <w:b/>
          <w:color w:val="1F497D" w:themeColor="text2"/>
          <w:u w:val="single"/>
        </w:rPr>
        <w:t xml:space="preserve">Understand </w:t>
      </w:r>
      <w:r w:rsidR="004E5EBC" w:rsidRPr="002837F4">
        <w:rPr>
          <w:rFonts w:ascii="Calibri" w:eastAsiaTheme="minorHAnsi" w:hAnsi="Calibri" w:cs="Times New Roman"/>
          <w:b/>
          <w:color w:val="1F497D" w:themeColor="text2"/>
          <w:u w:val="single"/>
        </w:rPr>
        <w:t xml:space="preserve">the obligations in SCR 1325 </w:t>
      </w:r>
      <w:r w:rsidRPr="002837F4">
        <w:rPr>
          <w:rFonts w:ascii="Calibri" w:eastAsiaTheme="minorHAnsi" w:hAnsi="Calibri" w:cs="Times New Roman"/>
          <w:b/>
          <w:color w:val="1F497D" w:themeColor="text2"/>
          <w:u w:val="single"/>
        </w:rPr>
        <w:t>as an integrated part of the legal framewo</w:t>
      </w:r>
      <w:r w:rsidR="00680EA2">
        <w:rPr>
          <w:rFonts w:ascii="Calibri" w:eastAsiaTheme="minorHAnsi" w:hAnsi="Calibri" w:cs="Times New Roman"/>
          <w:b/>
          <w:color w:val="1F497D" w:themeColor="text2"/>
          <w:u w:val="single"/>
        </w:rPr>
        <w:t>rk on women, peace and security</w:t>
      </w:r>
      <w:r w:rsidR="00DC5DE2" w:rsidRPr="002837F4">
        <w:rPr>
          <w:rFonts w:ascii="Calibri" w:eastAsiaTheme="minorHAnsi" w:hAnsi="Calibri" w:cs="Times New Roman"/>
          <w:b/>
          <w:color w:val="1F497D" w:themeColor="text2"/>
          <w:u w:val="single"/>
        </w:rPr>
        <w:t xml:space="preserve"> (</w:t>
      </w:r>
      <w:r w:rsidR="00327141">
        <w:rPr>
          <w:rFonts w:ascii="Calibri" w:eastAsiaTheme="minorHAnsi" w:hAnsi="Calibri" w:cs="Times New Roman"/>
          <w:b/>
          <w:color w:val="1F497D" w:themeColor="text2"/>
          <w:u w:val="single"/>
        </w:rPr>
        <w:t xml:space="preserve">the </w:t>
      </w:r>
      <w:r w:rsidR="00DC0E2B" w:rsidRPr="002837F4">
        <w:rPr>
          <w:rFonts w:ascii="Calibri" w:eastAsiaTheme="minorHAnsi" w:hAnsi="Calibri" w:cs="Times New Roman"/>
          <w:b/>
          <w:color w:val="1F497D" w:themeColor="text2"/>
          <w:u w:val="single"/>
        </w:rPr>
        <w:t>legal framework)</w:t>
      </w:r>
    </w:p>
    <w:p w14:paraId="40DF297C" w14:textId="77777777" w:rsidR="00520942" w:rsidRPr="00A45CD5" w:rsidRDefault="00520942" w:rsidP="002837F4">
      <w:pPr>
        <w:pStyle w:val="ListParagraph"/>
        <w:spacing w:after="180"/>
        <w:ind w:left="0"/>
        <w:jc w:val="both"/>
        <w:rPr>
          <w:rFonts w:ascii="Calibri" w:hAnsi="Calibri" w:cs="Times New Roman"/>
        </w:rPr>
      </w:pPr>
      <w:r>
        <w:rPr>
          <w:rFonts w:ascii="Calibri" w:hAnsi="Calibri" w:cs="Times New Roman"/>
        </w:rPr>
        <w:tab/>
      </w:r>
    </w:p>
    <w:p w14:paraId="543A64DA" w14:textId="1E2BDBA0" w:rsidR="00B2494C" w:rsidRDefault="00520942" w:rsidP="002837F4">
      <w:pPr>
        <w:spacing w:line="360" w:lineRule="auto"/>
        <w:jc w:val="both"/>
        <w:rPr>
          <w:rFonts w:ascii="Calibri" w:hAnsi="Calibri" w:cs="Times New Roman"/>
        </w:rPr>
      </w:pPr>
      <w:r w:rsidRPr="00520942">
        <w:rPr>
          <w:rFonts w:ascii="Calibri" w:hAnsi="Calibri" w:cs="Times New Roman"/>
        </w:rPr>
        <w:t xml:space="preserve">SCR 1325 and subsequent Security Council resolutions on </w:t>
      </w:r>
      <w:r w:rsidR="00A82B7A">
        <w:rPr>
          <w:rFonts w:ascii="Calibri" w:hAnsi="Calibri" w:cs="Times New Roman"/>
        </w:rPr>
        <w:t>WPS</w:t>
      </w:r>
      <w:r w:rsidRPr="00520942">
        <w:rPr>
          <w:rFonts w:ascii="Calibri" w:hAnsi="Calibri" w:cs="Times New Roman"/>
        </w:rPr>
        <w:t xml:space="preserve"> should be understood in light of the </w:t>
      </w:r>
      <w:r w:rsidR="00A82B7A">
        <w:rPr>
          <w:rFonts w:ascii="Calibri" w:hAnsi="Calibri" w:cs="Times New Roman"/>
        </w:rPr>
        <w:t>binding obligations and commitments</w:t>
      </w:r>
      <w:r w:rsidRPr="00520942">
        <w:rPr>
          <w:rFonts w:ascii="Calibri" w:hAnsi="Calibri" w:cs="Times New Roman"/>
        </w:rPr>
        <w:t xml:space="preserve"> reflected in their contents. This understanding of the Resolutions should integrate both the Security Council’s political commitment</w:t>
      </w:r>
      <w:r w:rsidR="00DC0E2B">
        <w:rPr>
          <w:rFonts w:ascii="Calibri" w:hAnsi="Calibri" w:cs="Times New Roman"/>
        </w:rPr>
        <w:t xml:space="preserve"> to</w:t>
      </w:r>
      <w:r w:rsidRPr="00520942">
        <w:rPr>
          <w:rFonts w:ascii="Calibri" w:hAnsi="Calibri" w:cs="Times New Roman"/>
        </w:rPr>
        <w:t xml:space="preserve"> </w:t>
      </w:r>
      <w:r w:rsidR="004112D1">
        <w:rPr>
          <w:rFonts w:ascii="Calibri" w:hAnsi="Calibri" w:cs="Times New Roman"/>
        </w:rPr>
        <w:t>act</w:t>
      </w:r>
      <w:r w:rsidRPr="00520942">
        <w:rPr>
          <w:rFonts w:ascii="Calibri" w:hAnsi="Calibri" w:cs="Times New Roman"/>
        </w:rPr>
        <w:t xml:space="preserve"> on women’s rights in conflict, and obligations from the legal framework. The key elements of the legal framework that uphold </w:t>
      </w:r>
      <w:r w:rsidR="004112D1">
        <w:rPr>
          <w:rFonts w:ascii="Calibri" w:hAnsi="Calibri" w:cs="Times New Roman"/>
        </w:rPr>
        <w:t>commitments</w:t>
      </w:r>
      <w:r w:rsidRPr="00520942">
        <w:rPr>
          <w:rFonts w:ascii="Calibri" w:hAnsi="Calibri" w:cs="Times New Roman"/>
        </w:rPr>
        <w:t xml:space="preserve"> </w:t>
      </w:r>
      <w:r w:rsidR="00F54A43">
        <w:rPr>
          <w:rFonts w:ascii="Calibri" w:hAnsi="Calibri" w:cs="Times New Roman"/>
        </w:rPr>
        <w:t>held by</w:t>
      </w:r>
      <w:r w:rsidRPr="00520942">
        <w:rPr>
          <w:rFonts w:ascii="Calibri" w:hAnsi="Calibri" w:cs="Times New Roman"/>
        </w:rPr>
        <w:t xml:space="preserve"> all parties involved in conflicts include:</w:t>
      </w:r>
      <w:r w:rsidR="00DC0E2B" w:rsidRPr="00DC0E2B">
        <w:rPr>
          <w:rStyle w:val="FootnoteReference"/>
          <w:rFonts w:ascii="Calibri" w:hAnsi="Calibri" w:cs="Times New Roman"/>
        </w:rPr>
        <w:t xml:space="preserve"> </w:t>
      </w:r>
      <w:r w:rsidR="00DC0E2B">
        <w:rPr>
          <w:rStyle w:val="FootnoteReference"/>
          <w:rFonts w:ascii="Calibri" w:hAnsi="Calibri" w:cs="Times New Roman"/>
        </w:rPr>
        <w:footnoteReference w:id="4"/>
      </w:r>
      <w:r w:rsidR="00DC0E2B" w:rsidRPr="00B2494C">
        <w:rPr>
          <w:rFonts w:ascii="Calibri" w:hAnsi="Calibri" w:cs="Times New Roman"/>
        </w:rPr>
        <w:t xml:space="preserve"> </w:t>
      </w:r>
      <w:r w:rsidRPr="00520942">
        <w:rPr>
          <w:rFonts w:ascii="Calibri" w:hAnsi="Calibri" w:cs="Times New Roman"/>
        </w:rPr>
        <w:t xml:space="preserve"> </w:t>
      </w:r>
    </w:p>
    <w:p w14:paraId="14BE9E88" w14:textId="77777777" w:rsidR="00B2494C" w:rsidRDefault="00B2494C" w:rsidP="00520942">
      <w:pPr>
        <w:jc w:val="both"/>
        <w:rPr>
          <w:rFonts w:ascii="Calibri" w:hAnsi="Calibri" w:cs="Times New Roman"/>
        </w:rPr>
      </w:pPr>
    </w:p>
    <w:p w14:paraId="476EB517" w14:textId="1A8F5328" w:rsidR="00B2494C" w:rsidRDefault="00DC0E2B" w:rsidP="00CF4DA2">
      <w:pPr>
        <w:pStyle w:val="ListParagraph"/>
        <w:numPr>
          <w:ilvl w:val="0"/>
          <w:numId w:val="38"/>
        </w:numPr>
        <w:spacing w:line="360" w:lineRule="auto"/>
        <w:jc w:val="both"/>
        <w:rPr>
          <w:rFonts w:ascii="Calibri" w:hAnsi="Calibri" w:cs="Times New Roman"/>
        </w:rPr>
      </w:pPr>
      <w:r>
        <w:rPr>
          <w:rFonts w:ascii="Calibri" w:hAnsi="Calibri" w:cs="Times New Roman"/>
        </w:rPr>
        <w:t>T</w:t>
      </w:r>
      <w:r w:rsidR="004E5EBC" w:rsidRPr="00B2494C">
        <w:rPr>
          <w:rFonts w:ascii="Calibri" w:hAnsi="Calibri" w:cs="Times New Roman"/>
        </w:rPr>
        <w:t>he Convention on the Elimination of all Forms of Discr</w:t>
      </w:r>
      <w:r w:rsidR="00B2494C">
        <w:rPr>
          <w:rFonts w:ascii="Calibri" w:hAnsi="Calibri" w:cs="Times New Roman"/>
        </w:rPr>
        <w:t>imination against Women (CEDAW);</w:t>
      </w:r>
    </w:p>
    <w:p w14:paraId="37D228F7" w14:textId="06AEF8AA" w:rsidR="00B2494C" w:rsidRDefault="00143162" w:rsidP="00CF4DA2">
      <w:pPr>
        <w:pStyle w:val="ListParagraph"/>
        <w:numPr>
          <w:ilvl w:val="0"/>
          <w:numId w:val="38"/>
        </w:numPr>
        <w:spacing w:line="360" w:lineRule="auto"/>
        <w:jc w:val="both"/>
        <w:rPr>
          <w:rFonts w:ascii="Calibri" w:hAnsi="Calibri" w:cs="Times New Roman"/>
        </w:rPr>
      </w:pPr>
      <w:r w:rsidRPr="00B2494C">
        <w:rPr>
          <w:rFonts w:ascii="Calibri" w:hAnsi="Calibri" w:cs="Times New Roman"/>
        </w:rPr>
        <w:lastRenderedPageBreak/>
        <w:t>Committee on the Elimination of Discrimination against Women (CEDAW Committee) General Recommendation No. 30 on women in conflict prevention, conflict and post-confli</w:t>
      </w:r>
      <w:r w:rsidR="005460C4" w:rsidRPr="00B2494C">
        <w:rPr>
          <w:rFonts w:ascii="Calibri" w:hAnsi="Calibri" w:cs="Times New Roman"/>
        </w:rPr>
        <w:t>ct situations (CEDAW GR No. 30)</w:t>
      </w:r>
      <w:r w:rsidR="004E5EBC" w:rsidRPr="00B2494C">
        <w:rPr>
          <w:rFonts w:ascii="Calibri" w:hAnsi="Calibri" w:cs="Times New Roman"/>
        </w:rPr>
        <w:t xml:space="preserve">; </w:t>
      </w:r>
    </w:p>
    <w:p w14:paraId="37271D3F" w14:textId="13823EC6" w:rsidR="00B2494C" w:rsidRDefault="00DC0E2B" w:rsidP="00CF4DA2">
      <w:pPr>
        <w:pStyle w:val="ListParagraph"/>
        <w:numPr>
          <w:ilvl w:val="0"/>
          <w:numId w:val="38"/>
        </w:numPr>
        <w:spacing w:line="360" w:lineRule="auto"/>
        <w:jc w:val="both"/>
        <w:rPr>
          <w:rFonts w:ascii="Calibri" w:hAnsi="Calibri" w:cs="Times New Roman"/>
        </w:rPr>
      </w:pPr>
      <w:r>
        <w:rPr>
          <w:rFonts w:ascii="Calibri" w:hAnsi="Calibri" w:cs="Times New Roman"/>
        </w:rPr>
        <w:t>T</w:t>
      </w:r>
      <w:r w:rsidR="004E5EBC" w:rsidRPr="00B2494C">
        <w:rPr>
          <w:rFonts w:ascii="Calibri" w:hAnsi="Calibri" w:cs="Times New Roman"/>
        </w:rPr>
        <w:t>he Beij</w:t>
      </w:r>
      <w:r w:rsidR="00382F80" w:rsidRPr="00B2494C">
        <w:rPr>
          <w:rFonts w:ascii="Calibri" w:hAnsi="Calibri" w:cs="Times New Roman"/>
        </w:rPr>
        <w:t xml:space="preserve">ing </w:t>
      </w:r>
      <w:r w:rsidR="00B11E20" w:rsidRPr="00B2494C">
        <w:rPr>
          <w:rFonts w:ascii="Calibri" w:hAnsi="Calibri" w:cs="Times New Roman"/>
        </w:rPr>
        <w:t xml:space="preserve">Declaration and </w:t>
      </w:r>
      <w:r w:rsidR="00382F80" w:rsidRPr="00B2494C">
        <w:rPr>
          <w:rFonts w:ascii="Calibri" w:hAnsi="Calibri" w:cs="Times New Roman"/>
        </w:rPr>
        <w:t>Platform for Action</w:t>
      </w:r>
      <w:r w:rsidR="00515F65" w:rsidRPr="00B2494C">
        <w:rPr>
          <w:rFonts w:ascii="Calibri" w:hAnsi="Calibri" w:cs="Times New Roman"/>
        </w:rPr>
        <w:t xml:space="preserve"> 1995</w:t>
      </w:r>
      <w:r w:rsidR="00F67866">
        <w:rPr>
          <w:rFonts w:ascii="Calibri" w:hAnsi="Calibri" w:cs="Times New Roman"/>
        </w:rPr>
        <w:t xml:space="preserve"> (BPfA)</w:t>
      </w:r>
      <w:r w:rsidR="00382F80" w:rsidRPr="00B2494C">
        <w:rPr>
          <w:rFonts w:ascii="Calibri" w:hAnsi="Calibri" w:cs="Times New Roman"/>
        </w:rPr>
        <w:t xml:space="preserve"> notably </w:t>
      </w:r>
      <w:r w:rsidR="004E5EBC" w:rsidRPr="00B2494C">
        <w:rPr>
          <w:rFonts w:ascii="Calibri" w:hAnsi="Calibri" w:cs="Times New Roman"/>
        </w:rPr>
        <w:t>its two critical areas of concern on Violence against Wo</w:t>
      </w:r>
      <w:r w:rsidR="00382F80" w:rsidRPr="00B2494C">
        <w:rPr>
          <w:rFonts w:ascii="Calibri" w:hAnsi="Calibri" w:cs="Times New Roman"/>
        </w:rPr>
        <w:t>men and Women in Armed Conflict</w:t>
      </w:r>
      <w:r w:rsidR="004E5EBC" w:rsidRPr="00B2494C">
        <w:rPr>
          <w:rFonts w:ascii="Calibri" w:hAnsi="Calibri" w:cs="Times New Roman"/>
        </w:rPr>
        <w:t xml:space="preserve">; </w:t>
      </w:r>
    </w:p>
    <w:p w14:paraId="5B2BDFFC" w14:textId="667C1672" w:rsidR="00B2494C" w:rsidRDefault="00DC0E2B" w:rsidP="00CF4DA2">
      <w:pPr>
        <w:pStyle w:val="ListParagraph"/>
        <w:numPr>
          <w:ilvl w:val="0"/>
          <w:numId w:val="38"/>
        </w:numPr>
        <w:spacing w:line="360" w:lineRule="auto"/>
        <w:jc w:val="both"/>
        <w:rPr>
          <w:rFonts w:ascii="Calibri" w:hAnsi="Calibri" w:cs="Times New Roman"/>
        </w:rPr>
      </w:pPr>
      <w:r>
        <w:rPr>
          <w:rFonts w:ascii="Calibri" w:hAnsi="Calibri" w:cs="Times New Roman"/>
        </w:rPr>
        <w:t>T</w:t>
      </w:r>
      <w:r w:rsidR="004E5EBC" w:rsidRPr="00B2494C">
        <w:rPr>
          <w:rFonts w:ascii="Calibri" w:hAnsi="Calibri" w:cs="Times New Roman"/>
        </w:rPr>
        <w:t>he</w:t>
      </w:r>
      <w:r w:rsidR="000F7431" w:rsidRPr="00B2494C">
        <w:rPr>
          <w:rFonts w:ascii="Calibri" w:hAnsi="Calibri" w:cs="Times New Roman"/>
        </w:rPr>
        <w:t xml:space="preserve"> UN</w:t>
      </w:r>
      <w:r w:rsidR="00B11E20" w:rsidRPr="00B2494C">
        <w:rPr>
          <w:rFonts w:ascii="Calibri" w:hAnsi="Calibri" w:cs="Times New Roman"/>
        </w:rPr>
        <w:t xml:space="preserve"> General Assembly</w:t>
      </w:r>
      <w:r w:rsidR="004E5EBC" w:rsidRPr="00B2494C">
        <w:rPr>
          <w:rFonts w:ascii="Calibri" w:hAnsi="Calibri" w:cs="Times New Roman"/>
        </w:rPr>
        <w:t xml:space="preserve"> Outcome Document of </w:t>
      </w:r>
      <w:r w:rsidR="00B11E20" w:rsidRPr="00B2494C">
        <w:rPr>
          <w:rFonts w:ascii="Calibri" w:hAnsi="Calibri" w:cs="Times New Roman"/>
        </w:rPr>
        <w:t>its</w:t>
      </w:r>
      <w:r w:rsidR="004E5EBC" w:rsidRPr="00B2494C">
        <w:rPr>
          <w:rFonts w:ascii="Calibri" w:hAnsi="Calibri" w:cs="Times New Roman"/>
        </w:rPr>
        <w:t xml:space="preserve"> 23</w:t>
      </w:r>
      <w:r w:rsidR="004E5EBC" w:rsidRPr="00B2494C">
        <w:rPr>
          <w:rFonts w:ascii="Calibri" w:hAnsi="Calibri" w:cs="Times New Roman"/>
          <w:vertAlign w:val="superscript"/>
        </w:rPr>
        <w:t>rd</w:t>
      </w:r>
      <w:r w:rsidR="004E5EBC" w:rsidRPr="00B2494C">
        <w:rPr>
          <w:rFonts w:ascii="Calibri" w:hAnsi="Calibri" w:cs="Times New Roman"/>
        </w:rPr>
        <w:t xml:space="preserve"> Special on </w:t>
      </w:r>
      <w:r w:rsidR="00515F65" w:rsidRPr="00B2494C">
        <w:rPr>
          <w:rFonts w:ascii="Calibri" w:hAnsi="Calibri" w:cs="Times New Roman"/>
        </w:rPr>
        <w:t>Women</w:t>
      </w:r>
      <w:r w:rsidR="004E5EBC" w:rsidRPr="00B2494C">
        <w:rPr>
          <w:rFonts w:ascii="Calibri" w:hAnsi="Calibri" w:cs="Times New Roman"/>
        </w:rPr>
        <w:t xml:space="preserve"> 2000: Gender Equality, Development and Peace for the 21</w:t>
      </w:r>
      <w:r w:rsidR="004E5EBC" w:rsidRPr="00B2494C">
        <w:rPr>
          <w:rFonts w:ascii="Calibri" w:hAnsi="Calibri" w:cs="Times New Roman"/>
          <w:vertAlign w:val="superscript"/>
        </w:rPr>
        <w:t>st</w:t>
      </w:r>
      <w:r w:rsidR="004E5EBC" w:rsidRPr="00B2494C">
        <w:rPr>
          <w:rFonts w:ascii="Calibri" w:hAnsi="Calibri" w:cs="Times New Roman"/>
        </w:rPr>
        <w:t xml:space="preserve"> Century</w:t>
      </w:r>
      <w:r w:rsidR="00515F65" w:rsidRPr="00B2494C">
        <w:rPr>
          <w:rFonts w:ascii="Calibri" w:hAnsi="Calibri" w:cs="Times New Roman"/>
        </w:rPr>
        <w:t xml:space="preserve"> 2000</w:t>
      </w:r>
      <w:r w:rsidR="004E5EBC" w:rsidRPr="00B2494C">
        <w:rPr>
          <w:rFonts w:ascii="Calibri" w:hAnsi="Calibri" w:cs="Times New Roman"/>
        </w:rPr>
        <w:t xml:space="preserve"> (UNGA Outcome Document)</w:t>
      </w:r>
      <w:r w:rsidR="00CD53FF" w:rsidRPr="00B2494C">
        <w:rPr>
          <w:rFonts w:ascii="Calibri" w:hAnsi="Calibri" w:cs="Times New Roman"/>
        </w:rPr>
        <w:t>;</w:t>
      </w:r>
    </w:p>
    <w:p w14:paraId="4CE9F8CE" w14:textId="65C6F44D" w:rsidR="004E5EBC" w:rsidRPr="00B2494C" w:rsidRDefault="00DC0E2B" w:rsidP="00CF4DA2">
      <w:pPr>
        <w:pStyle w:val="ListParagraph"/>
        <w:numPr>
          <w:ilvl w:val="0"/>
          <w:numId w:val="38"/>
        </w:numPr>
        <w:spacing w:line="360" w:lineRule="auto"/>
        <w:jc w:val="both"/>
        <w:rPr>
          <w:rFonts w:ascii="Calibri" w:hAnsi="Calibri" w:cs="Times New Roman"/>
        </w:rPr>
      </w:pPr>
      <w:r>
        <w:rPr>
          <w:rFonts w:ascii="Calibri" w:hAnsi="Calibri" w:cs="Times New Roman"/>
        </w:rPr>
        <w:t xml:space="preserve">The </w:t>
      </w:r>
      <w:r w:rsidR="00B11E20" w:rsidRPr="00B2494C">
        <w:rPr>
          <w:rFonts w:ascii="Calibri" w:hAnsi="Calibri" w:cs="Times New Roman"/>
        </w:rPr>
        <w:t xml:space="preserve">UN </w:t>
      </w:r>
      <w:r w:rsidR="00CD53FF" w:rsidRPr="00B2494C">
        <w:rPr>
          <w:rFonts w:ascii="Calibri" w:hAnsi="Calibri" w:cs="Times New Roman"/>
        </w:rPr>
        <w:t>Commission on the Status of Women</w:t>
      </w:r>
      <w:r w:rsidR="00287EFE" w:rsidRPr="00B2494C">
        <w:rPr>
          <w:rFonts w:ascii="Calibri" w:hAnsi="Calibri" w:cs="Times New Roman"/>
        </w:rPr>
        <w:t xml:space="preserve"> Agreed Conclusions on the prevention and elimination of violence against women and girls</w:t>
      </w:r>
      <w:r w:rsidR="00CD53FF" w:rsidRPr="00B2494C">
        <w:rPr>
          <w:rFonts w:ascii="Calibri" w:hAnsi="Calibri" w:cs="Times New Roman"/>
        </w:rPr>
        <w:t xml:space="preserve"> 2013</w:t>
      </w:r>
      <w:r w:rsidR="004E5EBC" w:rsidRPr="00B2494C">
        <w:rPr>
          <w:rFonts w:ascii="Calibri" w:hAnsi="Calibri" w:cs="Times New Roman"/>
        </w:rPr>
        <w:t xml:space="preserve"> (</w:t>
      </w:r>
      <w:r w:rsidR="00216755" w:rsidRPr="00B2494C">
        <w:rPr>
          <w:rFonts w:ascii="Calibri" w:hAnsi="Calibri" w:cs="Times New Roman"/>
        </w:rPr>
        <w:t xml:space="preserve">CSW </w:t>
      </w:r>
      <w:r w:rsidR="00CD53FF" w:rsidRPr="00B2494C">
        <w:rPr>
          <w:rFonts w:ascii="Calibri" w:hAnsi="Calibri" w:cs="Times New Roman"/>
        </w:rPr>
        <w:t>Agreed Conclusions</w:t>
      </w:r>
      <w:r w:rsidR="00D43CEA" w:rsidRPr="00B2494C">
        <w:rPr>
          <w:rFonts w:ascii="Calibri" w:hAnsi="Calibri" w:cs="Times New Roman"/>
        </w:rPr>
        <w:t xml:space="preserve"> 2013</w:t>
      </w:r>
      <w:r w:rsidR="004E5EBC" w:rsidRPr="00B2494C">
        <w:rPr>
          <w:rFonts w:ascii="Calibri" w:hAnsi="Calibri" w:cs="Times New Roman"/>
        </w:rPr>
        <w:t xml:space="preserve">). </w:t>
      </w:r>
    </w:p>
    <w:p w14:paraId="46FAE594" w14:textId="77777777" w:rsidR="004E5EBC" w:rsidRPr="00AE75D5" w:rsidRDefault="004E5EBC" w:rsidP="00AE75D5">
      <w:pPr>
        <w:jc w:val="both"/>
        <w:rPr>
          <w:rFonts w:ascii="Calibri" w:hAnsi="Calibri" w:cs="Times New Roman"/>
          <w:b/>
        </w:rPr>
      </w:pPr>
    </w:p>
    <w:p w14:paraId="7DA28533" w14:textId="4E4C8538" w:rsidR="004E5EBC" w:rsidRPr="00CF4DA2" w:rsidRDefault="00204652" w:rsidP="00CF4DA2">
      <w:pPr>
        <w:pStyle w:val="ListParagraph"/>
        <w:spacing w:after="180"/>
        <w:ind w:left="0"/>
        <w:jc w:val="both"/>
        <w:rPr>
          <w:rFonts w:ascii="Calibri" w:eastAsiaTheme="minorHAnsi" w:hAnsi="Calibri" w:cs="Times New Roman"/>
          <w:b/>
          <w:color w:val="1F497D" w:themeColor="text2"/>
          <w:u w:val="single"/>
        </w:rPr>
      </w:pPr>
      <w:r w:rsidRPr="00CF4DA2">
        <w:rPr>
          <w:rFonts w:ascii="Calibri" w:eastAsiaTheme="minorHAnsi" w:hAnsi="Calibri" w:cs="Times New Roman"/>
          <w:b/>
          <w:color w:val="1F497D" w:themeColor="text2"/>
          <w:u w:val="single"/>
        </w:rPr>
        <w:t>Recommendation 2</w:t>
      </w:r>
      <w:r w:rsidR="004E5EBC" w:rsidRPr="00CF4DA2">
        <w:rPr>
          <w:rFonts w:ascii="Calibri" w:eastAsiaTheme="minorHAnsi" w:hAnsi="Calibri" w:cs="Times New Roman"/>
          <w:b/>
          <w:color w:val="1F497D" w:themeColor="text2"/>
          <w:u w:val="single"/>
        </w:rPr>
        <w:t xml:space="preserve">: </w:t>
      </w:r>
      <w:r w:rsidR="00766FAE" w:rsidRPr="00CF4DA2">
        <w:rPr>
          <w:rFonts w:ascii="Calibri" w:eastAsiaTheme="minorHAnsi" w:hAnsi="Calibri" w:cs="Times New Roman"/>
          <w:b/>
          <w:color w:val="1F497D" w:themeColor="text2"/>
          <w:u w:val="single"/>
        </w:rPr>
        <w:t>Implement</w:t>
      </w:r>
      <w:r w:rsidR="004E5EBC" w:rsidRPr="00CF4DA2">
        <w:rPr>
          <w:rFonts w:ascii="Calibri" w:eastAsiaTheme="minorHAnsi" w:hAnsi="Calibri" w:cs="Times New Roman"/>
          <w:b/>
          <w:color w:val="1F497D" w:themeColor="text2"/>
          <w:u w:val="single"/>
        </w:rPr>
        <w:t xml:space="preserve"> SCR 1325 and the</w:t>
      </w:r>
      <w:r w:rsidR="00A91F3E" w:rsidRPr="00CF4DA2">
        <w:rPr>
          <w:rFonts w:ascii="Calibri" w:eastAsiaTheme="minorHAnsi" w:hAnsi="Calibri" w:cs="Times New Roman"/>
          <w:b/>
          <w:color w:val="1F497D" w:themeColor="text2"/>
          <w:u w:val="single"/>
        </w:rPr>
        <w:t xml:space="preserve"> legal</w:t>
      </w:r>
      <w:r w:rsidR="004E5EBC" w:rsidRPr="00CF4DA2">
        <w:rPr>
          <w:rFonts w:ascii="Calibri" w:eastAsiaTheme="minorHAnsi" w:hAnsi="Calibri" w:cs="Times New Roman"/>
          <w:b/>
          <w:color w:val="1F497D" w:themeColor="text2"/>
          <w:u w:val="single"/>
        </w:rPr>
        <w:t xml:space="preserve"> framework</w:t>
      </w:r>
      <w:r w:rsidR="00A91F3E" w:rsidRPr="00CF4DA2">
        <w:rPr>
          <w:rFonts w:ascii="Calibri" w:eastAsiaTheme="minorHAnsi" w:hAnsi="Calibri" w:cs="Times New Roman"/>
          <w:b/>
          <w:color w:val="1F497D" w:themeColor="text2"/>
          <w:u w:val="single"/>
        </w:rPr>
        <w:t xml:space="preserve"> by increasing women and girls’ </w:t>
      </w:r>
      <w:r w:rsidRPr="00CF4DA2">
        <w:rPr>
          <w:rFonts w:ascii="Calibri" w:eastAsiaTheme="minorHAnsi" w:hAnsi="Calibri" w:cs="Times New Roman"/>
          <w:b/>
          <w:color w:val="1F497D" w:themeColor="text2"/>
          <w:u w:val="single"/>
        </w:rPr>
        <w:t xml:space="preserve">meaningful </w:t>
      </w:r>
      <w:r w:rsidR="00A91F3E" w:rsidRPr="00CF4DA2">
        <w:rPr>
          <w:rFonts w:ascii="Calibri" w:eastAsiaTheme="minorHAnsi" w:hAnsi="Calibri" w:cs="Times New Roman"/>
          <w:b/>
          <w:color w:val="1F497D" w:themeColor="text2"/>
          <w:u w:val="single"/>
        </w:rPr>
        <w:t>participation</w:t>
      </w:r>
      <w:r w:rsidRPr="00CF4DA2">
        <w:rPr>
          <w:rFonts w:ascii="Calibri" w:eastAsiaTheme="minorHAnsi" w:hAnsi="Calibri" w:cs="Times New Roman"/>
          <w:b/>
          <w:color w:val="1F497D" w:themeColor="text2"/>
          <w:u w:val="single"/>
        </w:rPr>
        <w:t xml:space="preserve"> and inclusion</w:t>
      </w:r>
      <w:r w:rsidR="00A91F3E" w:rsidRPr="00CF4DA2">
        <w:rPr>
          <w:rFonts w:ascii="Calibri" w:eastAsiaTheme="minorHAnsi" w:hAnsi="Calibri" w:cs="Times New Roman"/>
          <w:b/>
          <w:color w:val="1F497D" w:themeColor="text2"/>
          <w:u w:val="single"/>
        </w:rPr>
        <w:t xml:space="preserve"> in the National Action Plan (NAP) </w:t>
      </w:r>
      <w:r w:rsidR="00F66D08" w:rsidRPr="00CF4DA2">
        <w:rPr>
          <w:rFonts w:ascii="Calibri" w:eastAsiaTheme="minorHAnsi" w:hAnsi="Calibri" w:cs="Times New Roman"/>
          <w:b/>
          <w:color w:val="1F497D" w:themeColor="text2"/>
          <w:u w:val="single"/>
        </w:rPr>
        <w:t>process</w:t>
      </w:r>
      <w:r w:rsidRPr="00CF4DA2">
        <w:rPr>
          <w:rFonts w:ascii="Calibri" w:eastAsiaTheme="minorHAnsi" w:hAnsi="Calibri" w:cs="Times New Roman"/>
          <w:b/>
          <w:color w:val="1F497D" w:themeColor="text2"/>
          <w:u w:val="single"/>
        </w:rPr>
        <w:t xml:space="preserve"> (design, implementation, monitoring and evaluation)</w:t>
      </w:r>
      <w:r w:rsidR="00F66D08" w:rsidRPr="00CF4DA2">
        <w:rPr>
          <w:rFonts w:ascii="Calibri" w:eastAsiaTheme="minorHAnsi" w:hAnsi="Calibri" w:cs="Times New Roman"/>
          <w:b/>
          <w:color w:val="1F497D" w:themeColor="text2"/>
          <w:u w:val="single"/>
        </w:rPr>
        <w:t xml:space="preserve"> </w:t>
      </w:r>
    </w:p>
    <w:p w14:paraId="5D0C632A" w14:textId="77777777" w:rsidR="00B2494C" w:rsidRPr="005460C4" w:rsidRDefault="00B2494C" w:rsidP="005460C4">
      <w:pPr>
        <w:jc w:val="both"/>
        <w:rPr>
          <w:rFonts w:ascii="Calibri" w:hAnsi="Calibri" w:cs="Times New Roman"/>
        </w:rPr>
      </w:pPr>
    </w:p>
    <w:p w14:paraId="3F4536C6" w14:textId="66306CD5" w:rsidR="00B2494C" w:rsidRPr="00AE75D5" w:rsidRDefault="004E5EBC" w:rsidP="00AE75D5">
      <w:pPr>
        <w:pStyle w:val="ListParagraph"/>
        <w:numPr>
          <w:ilvl w:val="0"/>
          <w:numId w:val="38"/>
        </w:numPr>
        <w:spacing w:line="360" w:lineRule="auto"/>
        <w:jc w:val="both"/>
        <w:rPr>
          <w:rFonts w:ascii="Calibri" w:hAnsi="Calibri" w:cs="Times New Roman"/>
        </w:rPr>
      </w:pPr>
      <w:r w:rsidRPr="00AE75D5">
        <w:rPr>
          <w:rFonts w:ascii="Calibri" w:hAnsi="Calibri" w:cs="Times New Roman"/>
        </w:rPr>
        <w:t xml:space="preserve">SCR 1325 National Action Plans (NAPs) must be created with </w:t>
      </w:r>
      <w:r w:rsidR="00766FAE" w:rsidRPr="00AE75D5">
        <w:rPr>
          <w:rFonts w:ascii="Calibri" w:hAnsi="Calibri" w:cs="Times New Roman"/>
        </w:rPr>
        <w:t xml:space="preserve">the </w:t>
      </w:r>
      <w:r w:rsidR="00DC0E2B" w:rsidRPr="00AE75D5">
        <w:rPr>
          <w:rFonts w:ascii="Calibri" w:hAnsi="Calibri" w:cs="Times New Roman"/>
        </w:rPr>
        <w:t xml:space="preserve">meaningful </w:t>
      </w:r>
      <w:r w:rsidR="00766FAE" w:rsidRPr="00AE75D5">
        <w:rPr>
          <w:rFonts w:ascii="Calibri" w:hAnsi="Calibri" w:cs="Times New Roman"/>
        </w:rPr>
        <w:t>participation</w:t>
      </w:r>
      <w:r w:rsidR="00DC0E2B" w:rsidRPr="00AE75D5">
        <w:rPr>
          <w:rFonts w:ascii="Calibri" w:hAnsi="Calibri" w:cs="Times New Roman"/>
        </w:rPr>
        <w:t xml:space="preserve"> and inclusion</w:t>
      </w:r>
      <w:r w:rsidR="00766FAE" w:rsidRPr="00AE75D5">
        <w:rPr>
          <w:rFonts w:ascii="Calibri" w:hAnsi="Calibri" w:cs="Times New Roman"/>
        </w:rPr>
        <w:t xml:space="preserve"> of women and girls and their non-governmental organizations (NGOs) and allies. Women and girls</w:t>
      </w:r>
      <w:r w:rsidR="005460C4" w:rsidRPr="00AE75D5">
        <w:rPr>
          <w:rFonts w:ascii="Calibri" w:hAnsi="Calibri" w:cs="Times New Roman"/>
        </w:rPr>
        <w:t>, and their civil society organizations,</w:t>
      </w:r>
      <w:r w:rsidR="00766FAE" w:rsidRPr="00AE75D5">
        <w:rPr>
          <w:rFonts w:ascii="Calibri" w:hAnsi="Calibri" w:cs="Times New Roman"/>
        </w:rPr>
        <w:t xml:space="preserve"> </w:t>
      </w:r>
      <w:r w:rsidRPr="00AE75D5">
        <w:rPr>
          <w:rFonts w:ascii="Calibri" w:hAnsi="Calibri" w:cs="Times New Roman"/>
        </w:rPr>
        <w:t xml:space="preserve">should be empowered to jointly </w:t>
      </w:r>
      <w:r w:rsidR="005460C4" w:rsidRPr="00AE75D5">
        <w:rPr>
          <w:rFonts w:ascii="Calibri" w:hAnsi="Calibri" w:cs="Times New Roman"/>
        </w:rPr>
        <w:t xml:space="preserve">design, implement, monitor </w:t>
      </w:r>
      <w:r w:rsidRPr="00AE75D5">
        <w:rPr>
          <w:rFonts w:ascii="Calibri" w:hAnsi="Calibri" w:cs="Times New Roman"/>
        </w:rPr>
        <w:t>and evaluate NAPs together with governments</w:t>
      </w:r>
      <w:r w:rsidR="00766FAE" w:rsidRPr="00AE75D5">
        <w:rPr>
          <w:rFonts w:ascii="Calibri" w:hAnsi="Calibri" w:cs="Times New Roman"/>
        </w:rPr>
        <w:t xml:space="preserve">, </w:t>
      </w:r>
      <w:r w:rsidR="00AC36D1" w:rsidRPr="00AE75D5">
        <w:rPr>
          <w:rFonts w:ascii="Calibri" w:hAnsi="Calibri" w:cs="Times New Roman"/>
        </w:rPr>
        <w:t xml:space="preserve">development partners, and other stakeholders, including </w:t>
      </w:r>
      <w:r w:rsidR="005460C4" w:rsidRPr="00AE75D5">
        <w:rPr>
          <w:rFonts w:ascii="Calibri" w:hAnsi="Calibri" w:cs="Times New Roman"/>
        </w:rPr>
        <w:t>private actors (</w:t>
      </w:r>
      <w:r w:rsidR="00AC36D1" w:rsidRPr="00AE75D5">
        <w:rPr>
          <w:rFonts w:ascii="Calibri" w:hAnsi="Calibri" w:cs="Times New Roman"/>
        </w:rPr>
        <w:t xml:space="preserve">especially </w:t>
      </w:r>
      <w:r w:rsidR="005460C4" w:rsidRPr="00AE75D5">
        <w:rPr>
          <w:rFonts w:ascii="Calibri" w:hAnsi="Calibri" w:cs="Times New Roman"/>
        </w:rPr>
        <w:t xml:space="preserve">non-state actors involved in post-conflict </w:t>
      </w:r>
      <w:r w:rsidR="00AC36D1" w:rsidRPr="00AE75D5">
        <w:rPr>
          <w:rFonts w:ascii="Calibri" w:hAnsi="Calibri" w:cs="Times New Roman"/>
        </w:rPr>
        <w:t>reconstruction and transitional justice situations</w:t>
      </w:r>
      <w:r w:rsidR="005460C4" w:rsidRPr="00AE75D5">
        <w:rPr>
          <w:rFonts w:ascii="Calibri" w:hAnsi="Calibri" w:cs="Times New Roman"/>
        </w:rPr>
        <w:t>)</w:t>
      </w:r>
      <w:r w:rsidRPr="00AE75D5">
        <w:rPr>
          <w:rFonts w:ascii="Calibri" w:hAnsi="Calibri" w:cs="Times New Roman"/>
        </w:rPr>
        <w:t xml:space="preserve">. </w:t>
      </w:r>
    </w:p>
    <w:p w14:paraId="56685294" w14:textId="77777777" w:rsidR="00B2494C" w:rsidRDefault="00B2494C" w:rsidP="00AE75D5">
      <w:pPr>
        <w:pStyle w:val="ListParagraph"/>
        <w:jc w:val="both"/>
        <w:rPr>
          <w:rFonts w:ascii="Calibri" w:hAnsi="Calibri" w:cs="Times New Roman"/>
        </w:rPr>
      </w:pPr>
    </w:p>
    <w:p w14:paraId="5EDCDF8D" w14:textId="7AF3832B" w:rsidR="004E5EBC" w:rsidRPr="00AE75D5" w:rsidRDefault="00DC0E2B" w:rsidP="00AE75D5">
      <w:pPr>
        <w:pStyle w:val="ListParagraph"/>
        <w:numPr>
          <w:ilvl w:val="0"/>
          <w:numId w:val="38"/>
        </w:numPr>
        <w:spacing w:line="360" w:lineRule="auto"/>
        <w:jc w:val="both"/>
        <w:rPr>
          <w:rFonts w:ascii="Calibri" w:hAnsi="Calibri" w:cs="Times New Roman"/>
        </w:rPr>
      </w:pPr>
      <w:r w:rsidRPr="00AE75D5">
        <w:rPr>
          <w:rFonts w:ascii="Calibri" w:hAnsi="Calibri" w:cs="Times New Roman"/>
        </w:rPr>
        <w:t>An active and engaged civil society plays a key role in ensuring that NAPs are substantively implemented. States must</w:t>
      </w:r>
      <w:r w:rsidR="004E5EBC" w:rsidRPr="00AE75D5">
        <w:rPr>
          <w:rFonts w:ascii="Calibri" w:hAnsi="Calibri" w:cs="Times New Roman"/>
        </w:rPr>
        <w:t xml:space="preserve"> budget for adequate financial and human resources so that</w:t>
      </w:r>
      <w:r w:rsidR="00A6205A" w:rsidRPr="00AE75D5">
        <w:rPr>
          <w:rFonts w:ascii="Calibri" w:hAnsi="Calibri" w:cs="Times New Roman"/>
        </w:rPr>
        <w:t xml:space="preserve"> the following groups can shape, </w:t>
      </w:r>
      <w:r w:rsidR="004E5EBC" w:rsidRPr="00AE75D5">
        <w:rPr>
          <w:rFonts w:ascii="Calibri" w:hAnsi="Calibri" w:cs="Times New Roman"/>
        </w:rPr>
        <w:t>enforce</w:t>
      </w:r>
      <w:r w:rsidR="00A6205A" w:rsidRPr="00AE75D5">
        <w:rPr>
          <w:rFonts w:ascii="Calibri" w:hAnsi="Calibri" w:cs="Times New Roman"/>
        </w:rPr>
        <w:t xml:space="preserve"> and continually improve</w:t>
      </w:r>
      <w:r w:rsidR="004E5EBC" w:rsidRPr="00AE75D5">
        <w:rPr>
          <w:rFonts w:ascii="Calibri" w:hAnsi="Calibri" w:cs="Times New Roman"/>
        </w:rPr>
        <w:t xml:space="preserve"> </w:t>
      </w:r>
      <w:r w:rsidR="005460C4" w:rsidRPr="00AE75D5">
        <w:rPr>
          <w:rFonts w:ascii="Calibri" w:hAnsi="Calibri" w:cs="Times New Roman"/>
        </w:rPr>
        <w:t>the NAP process:</w:t>
      </w:r>
      <w:r w:rsidR="004E5EBC" w:rsidRPr="00AE75D5">
        <w:rPr>
          <w:rFonts w:ascii="Calibri" w:hAnsi="Calibri" w:cs="Times New Roman"/>
        </w:rPr>
        <w:t xml:space="preserve"> </w:t>
      </w:r>
      <w:r w:rsidR="005460C4" w:rsidRPr="00AE75D5">
        <w:rPr>
          <w:rFonts w:ascii="Calibri" w:hAnsi="Calibri" w:cs="Times New Roman"/>
        </w:rPr>
        <w:t xml:space="preserve">female </w:t>
      </w:r>
      <w:r w:rsidR="00766FAE" w:rsidRPr="00AE75D5">
        <w:rPr>
          <w:rFonts w:ascii="Calibri" w:hAnsi="Calibri" w:cs="Times New Roman"/>
        </w:rPr>
        <w:t xml:space="preserve">political leaders, </w:t>
      </w:r>
      <w:r w:rsidR="005460C4" w:rsidRPr="00AE75D5">
        <w:rPr>
          <w:rFonts w:ascii="Calibri" w:hAnsi="Calibri" w:cs="Times New Roman"/>
        </w:rPr>
        <w:t xml:space="preserve">women’s </w:t>
      </w:r>
      <w:r w:rsidRPr="00AE75D5">
        <w:rPr>
          <w:rFonts w:ascii="Calibri" w:hAnsi="Calibri" w:cs="Times New Roman"/>
        </w:rPr>
        <w:t xml:space="preserve">and </w:t>
      </w:r>
      <w:r w:rsidR="005460C4" w:rsidRPr="00AE75D5">
        <w:rPr>
          <w:rFonts w:ascii="Calibri" w:hAnsi="Calibri" w:cs="Times New Roman"/>
        </w:rPr>
        <w:t xml:space="preserve">girls’ organizations, victims and </w:t>
      </w:r>
      <w:r w:rsidR="004E5EBC" w:rsidRPr="00AE75D5">
        <w:rPr>
          <w:rFonts w:ascii="Calibri" w:hAnsi="Calibri" w:cs="Times New Roman"/>
        </w:rPr>
        <w:t>survivors</w:t>
      </w:r>
      <w:r w:rsidR="005460C4" w:rsidRPr="00AE75D5">
        <w:rPr>
          <w:rFonts w:ascii="Calibri" w:hAnsi="Calibri" w:cs="Times New Roman"/>
        </w:rPr>
        <w:t xml:space="preserve"> of conflict-related violence</w:t>
      </w:r>
      <w:r w:rsidR="004E5EBC" w:rsidRPr="00AE75D5">
        <w:rPr>
          <w:rFonts w:ascii="Calibri" w:hAnsi="Calibri" w:cs="Times New Roman"/>
        </w:rPr>
        <w:t xml:space="preserve">, and women, girls, men and boys affected by conflict. </w:t>
      </w:r>
    </w:p>
    <w:p w14:paraId="5A78FEF6" w14:textId="77777777" w:rsidR="004E5EBC" w:rsidRDefault="004E5EBC" w:rsidP="004E5EBC">
      <w:pPr>
        <w:jc w:val="both"/>
        <w:rPr>
          <w:rFonts w:ascii="Calibri" w:hAnsi="Calibri" w:cs="Times New Roman"/>
        </w:rPr>
      </w:pPr>
    </w:p>
    <w:p w14:paraId="1910C785" w14:textId="06FCC44F" w:rsidR="005460C4" w:rsidRPr="00CF4DA2" w:rsidRDefault="005460C4" w:rsidP="00CF4DA2">
      <w:pPr>
        <w:pStyle w:val="ListParagraph"/>
        <w:spacing w:after="180"/>
        <w:ind w:left="0"/>
        <w:jc w:val="both"/>
        <w:rPr>
          <w:rFonts w:ascii="Calibri" w:eastAsiaTheme="minorHAnsi" w:hAnsi="Calibri" w:cs="Times New Roman"/>
          <w:b/>
          <w:color w:val="1F497D" w:themeColor="text2"/>
          <w:u w:val="single"/>
        </w:rPr>
      </w:pPr>
      <w:r w:rsidRPr="00CF4DA2">
        <w:rPr>
          <w:rFonts w:ascii="Calibri" w:eastAsiaTheme="minorHAnsi" w:hAnsi="Calibri" w:cs="Times New Roman"/>
          <w:b/>
          <w:color w:val="1F497D" w:themeColor="text2"/>
          <w:u w:val="single"/>
        </w:rPr>
        <w:t xml:space="preserve">Recommendation 3: Implement SCR 1325 and the legal framework by ensuring government buy-in at all levels (national, regional, provincial/district and local) and across </w:t>
      </w:r>
      <w:r w:rsidR="00DC0E2B" w:rsidRPr="00CF4DA2">
        <w:rPr>
          <w:rFonts w:ascii="Calibri" w:eastAsiaTheme="minorHAnsi" w:hAnsi="Calibri" w:cs="Times New Roman"/>
          <w:b/>
          <w:color w:val="1F497D" w:themeColor="text2"/>
          <w:u w:val="single"/>
        </w:rPr>
        <w:t xml:space="preserve">all of government </w:t>
      </w:r>
    </w:p>
    <w:p w14:paraId="7B34D845" w14:textId="77777777" w:rsidR="00B2494C" w:rsidRPr="00AE75D5" w:rsidRDefault="00B2494C" w:rsidP="004E5EBC">
      <w:pPr>
        <w:jc w:val="both"/>
        <w:rPr>
          <w:rFonts w:ascii="Calibri" w:hAnsi="Calibri" w:cs="Times New Roman"/>
        </w:rPr>
      </w:pPr>
    </w:p>
    <w:p w14:paraId="512C5EEB" w14:textId="72317D55" w:rsidR="00B2494C" w:rsidRPr="00DC0E2B" w:rsidRDefault="00293648" w:rsidP="00AE75D5">
      <w:pPr>
        <w:pStyle w:val="ListParagraph"/>
        <w:numPr>
          <w:ilvl w:val="0"/>
          <w:numId w:val="9"/>
        </w:numPr>
        <w:spacing w:line="360" w:lineRule="auto"/>
        <w:jc w:val="both"/>
        <w:rPr>
          <w:rFonts w:ascii="Calibri" w:hAnsi="Calibri" w:cs="Times New Roman"/>
          <w:b/>
          <w:i/>
        </w:rPr>
      </w:pPr>
      <w:r>
        <w:rPr>
          <w:rFonts w:ascii="Calibri" w:hAnsi="Calibri" w:cs="Times New Roman"/>
        </w:rPr>
        <w:t xml:space="preserve">Government buy-in is essential to </w:t>
      </w:r>
      <w:r w:rsidR="00243BE2">
        <w:rPr>
          <w:rFonts w:ascii="Calibri" w:hAnsi="Calibri" w:cs="Times New Roman"/>
        </w:rPr>
        <w:t>creating</w:t>
      </w:r>
      <w:r>
        <w:rPr>
          <w:rFonts w:ascii="Calibri" w:hAnsi="Calibri" w:cs="Times New Roman"/>
        </w:rPr>
        <w:t xml:space="preserve"> NAPs via a </w:t>
      </w:r>
      <w:r w:rsidR="00DC0E2B">
        <w:rPr>
          <w:rFonts w:ascii="Calibri" w:hAnsi="Calibri" w:cs="Times New Roman"/>
        </w:rPr>
        <w:t xml:space="preserve">robust </w:t>
      </w:r>
      <w:r>
        <w:rPr>
          <w:rFonts w:ascii="Calibri" w:hAnsi="Calibri" w:cs="Times New Roman"/>
        </w:rPr>
        <w:t xml:space="preserve">process, and to </w:t>
      </w:r>
      <w:r w:rsidR="00243BE2">
        <w:rPr>
          <w:rFonts w:ascii="Calibri" w:hAnsi="Calibri" w:cs="Times New Roman"/>
        </w:rPr>
        <w:t>holding</w:t>
      </w:r>
      <w:r>
        <w:rPr>
          <w:rFonts w:ascii="Calibri" w:hAnsi="Calibri" w:cs="Times New Roman"/>
        </w:rPr>
        <w:t xml:space="preserve"> st</w:t>
      </w:r>
      <w:r w:rsidR="00243BE2">
        <w:rPr>
          <w:rFonts w:ascii="Calibri" w:hAnsi="Calibri" w:cs="Times New Roman"/>
        </w:rPr>
        <w:t>ates accountable to their obligations under SCR 1325, the other</w:t>
      </w:r>
      <w:r>
        <w:rPr>
          <w:rFonts w:ascii="Calibri" w:hAnsi="Calibri" w:cs="Times New Roman"/>
        </w:rPr>
        <w:t xml:space="preserve"> resolutions on WPS, </w:t>
      </w:r>
      <w:r w:rsidR="00243BE2">
        <w:rPr>
          <w:rFonts w:ascii="Calibri" w:hAnsi="Calibri" w:cs="Times New Roman"/>
        </w:rPr>
        <w:t>and</w:t>
      </w:r>
      <w:r>
        <w:rPr>
          <w:rFonts w:ascii="Calibri" w:hAnsi="Calibri" w:cs="Times New Roman"/>
        </w:rPr>
        <w:t xml:space="preserve"> the entire legal framework. Key decision-makers should lead the NAP process including legislators, policy-makers and political leaders, especially women, </w:t>
      </w:r>
      <w:r w:rsidR="00243BE2">
        <w:rPr>
          <w:rFonts w:ascii="Calibri" w:hAnsi="Calibri" w:cs="Times New Roman"/>
        </w:rPr>
        <w:t>supported by</w:t>
      </w:r>
      <w:r>
        <w:rPr>
          <w:rFonts w:ascii="Calibri" w:hAnsi="Calibri" w:cs="Times New Roman"/>
        </w:rPr>
        <w:t xml:space="preserve"> the highest levels of government. The NAP process should involve all levels of government (national, regional, provincial/district and local government, including urban and rural authorities). </w:t>
      </w:r>
    </w:p>
    <w:p w14:paraId="6AFBEFF2" w14:textId="77777777" w:rsidR="00DC0E2B" w:rsidRPr="00B2494C" w:rsidRDefault="00DC0E2B" w:rsidP="00DC0E2B">
      <w:pPr>
        <w:pStyle w:val="ListParagraph"/>
        <w:jc w:val="both"/>
        <w:rPr>
          <w:rFonts w:ascii="Calibri" w:hAnsi="Calibri" w:cs="Times New Roman"/>
          <w:b/>
          <w:i/>
        </w:rPr>
      </w:pPr>
    </w:p>
    <w:p w14:paraId="3F1CD998" w14:textId="3A178B53" w:rsidR="005460C4" w:rsidRPr="005460C4" w:rsidRDefault="00293648" w:rsidP="00AE75D5">
      <w:pPr>
        <w:pStyle w:val="ListParagraph"/>
        <w:numPr>
          <w:ilvl w:val="0"/>
          <w:numId w:val="9"/>
        </w:numPr>
        <w:spacing w:line="360" w:lineRule="auto"/>
        <w:jc w:val="both"/>
        <w:rPr>
          <w:rFonts w:ascii="Calibri" w:hAnsi="Calibri" w:cs="Times New Roman"/>
          <w:b/>
          <w:i/>
        </w:rPr>
      </w:pPr>
      <w:r>
        <w:rPr>
          <w:rFonts w:ascii="Calibri" w:hAnsi="Calibri" w:cs="Times New Roman"/>
        </w:rPr>
        <w:t xml:space="preserve">The NAP process </w:t>
      </w:r>
      <w:r w:rsidR="00243BE2">
        <w:rPr>
          <w:rFonts w:ascii="Calibri" w:hAnsi="Calibri" w:cs="Times New Roman"/>
        </w:rPr>
        <w:t>should take a multi-stakeholder</w:t>
      </w:r>
      <w:r>
        <w:rPr>
          <w:rFonts w:ascii="Calibri" w:hAnsi="Calibri" w:cs="Times New Roman"/>
        </w:rPr>
        <w:t>, multi-sectoral cross-government approach,</w:t>
      </w:r>
      <w:r w:rsidR="00AC36D1">
        <w:rPr>
          <w:rFonts w:ascii="Calibri" w:hAnsi="Calibri" w:cs="Times New Roman"/>
        </w:rPr>
        <w:t xml:space="preserve"> and provide adequate financial a</w:t>
      </w:r>
      <w:r w:rsidR="00B2494C">
        <w:rPr>
          <w:rFonts w:ascii="Calibri" w:hAnsi="Calibri" w:cs="Times New Roman"/>
        </w:rPr>
        <w:t>n</w:t>
      </w:r>
      <w:r w:rsidR="00AC36D1">
        <w:rPr>
          <w:rFonts w:ascii="Calibri" w:hAnsi="Calibri" w:cs="Times New Roman"/>
        </w:rPr>
        <w:t>d human resources to involve the following government bodies:</w:t>
      </w:r>
      <w:r>
        <w:rPr>
          <w:rFonts w:ascii="Calibri" w:hAnsi="Calibri" w:cs="Times New Roman"/>
        </w:rPr>
        <w:t xml:space="preserve"> women’s </w:t>
      </w:r>
      <w:r w:rsidR="00AC36D1">
        <w:rPr>
          <w:rFonts w:ascii="Calibri" w:hAnsi="Calibri" w:cs="Times New Roman"/>
        </w:rPr>
        <w:t xml:space="preserve">and children’s </w:t>
      </w:r>
      <w:r>
        <w:rPr>
          <w:rFonts w:ascii="Calibri" w:hAnsi="Calibri" w:cs="Times New Roman"/>
        </w:rPr>
        <w:t>ministries</w:t>
      </w:r>
      <w:r w:rsidR="00AC36D1">
        <w:rPr>
          <w:rFonts w:ascii="Calibri" w:hAnsi="Calibri" w:cs="Times New Roman"/>
        </w:rPr>
        <w:t>;</w:t>
      </w:r>
      <w:r>
        <w:rPr>
          <w:rFonts w:ascii="Calibri" w:hAnsi="Calibri" w:cs="Times New Roman"/>
        </w:rPr>
        <w:t xml:space="preserve"> national women’s machineries</w:t>
      </w:r>
      <w:r w:rsidR="00AC36D1">
        <w:rPr>
          <w:rFonts w:ascii="Calibri" w:hAnsi="Calibri" w:cs="Times New Roman"/>
        </w:rPr>
        <w:t xml:space="preserve"> and government bodies dealing with children’s rights e.g. children’s commission</w:t>
      </w:r>
      <w:r w:rsidR="00DC0E2B">
        <w:rPr>
          <w:rFonts w:ascii="Calibri" w:hAnsi="Calibri" w:cs="Times New Roman"/>
        </w:rPr>
        <w:t>s</w:t>
      </w:r>
      <w:r w:rsidR="00AC36D1">
        <w:rPr>
          <w:rFonts w:ascii="Calibri" w:hAnsi="Calibri" w:cs="Times New Roman"/>
        </w:rPr>
        <w:t>;</w:t>
      </w:r>
      <w:r>
        <w:rPr>
          <w:rFonts w:ascii="Calibri" w:hAnsi="Calibri" w:cs="Times New Roman"/>
        </w:rPr>
        <w:t xml:space="preserve"> nat</w:t>
      </w:r>
      <w:r w:rsidR="00AC36D1">
        <w:rPr>
          <w:rFonts w:ascii="Calibri" w:hAnsi="Calibri" w:cs="Times New Roman"/>
        </w:rPr>
        <w:t>ional human rights institutions;</w:t>
      </w:r>
      <w:r>
        <w:rPr>
          <w:rFonts w:ascii="Calibri" w:hAnsi="Calibri" w:cs="Times New Roman"/>
        </w:rPr>
        <w:t xml:space="preserve"> truth and reconciliation commissions and</w:t>
      </w:r>
      <w:r w:rsidR="00AC36D1">
        <w:rPr>
          <w:rFonts w:ascii="Calibri" w:hAnsi="Calibri" w:cs="Times New Roman"/>
        </w:rPr>
        <w:t xml:space="preserve"> other</w:t>
      </w:r>
      <w:r>
        <w:rPr>
          <w:rFonts w:ascii="Calibri" w:hAnsi="Calibri" w:cs="Times New Roman"/>
        </w:rPr>
        <w:t xml:space="preserve"> transitional justice </w:t>
      </w:r>
      <w:r w:rsidR="00AC36D1">
        <w:rPr>
          <w:rFonts w:ascii="Calibri" w:hAnsi="Calibri" w:cs="Times New Roman"/>
        </w:rPr>
        <w:t>bodies; and ministries and agencies res</w:t>
      </w:r>
      <w:r w:rsidR="00DC0E2B">
        <w:rPr>
          <w:rFonts w:ascii="Calibri" w:hAnsi="Calibri" w:cs="Times New Roman"/>
        </w:rPr>
        <w:t>ponsible for: justice, security, peace and reconstruction,</w:t>
      </w:r>
      <w:r w:rsidR="00AC36D1">
        <w:rPr>
          <w:rFonts w:ascii="Calibri" w:hAnsi="Calibri" w:cs="Times New Roman"/>
        </w:rPr>
        <w:t xml:space="preserve"> migration, economic and social development, labour and employment, education, foreign affairs, and all issues relevant to the </w:t>
      </w:r>
      <w:r w:rsidR="00DC0E2B">
        <w:rPr>
          <w:rFonts w:ascii="Calibri" w:hAnsi="Calibri" w:cs="Times New Roman"/>
        </w:rPr>
        <w:t>legal framework</w:t>
      </w:r>
      <w:r w:rsidR="00AC36D1">
        <w:rPr>
          <w:rFonts w:ascii="Calibri" w:hAnsi="Calibri" w:cs="Times New Roman"/>
        </w:rPr>
        <w:t xml:space="preserve">.  </w:t>
      </w:r>
      <w:r>
        <w:rPr>
          <w:rFonts w:ascii="Calibri" w:hAnsi="Calibri" w:cs="Times New Roman"/>
        </w:rPr>
        <w:t>It should budget for adequate financial and human resources</w:t>
      </w:r>
      <w:r w:rsidR="00793F4F">
        <w:rPr>
          <w:rFonts w:ascii="Calibri" w:hAnsi="Calibri" w:cs="Times New Roman"/>
        </w:rPr>
        <w:t xml:space="preserve"> </w:t>
      </w:r>
      <w:r w:rsidR="00DC0E2B">
        <w:rPr>
          <w:rFonts w:ascii="Calibri" w:hAnsi="Calibri" w:cs="Times New Roman"/>
        </w:rPr>
        <w:t>build political will across</w:t>
      </w:r>
      <w:r w:rsidR="00793F4F">
        <w:rPr>
          <w:rFonts w:ascii="Calibri" w:hAnsi="Calibri" w:cs="Times New Roman"/>
        </w:rPr>
        <w:t xml:space="preserve"> of all relevant levels of government, especially women leaders. </w:t>
      </w:r>
    </w:p>
    <w:p w14:paraId="3BA2CE20" w14:textId="77777777" w:rsidR="004E5EBC" w:rsidRDefault="004E5EBC" w:rsidP="004E5EBC">
      <w:pPr>
        <w:jc w:val="both"/>
        <w:rPr>
          <w:rFonts w:ascii="Calibri" w:hAnsi="Calibri" w:cs="Times New Roman"/>
        </w:rPr>
      </w:pPr>
    </w:p>
    <w:p w14:paraId="5D864BDC" w14:textId="77777777" w:rsidR="008932CA" w:rsidRPr="00CF4DA2" w:rsidRDefault="008932CA" w:rsidP="008932CA">
      <w:pPr>
        <w:pStyle w:val="ListParagraph"/>
        <w:spacing w:after="180"/>
        <w:ind w:left="0"/>
        <w:jc w:val="both"/>
        <w:rPr>
          <w:rFonts w:ascii="Calibri" w:eastAsiaTheme="minorHAnsi" w:hAnsi="Calibri" w:cs="Times New Roman"/>
          <w:b/>
          <w:color w:val="1F497D" w:themeColor="text2"/>
          <w:u w:val="single"/>
        </w:rPr>
      </w:pPr>
      <w:r>
        <w:rPr>
          <w:rFonts w:ascii="Calibri" w:eastAsiaTheme="minorHAnsi" w:hAnsi="Calibri" w:cs="Times New Roman"/>
          <w:b/>
          <w:color w:val="1F497D" w:themeColor="text2"/>
          <w:u w:val="single"/>
        </w:rPr>
        <w:t>Recommendation 4: T</w:t>
      </w:r>
      <w:r w:rsidRPr="00CF4DA2">
        <w:rPr>
          <w:rFonts w:ascii="Calibri" w:eastAsiaTheme="minorHAnsi" w:hAnsi="Calibri" w:cs="Times New Roman"/>
          <w:b/>
          <w:color w:val="1F497D" w:themeColor="text2"/>
          <w:u w:val="single"/>
        </w:rPr>
        <w:t xml:space="preserve">o guarantee substantive equality, </w:t>
      </w:r>
      <w:proofErr w:type="gramStart"/>
      <w:r w:rsidRPr="00CF4DA2">
        <w:rPr>
          <w:rFonts w:ascii="Calibri" w:eastAsiaTheme="minorHAnsi" w:hAnsi="Calibri" w:cs="Times New Roman"/>
          <w:b/>
          <w:color w:val="1F497D" w:themeColor="text2"/>
          <w:u w:val="single"/>
        </w:rPr>
        <w:t>which is a minimum protection under the legal framework on women, peace and security</w:t>
      </w:r>
      <w:proofErr w:type="gramEnd"/>
      <w:r w:rsidRPr="00CF4DA2">
        <w:rPr>
          <w:rFonts w:ascii="Calibri" w:eastAsiaTheme="minorHAnsi" w:hAnsi="Calibri" w:cs="Times New Roman"/>
          <w:b/>
          <w:color w:val="1F497D" w:themeColor="text2"/>
          <w:u w:val="single"/>
        </w:rPr>
        <w:t xml:space="preserve"> </w:t>
      </w:r>
    </w:p>
    <w:p w14:paraId="04191BEE" w14:textId="77777777" w:rsidR="008932CA" w:rsidRPr="00C268C1" w:rsidRDefault="008932CA" w:rsidP="008932CA">
      <w:pPr>
        <w:pStyle w:val="ListParagraph"/>
        <w:ind w:left="0"/>
        <w:jc w:val="both"/>
        <w:rPr>
          <w:rFonts w:ascii="Calibri" w:hAnsi="Calibri" w:cs="Times New Roman"/>
          <w:b/>
          <w:i/>
        </w:rPr>
      </w:pPr>
    </w:p>
    <w:p w14:paraId="5251273E" w14:textId="77777777" w:rsidR="008932CA" w:rsidRDefault="008932CA" w:rsidP="008932CA">
      <w:pPr>
        <w:pStyle w:val="ListParagraph"/>
        <w:numPr>
          <w:ilvl w:val="0"/>
          <w:numId w:val="9"/>
        </w:numPr>
        <w:spacing w:line="360" w:lineRule="auto"/>
        <w:jc w:val="both"/>
        <w:rPr>
          <w:rFonts w:ascii="Calibri" w:hAnsi="Calibri" w:cs="Times New Roman"/>
        </w:rPr>
      </w:pPr>
      <w:r>
        <w:rPr>
          <w:rFonts w:ascii="Calibri" w:hAnsi="Calibri" w:cs="Times New Roman"/>
        </w:rPr>
        <w:t xml:space="preserve">To guarantee </w:t>
      </w:r>
      <w:r w:rsidRPr="0007733F">
        <w:rPr>
          <w:rFonts w:ascii="Calibri" w:hAnsi="Calibri" w:cs="Times New Roman"/>
          <w:i/>
        </w:rPr>
        <w:t>substantive equality</w:t>
      </w:r>
      <w:r>
        <w:rPr>
          <w:rFonts w:ascii="Calibri" w:hAnsi="Calibri" w:cs="Times New Roman"/>
        </w:rPr>
        <w:t>, the UN’s existing monitoring and accountability processes must be accessible to women and girls and their organizations and advocates, to ensure access to justice, and provide effective monitoring and reporting on state compliance with the legal framework, including by:</w:t>
      </w:r>
    </w:p>
    <w:p w14:paraId="0E5B4EB1" w14:textId="77777777" w:rsidR="008932CA" w:rsidRPr="00AA5083" w:rsidRDefault="008932CA" w:rsidP="008932CA">
      <w:pPr>
        <w:pStyle w:val="ListParagraph"/>
        <w:jc w:val="both"/>
        <w:rPr>
          <w:rFonts w:ascii="Calibri" w:hAnsi="Calibri" w:cs="Times New Roman"/>
        </w:rPr>
      </w:pPr>
    </w:p>
    <w:p w14:paraId="5FE6959F" w14:textId="77777777" w:rsidR="008932CA" w:rsidRDefault="008932CA" w:rsidP="008932CA">
      <w:pPr>
        <w:pStyle w:val="ListParagraph"/>
        <w:numPr>
          <w:ilvl w:val="1"/>
          <w:numId w:val="9"/>
        </w:numPr>
        <w:spacing w:line="360" w:lineRule="auto"/>
        <w:jc w:val="both"/>
        <w:rPr>
          <w:rFonts w:ascii="Calibri" w:hAnsi="Calibri" w:cs="Times New Roman"/>
        </w:rPr>
      </w:pPr>
      <w:r>
        <w:rPr>
          <w:rFonts w:ascii="Calibri" w:hAnsi="Calibri" w:cs="Times New Roman"/>
        </w:rPr>
        <w:t>Creating a dedicated “Women, Peace and Security” section in key Universal Periodic Review (UPR) and CSW reports and outcome documents,</w:t>
      </w:r>
      <w:r w:rsidRPr="00F62D05">
        <w:rPr>
          <w:rFonts w:ascii="Calibri" w:hAnsi="Calibri" w:cs="Times New Roman"/>
        </w:rPr>
        <w:t xml:space="preserve"> and </w:t>
      </w:r>
      <w:r>
        <w:rPr>
          <w:rFonts w:ascii="Calibri" w:hAnsi="Calibri" w:cs="Times New Roman"/>
        </w:rPr>
        <w:t>building the capacity of government officials and civil society, especially women’s and girls’ organizations, for gender-responsive reporting on conflict;</w:t>
      </w:r>
      <w:r w:rsidRPr="00F62D05">
        <w:rPr>
          <w:rFonts w:ascii="Calibri" w:hAnsi="Calibri" w:cs="Times New Roman"/>
        </w:rPr>
        <w:t xml:space="preserve"> </w:t>
      </w:r>
    </w:p>
    <w:p w14:paraId="2C06CCE1" w14:textId="77777777" w:rsidR="008932CA" w:rsidRDefault="008932CA" w:rsidP="008932CA">
      <w:pPr>
        <w:pStyle w:val="ListParagraph"/>
        <w:ind w:left="1440"/>
        <w:jc w:val="both"/>
        <w:rPr>
          <w:rFonts w:ascii="Calibri" w:hAnsi="Calibri" w:cs="Times New Roman"/>
        </w:rPr>
      </w:pPr>
    </w:p>
    <w:p w14:paraId="1BEE9E98" w14:textId="77777777" w:rsidR="008932CA" w:rsidRDefault="008932CA" w:rsidP="008932CA">
      <w:pPr>
        <w:pStyle w:val="ListParagraph"/>
        <w:numPr>
          <w:ilvl w:val="1"/>
          <w:numId w:val="9"/>
        </w:numPr>
        <w:spacing w:line="360" w:lineRule="auto"/>
        <w:jc w:val="both"/>
        <w:rPr>
          <w:rFonts w:ascii="Calibri" w:hAnsi="Calibri" w:cs="Times New Roman"/>
        </w:rPr>
      </w:pPr>
      <w:r>
        <w:rPr>
          <w:rFonts w:ascii="Calibri" w:hAnsi="Calibri" w:cs="Times New Roman"/>
        </w:rPr>
        <w:t>Mainstreaming the CEDAW GR No. 30 into CEDAW country and shadow reporting, and budgeting for adequate financial and human resources to the CEDAW Committee, governments, women’s and girls’ organizations and others to provide capacity-building training on implementing the SCR 1325 and the CEDAW GR. No 30 in the context of the overarching legal framework on women, peace and security.</w:t>
      </w:r>
    </w:p>
    <w:p w14:paraId="2C46F24E" w14:textId="77777777" w:rsidR="008932CA" w:rsidRPr="00B2494C" w:rsidRDefault="008932CA" w:rsidP="008932CA">
      <w:pPr>
        <w:pStyle w:val="ListParagraph"/>
        <w:rPr>
          <w:rFonts w:ascii="Calibri" w:hAnsi="Calibri" w:cs="Times New Roman"/>
        </w:rPr>
      </w:pPr>
    </w:p>
    <w:p w14:paraId="38CA5FF2" w14:textId="77777777" w:rsidR="008932CA" w:rsidRPr="007B54BE" w:rsidRDefault="008932CA" w:rsidP="008932CA">
      <w:pPr>
        <w:pStyle w:val="ListParagraph"/>
        <w:numPr>
          <w:ilvl w:val="1"/>
          <w:numId w:val="9"/>
        </w:numPr>
        <w:spacing w:line="360" w:lineRule="auto"/>
        <w:jc w:val="both"/>
        <w:rPr>
          <w:rFonts w:ascii="Calibri" w:hAnsi="Calibri" w:cs="Times New Roman"/>
        </w:rPr>
      </w:pPr>
      <w:r>
        <w:rPr>
          <w:rFonts w:ascii="Calibri" w:hAnsi="Calibri" w:cs="Times New Roman"/>
        </w:rPr>
        <w:t xml:space="preserve">Improving the CEDAW communication procedure by publicising its availability and enabling women and girls to meaningfully access the procedure, including by </w:t>
      </w:r>
      <w:r w:rsidRPr="00471761">
        <w:rPr>
          <w:rFonts w:ascii="Calibri" w:hAnsi="Calibri"/>
        </w:rPr>
        <w:t xml:space="preserve">removing the requirement to exhaust domestic remedies, providing legal aid, and publicising </w:t>
      </w:r>
      <w:r>
        <w:rPr>
          <w:rFonts w:ascii="Calibri" w:hAnsi="Calibri"/>
        </w:rPr>
        <w:t>all decisions.</w:t>
      </w:r>
    </w:p>
    <w:p w14:paraId="3D46B196" w14:textId="77777777" w:rsidR="00AE75D5" w:rsidRDefault="00AE75D5" w:rsidP="00CF4DA2">
      <w:pPr>
        <w:pStyle w:val="ListParagraph"/>
        <w:spacing w:after="180"/>
        <w:ind w:left="0"/>
        <w:jc w:val="both"/>
        <w:rPr>
          <w:rFonts w:ascii="Calibri" w:eastAsiaTheme="minorHAnsi" w:hAnsi="Calibri" w:cs="Times New Roman"/>
          <w:b/>
          <w:color w:val="1F497D" w:themeColor="text2"/>
          <w:u w:val="single"/>
        </w:rPr>
      </w:pPr>
    </w:p>
    <w:p w14:paraId="191EAEFD" w14:textId="77777777" w:rsidR="00E07988" w:rsidRDefault="00E07988" w:rsidP="00CF4DA2">
      <w:pPr>
        <w:pStyle w:val="ListParagraph"/>
        <w:spacing w:after="180"/>
        <w:ind w:left="0"/>
        <w:jc w:val="both"/>
        <w:rPr>
          <w:rFonts w:ascii="Calibri" w:eastAsiaTheme="minorHAnsi" w:hAnsi="Calibri" w:cs="Times New Roman"/>
          <w:b/>
          <w:color w:val="1F497D" w:themeColor="text2"/>
          <w:u w:val="single"/>
        </w:rPr>
      </w:pPr>
    </w:p>
    <w:p w14:paraId="492BE72B" w14:textId="77777777" w:rsidR="00E07988" w:rsidRDefault="00E07988" w:rsidP="00CF4DA2">
      <w:pPr>
        <w:pStyle w:val="ListParagraph"/>
        <w:spacing w:after="180"/>
        <w:ind w:left="0"/>
        <w:jc w:val="both"/>
        <w:rPr>
          <w:rFonts w:ascii="Calibri" w:eastAsiaTheme="minorHAnsi" w:hAnsi="Calibri" w:cs="Times New Roman"/>
          <w:b/>
          <w:color w:val="1F497D" w:themeColor="text2"/>
          <w:u w:val="single"/>
        </w:rPr>
      </w:pPr>
    </w:p>
    <w:p w14:paraId="34502C7F" w14:textId="77777777" w:rsidR="00E07988" w:rsidRDefault="00E07988" w:rsidP="00CF4DA2">
      <w:pPr>
        <w:pStyle w:val="ListParagraph"/>
        <w:spacing w:after="180"/>
        <w:ind w:left="0"/>
        <w:jc w:val="both"/>
        <w:rPr>
          <w:rFonts w:ascii="Calibri" w:eastAsiaTheme="minorHAnsi" w:hAnsi="Calibri" w:cs="Times New Roman"/>
          <w:b/>
          <w:color w:val="1F497D" w:themeColor="text2"/>
          <w:u w:val="single"/>
        </w:rPr>
      </w:pPr>
    </w:p>
    <w:p w14:paraId="515F16E5" w14:textId="76522095" w:rsidR="009C4D86" w:rsidRPr="00CF4DA2" w:rsidRDefault="009C4D86" w:rsidP="00CF4DA2">
      <w:pPr>
        <w:pStyle w:val="ListParagraph"/>
        <w:spacing w:after="180"/>
        <w:ind w:left="0"/>
        <w:jc w:val="both"/>
        <w:rPr>
          <w:rFonts w:ascii="Calibri" w:eastAsiaTheme="minorHAnsi" w:hAnsi="Calibri" w:cs="Times New Roman"/>
          <w:b/>
          <w:color w:val="1F497D" w:themeColor="text2"/>
          <w:u w:val="single"/>
        </w:rPr>
      </w:pPr>
      <w:r w:rsidRPr="00CF4DA2">
        <w:rPr>
          <w:rFonts w:ascii="Calibri" w:eastAsiaTheme="minorHAnsi" w:hAnsi="Calibri" w:cs="Times New Roman"/>
          <w:b/>
          <w:color w:val="1F497D" w:themeColor="text2"/>
          <w:u w:val="single"/>
        </w:rPr>
        <w:lastRenderedPageBreak/>
        <w:t xml:space="preserve">Recommendation 5: To allow for transformative equality, </w:t>
      </w:r>
      <w:proofErr w:type="gramStart"/>
      <w:r w:rsidRPr="00CF4DA2">
        <w:rPr>
          <w:rFonts w:ascii="Calibri" w:eastAsiaTheme="minorHAnsi" w:hAnsi="Calibri" w:cs="Times New Roman"/>
          <w:b/>
          <w:color w:val="1F497D" w:themeColor="text2"/>
          <w:u w:val="single"/>
        </w:rPr>
        <w:t>which is provided for in the legal framework, especially under CEDAW, including by providing transformative remedies for women and girl victims of rights violations</w:t>
      </w:r>
      <w:proofErr w:type="gramEnd"/>
      <w:r w:rsidRPr="00CF4DA2">
        <w:rPr>
          <w:rFonts w:ascii="Calibri" w:eastAsiaTheme="minorHAnsi" w:hAnsi="Calibri" w:cs="Times New Roman"/>
          <w:b/>
          <w:color w:val="1F497D" w:themeColor="text2"/>
          <w:u w:val="single"/>
        </w:rPr>
        <w:t xml:space="preserve"> </w:t>
      </w:r>
    </w:p>
    <w:p w14:paraId="150AAE87" w14:textId="77777777" w:rsidR="00B2494C" w:rsidRPr="005460C4" w:rsidRDefault="00B2494C" w:rsidP="009C4D86">
      <w:pPr>
        <w:jc w:val="both"/>
        <w:rPr>
          <w:rFonts w:ascii="Calibri" w:hAnsi="Calibri" w:cs="Times New Roman"/>
        </w:rPr>
      </w:pPr>
    </w:p>
    <w:p w14:paraId="47FE2C1A" w14:textId="6909D87A" w:rsidR="009C4D86" w:rsidRDefault="009C4D86" w:rsidP="00AE75D5">
      <w:pPr>
        <w:pStyle w:val="ListParagraph"/>
        <w:numPr>
          <w:ilvl w:val="0"/>
          <w:numId w:val="9"/>
        </w:numPr>
        <w:spacing w:line="360" w:lineRule="auto"/>
        <w:jc w:val="both"/>
        <w:rPr>
          <w:rFonts w:ascii="Calibri" w:hAnsi="Calibri" w:cs="Times New Roman"/>
        </w:rPr>
      </w:pPr>
      <w:r>
        <w:rPr>
          <w:rFonts w:ascii="Calibri" w:hAnsi="Calibri" w:cs="Times New Roman"/>
        </w:rPr>
        <w:t xml:space="preserve">To </w:t>
      </w:r>
      <w:r w:rsidR="00AF0B63">
        <w:rPr>
          <w:rFonts w:ascii="Calibri" w:hAnsi="Calibri" w:cs="Times New Roman"/>
        </w:rPr>
        <w:t>guarantee</w:t>
      </w:r>
      <w:r>
        <w:rPr>
          <w:rFonts w:ascii="Calibri" w:hAnsi="Calibri" w:cs="Times New Roman"/>
        </w:rPr>
        <w:t xml:space="preserve"> </w:t>
      </w:r>
      <w:r w:rsidRPr="0007733F">
        <w:rPr>
          <w:rFonts w:ascii="Calibri" w:hAnsi="Calibri" w:cs="Times New Roman"/>
          <w:i/>
        </w:rPr>
        <w:t>transformative equality</w:t>
      </w:r>
      <w:r>
        <w:rPr>
          <w:rFonts w:ascii="Calibri" w:hAnsi="Calibri" w:cs="Times New Roman"/>
        </w:rPr>
        <w:t>, international, regional and national courts</w:t>
      </w:r>
      <w:r w:rsidR="00AF0B63">
        <w:rPr>
          <w:rFonts w:ascii="Calibri" w:hAnsi="Calibri" w:cs="Times New Roman"/>
        </w:rPr>
        <w:t xml:space="preserve">, judicial and quasi-judicial bodies, informal justice mechanisms and all relevant bodies with the power to provide remedies to victims of rights violations, including those in transitional justice situations, should </w:t>
      </w:r>
      <w:r>
        <w:rPr>
          <w:rFonts w:ascii="Calibri" w:hAnsi="Calibri" w:cs="Times New Roman"/>
        </w:rPr>
        <w:t xml:space="preserve">apply transformative remedies that both provide meaningful redress for victims </w:t>
      </w:r>
      <w:r w:rsidR="00AF0B63">
        <w:rPr>
          <w:rFonts w:ascii="Calibri" w:hAnsi="Calibri" w:cs="Times New Roman"/>
        </w:rPr>
        <w:t>and survivors</w:t>
      </w:r>
      <w:r>
        <w:rPr>
          <w:rFonts w:ascii="Calibri" w:hAnsi="Calibri" w:cs="Times New Roman"/>
        </w:rPr>
        <w:t xml:space="preserve">, and hold perpetrators fully accountable for their actions. </w:t>
      </w:r>
    </w:p>
    <w:p w14:paraId="38F33118" w14:textId="77777777" w:rsidR="004E5EBC" w:rsidRDefault="004E5EBC" w:rsidP="004E5EBC">
      <w:pPr>
        <w:pStyle w:val="ListParagraph"/>
        <w:ind w:left="0"/>
        <w:jc w:val="both"/>
        <w:rPr>
          <w:rFonts w:ascii="Calibri" w:hAnsi="Calibri" w:cs="Times New Roman"/>
        </w:rPr>
      </w:pPr>
    </w:p>
    <w:p w14:paraId="55D630F5" w14:textId="3842DC43" w:rsidR="00B2494C" w:rsidRDefault="004E5EBC" w:rsidP="00AE75D5">
      <w:pPr>
        <w:pStyle w:val="ListParagraph"/>
        <w:spacing w:line="360" w:lineRule="auto"/>
        <w:ind w:left="0"/>
        <w:jc w:val="both"/>
        <w:rPr>
          <w:rFonts w:ascii="Calibri" w:hAnsi="Calibri" w:cs="Times New Roman"/>
        </w:rPr>
      </w:pPr>
      <w:r>
        <w:rPr>
          <w:rFonts w:ascii="Calibri" w:hAnsi="Calibri" w:cs="Times New Roman"/>
        </w:rPr>
        <w:t xml:space="preserve">Section 1 </w:t>
      </w:r>
      <w:r w:rsidR="0026176D">
        <w:rPr>
          <w:rFonts w:ascii="Calibri" w:hAnsi="Calibri" w:cs="Times New Roman"/>
        </w:rPr>
        <w:t xml:space="preserve">shows that making the normative case </w:t>
      </w:r>
      <w:r>
        <w:rPr>
          <w:rFonts w:ascii="Calibri" w:hAnsi="Calibri" w:cs="Times New Roman"/>
        </w:rPr>
        <w:t>requires seeing SCR 1325</w:t>
      </w:r>
      <w:r w:rsidR="0026176D">
        <w:rPr>
          <w:rFonts w:ascii="Calibri" w:hAnsi="Calibri" w:cs="Times New Roman"/>
        </w:rPr>
        <w:t xml:space="preserve"> and its related resolutions as more than political documents, fixed to </w:t>
      </w:r>
      <w:r>
        <w:rPr>
          <w:rFonts w:ascii="Calibri" w:hAnsi="Calibri" w:cs="Times New Roman"/>
        </w:rPr>
        <w:t>particular moment</w:t>
      </w:r>
      <w:r w:rsidR="0026176D">
        <w:rPr>
          <w:rFonts w:ascii="Calibri" w:hAnsi="Calibri" w:cs="Times New Roman"/>
        </w:rPr>
        <w:t>s</w:t>
      </w:r>
      <w:r>
        <w:rPr>
          <w:rFonts w:ascii="Calibri" w:hAnsi="Calibri" w:cs="Times New Roman"/>
        </w:rPr>
        <w:t xml:space="preserve"> in the </w:t>
      </w:r>
      <w:r w:rsidR="00C20E43">
        <w:rPr>
          <w:rFonts w:ascii="Calibri" w:hAnsi="Calibri" w:cs="Times New Roman"/>
        </w:rPr>
        <w:t xml:space="preserve">Security </w:t>
      </w:r>
      <w:r>
        <w:rPr>
          <w:rFonts w:ascii="Calibri" w:hAnsi="Calibri" w:cs="Times New Roman"/>
        </w:rPr>
        <w:t xml:space="preserve">Council’s history. </w:t>
      </w:r>
      <w:r w:rsidR="00AF0B63">
        <w:rPr>
          <w:rFonts w:ascii="Calibri" w:hAnsi="Calibri" w:cs="Times New Roman"/>
        </w:rPr>
        <w:t xml:space="preserve">Making the normative case </w:t>
      </w:r>
      <w:r>
        <w:rPr>
          <w:rFonts w:ascii="Calibri" w:hAnsi="Calibri" w:cs="Times New Roman"/>
        </w:rPr>
        <w:t>means understanding the legal obl</w:t>
      </w:r>
      <w:r w:rsidR="0026176D">
        <w:rPr>
          <w:rFonts w:ascii="Calibri" w:hAnsi="Calibri" w:cs="Times New Roman"/>
        </w:rPr>
        <w:t>igations that underpin SCR 1325 and the subsequent resoluti</w:t>
      </w:r>
      <w:r w:rsidR="00AF0B63">
        <w:rPr>
          <w:rFonts w:ascii="Calibri" w:hAnsi="Calibri" w:cs="Times New Roman"/>
        </w:rPr>
        <w:t>ons on WPS. Section 1 situates</w:t>
      </w:r>
      <w:r w:rsidR="0026176D">
        <w:rPr>
          <w:rFonts w:ascii="Calibri" w:hAnsi="Calibri" w:cs="Times New Roman"/>
        </w:rPr>
        <w:t xml:space="preserve"> the resolutions on WPS </w:t>
      </w:r>
      <w:r w:rsidR="008D35DB">
        <w:rPr>
          <w:rFonts w:ascii="Calibri" w:hAnsi="Calibri" w:cs="Times New Roman"/>
        </w:rPr>
        <w:t xml:space="preserve">in the context of an </w:t>
      </w:r>
      <w:r>
        <w:rPr>
          <w:rFonts w:ascii="Calibri" w:hAnsi="Calibri" w:cs="Times New Roman"/>
        </w:rPr>
        <w:t>established and growing legal framework that recognises the duties</w:t>
      </w:r>
      <w:r w:rsidR="0026176D">
        <w:rPr>
          <w:rFonts w:ascii="Calibri" w:hAnsi="Calibri" w:cs="Times New Roman"/>
        </w:rPr>
        <w:t xml:space="preserve"> to uphold the human rights of women, girls, men and boys,</w:t>
      </w:r>
      <w:r>
        <w:rPr>
          <w:rFonts w:ascii="Calibri" w:hAnsi="Calibri" w:cs="Times New Roman"/>
        </w:rPr>
        <w:t xml:space="preserve"> held by all parties involved in conflicts, including states, non-state actors, and internati</w:t>
      </w:r>
      <w:r w:rsidR="0026176D">
        <w:rPr>
          <w:rFonts w:ascii="Calibri" w:hAnsi="Calibri" w:cs="Times New Roman"/>
        </w:rPr>
        <w:t>onal and regional organizations. The legal framework</w:t>
      </w:r>
      <w:r w:rsidR="00B1672D">
        <w:rPr>
          <w:rFonts w:ascii="Calibri" w:hAnsi="Calibri" w:cs="Times New Roman"/>
        </w:rPr>
        <w:t xml:space="preserve">, </w:t>
      </w:r>
      <w:r w:rsidR="008D35DB">
        <w:rPr>
          <w:rFonts w:ascii="Calibri" w:hAnsi="Calibri" w:cs="Times New Roman"/>
        </w:rPr>
        <w:t xml:space="preserve">when </w:t>
      </w:r>
      <w:r w:rsidR="00B1672D">
        <w:rPr>
          <w:rFonts w:ascii="Calibri" w:hAnsi="Calibri" w:cs="Times New Roman"/>
        </w:rPr>
        <w:t>fully implemented,</w:t>
      </w:r>
      <w:r>
        <w:rPr>
          <w:rFonts w:ascii="Calibri" w:hAnsi="Calibri" w:cs="Times New Roman"/>
        </w:rPr>
        <w:t xml:space="preserve"> allows women and girls, and men and boys, to claim their rights and hold perpetrators accountable for violations of those rights, in ways </w:t>
      </w:r>
      <w:r w:rsidR="0026176D">
        <w:rPr>
          <w:rFonts w:ascii="Calibri" w:hAnsi="Calibri" w:cs="Times New Roman"/>
        </w:rPr>
        <w:t>that guarantee</w:t>
      </w:r>
      <w:r>
        <w:rPr>
          <w:rFonts w:ascii="Calibri" w:hAnsi="Calibri" w:cs="Times New Roman"/>
        </w:rPr>
        <w:t xml:space="preserve"> </w:t>
      </w:r>
      <w:r w:rsidR="008D35DB">
        <w:rPr>
          <w:rFonts w:ascii="Calibri" w:hAnsi="Calibri" w:cs="Times New Roman"/>
        </w:rPr>
        <w:t xml:space="preserve">both </w:t>
      </w:r>
      <w:r>
        <w:rPr>
          <w:rFonts w:ascii="Calibri" w:hAnsi="Calibri" w:cs="Times New Roman"/>
        </w:rPr>
        <w:t>substantive</w:t>
      </w:r>
      <w:r w:rsidR="0026176D">
        <w:rPr>
          <w:rFonts w:ascii="Calibri" w:hAnsi="Calibri" w:cs="Times New Roman"/>
        </w:rPr>
        <w:t xml:space="preserve"> </w:t>
      </w:r>
      <w:r w:rsidR="008D35DB">
        <w:rPr>
          <w:rFonts w:ascii="Calibri" w:hAnsi="Calibri" w:cs="Times New Roman"/>
        </w:rPr>
        <w:t>and</w:t>
      </w:r>
      <w:r>
        <w:rPr>
          <w:rFonts w:ascii="Calibri" w:hAnsi="Calibri" w:cs="Times New Roman"/>
        </w:rPr>
        <w:t xml:space="preserve"> </w:t>
      </w:r>
      <w:r w:rsidR="0026176D">
        <w:rPr>
          <w:rFonts w:ascii="Calibri" w:hAnsi="Calibri" w:cs="Times New Roman"/>
        </w:rPr>
        <w:t>transformative equality.</w:t>
      </w:r>
      <w:r w:rsidR="006251E3">
        <w:rPr>
          <w:rFonts w:ascii="Calibri" w:hAnsi="Calibri" w:cs="Times New Roman"/>
        </w:rPr>
        <w:t xml:space="preserve"> </w:t>
      </w:r>
    </w:p>
    <w:p w14:paraId="2DD11427" w14:textId="77777777" w:rsidR="00B2494C" w:rsidRDefault="00B2494C" w:rsidP="004E5EBC">
      <w:pPr>
        <w:pStyle w:val="ListParagraph"/>
        <w:ind w:left="0"/>
        <w:jc w:val="both"/>
        <w:rPr>
          <w:rFonts w:ascii="Calibri" w:hAnsi="Calibri" w:cs="Times New Roman"/>
        </w:rPr>
      </w:pPr>
    </w:p>
    <w:p w14:paraId="64AF3511" w14:textId="1520FE86" w:rsidR="004E5EBC" w:rsidRDefault="006251E3" w:rsidP="00AE75D5">
      <w:pPr>
        <w:pStyle w:val="ListParagraph"/>
        <w:spacing w:line="360" w:lineRule="auto"/>
        <w:ind w:left="0"/>
        <w:jc w:val="both"/>
        <w:rPr>
          <w:rFonts w:ascii="Calibri" w:hAnsi="Calibri" w:cs="Times New Roman"/>
        </w:rPr>
      </w:pPr>
      <w:r>
        <w:rPr>
          <w:rFonts w:ascii="Calibri" w:hAnsi="Calibri" w:cs="Times New Roman"/>
        </w:rPr>
        <w:t xml:space="preserve">The following sections </w:t>
      </w:r>
      <w:r w:rsidR="00CF7112">
        <w:rPr>
          <w:rFonts w:ascii="Calibri" w:hAnsi="Calibri" w:cs="Times New Roman"/>
        </w:rPr>
        <w:t>consider how the legal framework could be implemented, at the country level (Section 2) and via processes and remedies available to victims of rights violations</w:t>
      </w:r>
      <w:r w:rsidR="00A6205A">
        <w:rPr>
          <w:rFonts w:ascii="Calibri" w:hAnsi="Calibri" w:cs="Times New Roman"/>
        </w:rPr>
        <w:t xml:space="preserve"> (Section 3)</w:t>
      </w:r>
      <w:r w:rsidR="00CF7112">
        <w:rPr>
          <w:rFonts w:ascii="Calibri" w:hAnsi="Calibri" w:cs="Times New Roman"/>
        </w:rPr>
        <w:t xml:space="preserve">. </w:t>
      </w:r>
    </w:p>
    <w:p w14:paraId="3093B4BA" w14:textId="77777777" w:rsidR="004E5EBC" w:rsidRDefault="004E5EBC" w:rsidP="004E5EBC">
      <w:pPr>
        <w:pStyle w:val="ListParagraph"/>
        <w:ind w:left="0"/>
        <w:jc w:val="both"/>
        <w:rPr>
          <w:rFonts w:ascii="Calibri" w:hAnsi="Calibri" w:cs="Times New Roman"/>
        </w:rPr>
      </w:pPr>
    </w:p>
    <w:p w14:paraId="66B6361C" w14:textId="56C06B7D" w:rsidR="001611F0" w:rsidRDefault="004E5EBC" w:rsidP="00034169">
      <w:pPr>
        <w:pStyle w:val="ListParagraph"/>
        <w:spacing w:line="360" w:lineRule="auto"/>
        <w:ind w:left="0"/>
        <w:jc w:val="both"/>
        <w:rPr>
          <w:rFonts w:ascii="Calibri" w:hAnsi="Calibri" w:cs="Times New Roman"/>
        </w:rPr>
      </w:pPr>
      <w:r>
        <w:rPr>
          <w:rFonts w:ascii="Calibri" w:hAnsi="Calibri" w:cs="Times New Roman"/>
        </w:rPr>
        <w:t xml:space="preserve">Section 2 of the submission considers </w:t>
      </w:r>
      <w:r w:rsidR="003C40D4">
        <w:rPr>
          <w:rFonts w:ascii="Calibri" w:hAnsi="Calibri" w:cs="Times New Roman"/>
        </w:rPr>
        <w:t xml:space="preserve">how the legal framework on WPS outlined in Section 1 could be implemented, via </w:t>
      </w:r>
      <w:r w:rsidR="00561836">
        <w:rPr>
          <w:rFonts w:ascii="Calibri" w:hAnsi="Calibri" w:cs="Times New Roman"/>
        </w:rPr>
        <w:t xml:space="preserve">National Action Plans (NAPs). This section </w:t>
      </w:r>
      <w:r w:rsidR="00AC36D1">
        <w:rPr>
          <w:rFonts w:ascii="Calibri" w:hAnsi="Calibri" w:cs="Times New Roman"/>
        </w:rPr>
        <w:t>contains</w:t>
      </w:r>
      <w:r>
        <w:rPr>
          <w:rFonts w:ascii="Calibri" w:hAnsi="Calibri" w:cs="Times New Roman"/>
        </w:rPr>
        <w:t xml:space="preserve"> six case studies of SCR 1325 </w:t>
      </w:r>
      <w:r w:rsidR="00AC36D1">
        <w:rPr>
          <w:rFonts w:ascii="Calibri" w:hAnsi="Calibri" w:cs="Times New Roman"/>
        </w:rPr>
        <w:t>NAPs</w:t>
      </w:r>
      <w:r>
        <w:rPr>
          <w:rFonts w:ascii="Calibri" w:hAnsi="Calibri" w:cs="Times New Roman"/>
        </w:rPr>
        <w:t xml:space="preserve"> from different regions around the world. The NAPs, recommended by the Security Council to governments to better implement SCR 1325, are </w:t>
      </w:r>
      <w:r w:rsidR="00561836">
        <w:rPr>
          <w:rFonts w:ascii="Calibri" w:hAnsi="Calibri" w:cs="Times New Roman"/>
        </w:rPr>
        <w:t>one of the main</w:t>
      </w:r>
      <w:r>
        <w:rPr>
          <w:rFonts w:ascii="Calibri" w:hAnsi="Calibri" w:cs="Times New Roman"/>
        </w:rPr>
        <w:t xml:space="preserve"> mechanism</w:t>
      </w:r>
      <w:r w:rsidR="00561836">
        <w:rPr>
          <w:rFonts w:ascii="Calibri" w:hAnsi="Calibri" w:cs="Times New Roman"/>
        </w:rPr>
        <w:t>s</w:t>
      </w:r>
      <w:r>
        <w:rPr>
          <w:rFonts w:ascii="Calibri" w:hAnsi="Calibri" w:cs="Times New Roman"/>
        </w:rPr>
        <w:t xml:space="preserve"> that the </w:t>
      </w:r>
      <w:r w:rsidR="00AC36D1">
        <w:rPr>
          <w:rFonts w:ascii="Calibri" w:hAnsi="Calibri" w:cs="Times New Roman"/>
        </w:rPr>
        <w:t xml:space="preserve">Security </w:t>
      </w:r>
      <w:r>
        <w:rPr>
          <w:rFonts w:ascii="Calibri" w:hAnsi="Calibri" w:cs="Times New Roman"/>
        </w:rPr>
        <w:t xml:space="preserve">Council, </w:t>
      </w:r>
      <w:r w:rsidR="00B1672D">
        <w:rPr>
          <w:rFonts w:ascii="Calibri" w:hAnsi="Calibri" w:cs="Times New Roman"/>
        </w:rPr>
        <w:t>other UN organs and bodies</w:t>
      </w:r>
      <w:r>
        <w:rPr>
          <w:rFonts w:ascii="Calibri" w:hAnsi="Calibri" w:cs="Times New Roman"/>
        </w:rPr>
        <w:t xml:space="preserve">, </w:t>
      </w:r>
      <w:r w:rsidR="00AC36D1">
        <w:rPr>
          <w:rFonts w:ascii="Calibri" w:hAnsi="Calibri" w:cs="Times New Roman"/>
        </w:rPr>
        <w:t>states, non-governmental organizations (</w:t>
      </w:r>
      <w:r>
        <w:rPr>
          <w:rFonts w:ascii="Calibri" w:hAnsi="Calibri" w:cs="Times New Roman"/>
        </w:rPr>
        <w:t>NGOs</w:t>
      </w:r>
      <w:r w:rsidR="00AC36D1">
        <w:rPr>
          <w:rFonts w:ascii="Calibri" w:hAnsi="Calibri" w:cs="Times New Roman"/>
        </w:rPr>
        <w:t>)</w:t>
      </w:r>
      <w:r>
        <w:rPr>
          <w:rFonts w:ascii="Calibri" w:hAnsi="Calibri" w:cs="Times New Roman"/>
        </w:rPr>
        <w:t xml:space="preserve"> and others use to track the enforcement of the </w:t>
      </w:r>
      <w:r w:rsidR="00561836">
        <w:rPr>
          <w:rFonts w:ascii="Calibri" w:hAnsi="Calibri" w:cs="Times New Roman"/>
        </w:rPr>
        <w:t>Security Council resolutions in women, peace and security</w:t>
      </w:r>
      <w:r>
        <w:rPr>
          <w:rFonts w:ascii="Calibri" w:hAnsi="Calibri" w:cs="Times New Roman"/>
        </w:rPr>
        <w:t xml:space="preserve">. The case studies include a range of countries </w:t>
      </w:r>
      <w:r w:rsidR="00AC36D1">
        <w:rPr>
          <w:rFonts w:ascii="Calibri" w:hAnsi="Calibri" w:cs="Times New Roman"/>
        </w:rPr>
        <w:t>at</w:t>
      </w:r>
      <w:r>
        <w:rPr>
          <w:rFonts w:ascii="Calibri" w:hAnsi="Calibri" w:cs="Times New Roman"/>
        </w:rPr>
        <w:t xml:space="preserve"> various stages of the conflict </w:t>
      </w:r>
      <w:r w:rsidR="00561836">
        <w:rPr>
          <w:rFonts w:ascii="Calibri" w:hAnsi="Calibri" w:cs="Times New Roman"/>
        </w:rPr>
        <w:t xml:space="preserve">process </w:t>
      </w:r>
      <w:r>
        <w:rPr>
          <w:rFonts w:ascii="Calibri" w:hAnsi="Calibri" w:cs="Times New Roman"/>
        </w:rPr>
        <w:t>(conflict prevention, conflict, conflict resolution, post-conflict and transitional justice s</w:t>
      </w:r>
      <w:r w:rsidR="00C7221E">
        <w:rPr>
          <w:rFonts w:ascii="Calibri" w:hAnsi="Calibri" w:cs="Times New Roman"/>
        </w:rPr>
        <w:t>ituations</w:t>
      </w:r>
      <w:r>
        <w:rPr>
          <w:rFonts w:ascii="Calibri" w:hAnsi="Calibri" w:cs="Times New Roman"/>
        </w:rPr>
        <w:t>).</w:t>
      </w:r>
      <w:r w:rsidR="00C7221E">
        <w:rPr>
          <w:rFonts w:ascii="Calibri" w:hAnsi="Calibri" w:cs="Times New Roman"/>
        </w:rPr>
        <w:t xml:space="preserve"> Most countries have been chosen because of an existing or multiple NAPs. Myanmar has been chosen as a country that is moving towards adopting a NAP. The case studies are: </w:t>
      </w:r>
    </w:p>
    <w:p w14:paraId="00625503" w14:textId="0BEC328F" w:rsidR="004E5EBC" w:rsidRDefault="004E5EBC" w:rsidP="001611F0">
      <w:pPr>
        <w:pStyle w:val="ListParagraph"/>
        <w:numPr>
          <w:ilvl w:val="0"/>
          <w:numId w:val="8"/>
        </w:numPr>
        <w:spacing w:line="360" w:lineRule="auto"/>
        <w:jc w:val="both"/>
        <w:rPr>
          <w:rFonts w:ascii="Calibri" w:hAnsi="Calibri" w:cs="Times New Roman"/>
        </w:rPr>
      </w:pPr>
      <w:r>
        <w:rPr>
          <w:rFonts w:ascii="Calibri" w:hAnsi="Calibri" w:cs="Times New Roman"/>
        </w:rPr>
        <w:t>The Democratic Republic of the Congo (Africa)</w:t>
      </w:r>
    </w:p>
    <w:p w14:paraId="52127CC5" w14:textId="7A513BD5" w:rsidR="00DB3C66" w:rsidRPr="00DB3C66" w:rsidRDefault="004E5EBC" w:rsidP="00AE75D5">
      <w:pPr>
        <w:pStyle w:val="ListParagraph"/>
        <w:numPr>
          <w:ilvl w:val="0"/>
          <w:numId w:val="8"/>
        </w:numPr>
        <w:spacing w:line="360" w:lineRule="auto"/>
        <w:jc w:val="both"/>
        <w:rPr>
          <w:rFonts w:ascii="Calibri" w:hAnsi="Calibri" w:cs="Times New Roman"/>
        </w:rPr>
      </w:pPr>
      <w:r>
        <w:rPr>
          <w:rFonts w:ascii="Calibri" w:hAnsi="Calibri" w:cs="Times New Roman"/>
        </w:rPr>
        <w:t xml:space="preserve">Myanmar </w:t>
      </w:r>
      <w:r w:rsidR="00DB3C66">
        <w:rPr>
          <w:rFonts w:ascii="Calibri" w:hAnsi="Calibri" w:cs="Times New Roman"/>
        </w:rPr>
        <w:t xml:space="preserve">(Asia) </w:t>
      </w:r>
    </w:p>
    <w:p w14:paraId="5763F3C9" w14:textId="610E5F65" w:rsidR="004E5EBC" w:rsidRDefault="00DB3C66" w:rsidP="00AE75D5">
      <w:pPr>
        <w:pStyle w:val="ListParagraph"/>
        <w:numPr>
          <w:ilvl w:val="0"/>
          <w:numId w:val="8"/>
        </w:numPr>
        <w:spacing w:line="360" w:lineRule="auto"/>
        <w:jc w:val="both"/>
        <w:rPr>
          <w:rFonts w:ascii="Calibri" w:hAnsi="Calibri" w:cs="Times New Roman"/>
        </w:rPr>
      </w:pPr>
      <w:r>
        <w:rPr>
          <w:rFonts w:ascii="Calibri" w:hAnsi="Calibri" w:cs="Times New Roman"/>
        </w:rPr>
        <w:lastRenderedPageBreak/>
        <w:t xml:space="preserve">Nepal </w:t>
      </w:r>
      <w:r w:rsidR="004E5EBC">
        <w:rPr>
          <w:rFonts w:ascii="Calibri" w:hAnsi="Calibri" w:cs="Times New Roman"/>
        </w:rPr>
        <w:t xml:space="preserve">(Asia) </w:t>
      </w:r>
    </w:p>
    <w:p w14:paraId="308C397E" w14:textId="77777777" w:rsidR="004E5EBC" w:rsidRDefault="004E5EBC" w:rsidP="00AE75D5">
      <w:pPr>
        <w:pStyle w:val="ListParagraph"/>
        <w:numPr>
          <w:ilvl w:val="0"/>
          <w:numId w:val="8"/>
        </w:numPr>
        <w:spacing w:line="360" w:lineRule="auto"/>
        <w:jc w:val="both"/>
        <w:rPr>
          <w:rFonts w:ascii="Calibri" w:hAnsi="Calibri" w:cs="Times New Roman"/>
        </w:rPr>
      </w:pPr>
      <w:r>
        <w:rPr>
          <w:rFonts w:ascii="Calibri" w:hAnsi="Calibri" w:cs="Times New Roman"/>
        </w:rPr>
        <w:t xml:space="preserve">Bosnia and Herzegovina (Europe) </w:t>
      </w:r>
    </w:p>
    <w:p w14:paraId="0E8665FA" w14:textId="18B95942" w:rsidR="004E5EBC" w:rsidRDefault="00BB71B2" w:rsidP="00AE75D5">
      <w:pPr>
        <w:pStyle w:val="ListParagraph"/>
        <w:numPr>
          <w:ilvl w:val="0"/>
          <w:numId w:val="8"/>
        </w:numPr>
        <w:spacing w:line="360" w:lineRule="auto"/>
        <w:jc w:val="both"/>
        <w:rPr>
          <w:rFonts w:ascii="Calibri" w:hAnsi="Calibri" w:cs="Times New Roman"/>
        </w:rPr>
      </w:pPr>
      <w:r>
        <w:rPr>
          <w:rFonts w:ascii="Calibri" w:hAnsi="Calibri" w:cs="Times New Roman"/>
        </w:rPr>
        <w:t>Chile (Latin America)</w:t>
      </w:r>
    </w:p>
    <w:p w14:paraId="5502DB12" w14:textId="77777777" w:rsidR="004E5EBC" w:rsidRDefault="004E5EBC" w:rsidP="00AE75D5">
      <w:pPr>
        <w:pStyle w:val="ListParagraph"/>
        <w:numPr>
          <w:ilvl w:val="0"/>
          <w:numId w:val="8"/>
        </w:numPr>
        <w:spacing w:line="360" w:lineRule="auto"/>
        <w:jc w:val="both"/>
        <w:rPr>
          <w:rFonts w:ascii="Calibri" w:hAnsi="Calibri" w:cs="Times New Roman"/>
        </w:rPr>
      </w:pPr>
      <w:r>
        <w:rPr>
          <w:rFonts w:ascii="Calibri" w:hAnsi="Calibri" w:cs="Times New Roman"/>
        </w:rPr>
        <w:t xml:space="preserve">Iraq (The Middle East) </w:t>
      </w:r>
    </w:p>
    <w:p w14:paraId="699B24AB" w14:textId="77777777" w:rsidR="004E5EBC" w:rsidRDefault="004E5EBC" w:rsidP="004E5EBC">
      <w:pPr>
        <w:pStyle w:val="ListParagraph"/>
        <w:ind w:left="0"/>
        <w:jc w:val="both"/>
        <w:rPr>
          <w:rFonts w:ascii="Calibri" w:hAnsi="Calibri" w:cs="Times New Roman"/>
        </w:rPr>
      </w:pPr>
    </w:p>
    <w:p w14:paraId="21D3ACF8" w14:textId="5F1613E8" w:rsidR="005460C4" w:rsidRDefault="004E5EBC" w:rsidP="001611F0">
      <w:pPr>
        <w:pStyle w:val="ListParagraph"/>
        <w:spacing w:line="360" w:lineRule="auto"/>
        <w:ind w:left="0"/>
        <w:jc w:val="both"/>
        <w:rPr>
          <w:rFonts w:ascii="Calibri" w:hAnsi="Calibri" w:cs="Times New Roman"/>
        </w:rPr>
      </w:pPr>
      <w:r>
        <w:rPr>
          <w:rFonts w:ascii="Calibri" w:hAnsi="Calibri" w:cs="Times New Roman"/>
        </w:rPr>
        <w:t xml:space="preserve">Section 3 of the submission </w:t>
      </w:r>
      <w:r w:rsidR="00CF7112">
        <w:rPr>
          <w:rFonts w:ascii="Calibri" w:hAnsi="Calibri" w:cs="Times New Roman"/>
        </w:rPr>
        <w:t>assesses</w:t>
      </w:r>
      <w:r>
        <w:rPr>
          <w:rFonts w:ascii="Calibri" w:hAnsi="Calibri" w:cs="Times New Roman"/>
        </w:rPr>
        <w:t xml:space="preserve"> existing </w:t>
      </w:r>
      <w:r w:rsidR="00B1672D">
        <w:rPr>
          <w:rFonts w:ascii="Calibri" w:hAnsi="Calibri" w:cs="Times New Roman"/>
        </w:rPr>
        <w:t>monitoring processes</w:t>
      </w:r>
      <w:r>
        <w:rPr>
          <w:rFonts w:ascii="Calibri" w:hAnsi="Calibri" w:cs="Times New Roman"/>
        </w:rPr>
        <w:t xml:space="preserve"> and </w:t>
      </w:r>
      <w:r w:rsidR="00B1672D">
        <w:rPr>
          <w:rFonts w:ascii="Calibri" w:hAnsi="Calibri" w:cs="Times New Roman"/>
        </w:rPr>
        <w:t xml:space="preserve">remedies </w:t>
      </w:r>
      <w:r>
        <w:rPr>
          <w:rFonts w:ascii="Calibri" w:hAnsi="Calibri" w:cs="Times New Roman"/>
        </w:rPr>
        <w:t xml:space="preserve">at the UN, and how these could be </w:t>
      </w:r>
      <w:r w:rsidR="00616F81">
        <w:rPr>
          <w:rFonts w:ascii="Calibri" w:hAnsi="Calibri" w:cs="Times New Roman"/>
        </w:rPr>
        <w:t>improved</w:t>
      </w:r>
      <w:r>
        <w:rPr>
          <w:rFonts w:ascii="Calibri" w:hAnsi="Calibri" w:cs="Times New Roman"/>
        </w:rPr>
        <w:t xml:space="preserve"> to </w:t>
      </w:r>
      <w:r w:rsidR="00616F81">
        <w:rPr>
          <w:rFonts w:ascii="Calibri" w:hAnsi="Calibri" w:cs="Times New Roman"/>
        </w:rPr>
        <w:t>guarantee</w:t>
      </w:r>
      <w:r w:rsidR="00561836">
        <w:rPr>
          <w:rFonts w:ascii="Calibri" w:hAnsi="Calibri" w:cs="Times New Roman"/>
        </w:rPr>
        <w:t xml:space="preserve"> substantive equality. This section</w:t>
      </w:r>
      <w:r>
        <w:rPr>
          <w:rFonts w:ascii="Calibri" w:hAnsi="Calibri" w:cs="Times New Roman"/>
        </w:rPr>
        <w:t xml:space="preserve"> also discusses the emergence of transformative reparations</w:t>
      </w:r>
      <w:r w:rsidR="00561836">
        <w:rPr>
          <w:rFonts w:ascii="Calibri" w:hAnsi="Calibri" w:cs="Times New Roman"/>
        </w:rPr>
        <w:t xml:space="preserve"> for women and gi</w:t>
      </w:r>
      <w:r w:rsidR="005F20A5">
        <w:rPr>
          <w:rFonts w:ascii="Calibri" w:hAnsi="Calibri" w:cs="Times New Roman"/>
        </w:rPr>
        <w:t>rl victims of rights violations</w:t>
      </w:r>
      <w:bookmarkStart w:id="2" w:name="_GoBack"/>
      <w:bookmarkEnd w:id="2"/>
      <w:r w:rsidR="00561836">
        <w:rPr>
          <w:rFonts w:ascii="Calibri" w:hAnsi="Calibri" w:cs="Times New Roman"/>
        </w:rPr>
        <w:t xml:space="preserve"> including sexual and gender-based violence (SGBV)</w:t>
      </w:r>
      <w:r>
        <w:rPr>
          <w:rFonts w:ascii="Calibri" w:hAnsi="Calibri" w:cs="Times New Roman"/>
        </w:rPr>
        <w:t xml:space="preserve">. The UN’s </w:t>
      </w:r>
      <w:r w:rsidR="005F20A5">
        <w:rPr>
          <w:rFonts w:ascii="Calibri" w:hAnsi="Calibri" w:cs="Times New Roman"/>
        </w:rPr>
        <w:t xml:space="preserve">currently </w:t>
      </w:r>
      <w:r w:rsidR="00561836">
        <w:rPr>
          <w:rFonts w:ascii="Calibri" w:hAnsi="Calibri" w:cs="Times New Roman"/>
        </w:rPr>
        <w:t xml:space="preserve">fragmented </w:t>
      </w:r>
      <w:r w:rsidR="005F20A5">
        <w:rPr>
          <w:rFonts w:ascii="Calibri" w:hAnsi="Calibri" w:cs="Times New Roman"/>
        </w:rPr>
        <w:t>system</w:t>
      </w:r>
      <w:r w:rsidR="00561836">
        <w:rPr>
          <w:rFonts w:ascii="Calibri" w:hAnsi="Calibri" w:cs="Times New Roman"/>
        </w:rPr>
        <w:t xml:space="preserve"> </w:t>
      </w:r>
      <w:r w:rsidR="005F20A5">
        <w:rPr>
          <w:rFonts w:ascii="Calibri" w:hAnsi="Calibri" w:cs="Times New Roman"/>
        </w:rPr>
        <w:t>must be reformed</w:t>
      </w:r>
      <w:r w:rsidR="00561836">
        <w:rPr>
          <w:rFonts w:ascii="Calibri" w:hAnsi="Calibri" w:cs="Times New Roman"/>
        </w:rPr>
        <w:t xml:space="preserve"> to effectively</w:t>
      </w:r>
      <w:r>
        <w:rPr>
          <w:rFonts w:ascii="Calibri" w:hAnsi="Calibri" w:cs="Times New Roman"/>
        </w:rPr>
        <w:t xml:space="preserve"> to monitor the accountability of states and other actors involved in conflict, and to provide redres</w:t>
      </w:r>
      <w:r w:rsidR="00B1672D">
        <w:rPr>
          <w:rFonts w:ascii="Calibri" w:hAnsi="Calibri" w:cs="Times New Roman"/>
        </w:rPr>
        <w:t>s for</w:t>
      </w:r>
      <w:r w:rsidR="003D792C">
        <w:rPr>
          <w:rFonts w:ascii="Calibri" w:hAnsi="Calibri" w:cs="Times New Roman"/>
        </w:rPr>
        <w:t xml:space="preserve"> victims</w:t>
      </w:r>
      <w:r w:rsidR="00561836">
        <w:rPr>
          <w:rFonts w:ascii="Calibri" w:hAnsi="Calibri" w:cs="Times New Roman"/>
        </w:rPr>
        <w:t>. Women and girls must be empowered</w:t>
      </w:r>
      <w:r w:rsidR="003D792C">
        <w:rPr>
          <w:rFonts w:ascii="Calibri" w:hAnsi="Calibri" w:cs="Times New Roman"/>
        </w:rPr>
        <w:t xml:space="preserve"> </w:t>
      </w:r>
      <w:r w:rsidR="00561836">
        <w:rPr>
          <w:rFonts w:ascii="Calibri" w:hAnsi="Calibri" w:cs="Times New Roman"/>
        </w:rPr>
        <w:t>to access</w:t>
      </w:r>
      <w:r w:rsidR="00CF7112">
        <w:rPr>
          <w:rFonts w:ascii="Calibri" w:hAnsi="Calibri" w:cs="Times New Roman"/>
        </w:rPr>
        <w:t xml:space="preserve"> remedy</w:t>
      </w:r>
      <w:r>
        <w:rPr>
          <w:rFonts w:ascii="Calibri" w:hAnsi="Calibri" w:cs="Times New Roman"/>
        </w:rPr>
        <w:t xml:space="preserve"> mechanisms</w:t>
      </w:r>
      <w:r w:rsidR="003D792C">
        <w:rPr>
          <w:rFonts w:ascii="Calibri" w:hAnsi="Calibri" w:cs="Times New Roman"/>
        </w:rPr>
        <w:t xml:space="preserve"> that </w:t>
      </w:r>
      <w:r w:rsidR="005F20A5">
        <w:rPr>
          <w:rFonts w:ascii="Calibri" w:hAnsi="Calibri" w:cs="Times New Roman"/>
        </w:rPr>
        <w:t xml:space="preserve">provide for </w:t>
      </w:r>
      <w:r w:rsidR="00616F81">
        <w:rPr>
          <w:rFonts w:ascii="Calibri" w:hAnsi="Calibri" w:cs="Times New Roman"/>
        </w:rPr>
        <w:t>transformative equality</w:t>
      </w:r>
      <w:r w:rsidR="008F4727">
        <w:rPr>
          <w:rFonts w:ascii="Calibri" w:hAnsi="Calibri" w:cs="Times New Roman"/>
        </w:rPr>
        <w:t>.</w:t>
      </w:r>
    </w:p>
    <w:p w14:paraId="5108A406" w14:textId="0828D77C" w:rsidR="003742A9" w:rsidRPr="00B107F5" w:rsidRDefault="005460C4" w:rsidP="00B107F5">
      <w:pPr>
        <w:pStyle w:val="Heading2"/>
        <w:jc w:val="center"/>
        <w:rPr>
          <w:rFonts w:asciiTheme="majorHAnsi" w:hAnsiTheme="majorHAnsi"/>
          <w:b/>
          <w:color w:val="1F497D" w:themeColor="text2"/>
          <w:spacing w:val="14"/>
          <w:sz w:val="32"/>
          <w:szCs w:val="32"/>
          <w:lang w:val="en-GB"/>
        </w:rPr>
      </w:pPr>
      <w:r>
        <w:rPr>
          <w:rFonts w:ascii="Calibri" w:hAnsi="Calibri" w:cs="Times New Roman"/>
        </w:rPr>
        <w:br w:type="page"/>
      </w:r>
      <w:bookmarkStart w:id="3" w:name="_Toc416867081"/>
      <w:r w:rsidR="004E5EBC" w:rsidRPr="00B107F5">
        <w:rPr>
          <w:rFonts w:asciiTheme="majorHAnsi" w:hAnsiTheme="majorHAnsi"/>
          <w:b/>
          <w:color w:val="4F81BD" w:themeColor="accent1"/>
          <w:spacing w:val="20"/>
          <w:sz w:val="32"/>
          <w:szCs w:val="32"/>
        </w:rPr>
        <w:lastRenderedPageBreak/>
        <w:t xml:space="preserve">SECTION 1: </w:t>
      </w:r>
      <w:r w:rsidR="003742A9" w:rsidRPr="00B107F5">
        <w:rPr>
          <w:rFonts w:asciiTheme="majorHAnsi" w:hAnsiTheme="majorHAnsi"/>
          <w:b/>
          <w:color w:val="4F81BD" w:themeColor="accent1"/>
          <w:spacing w:val="14"/>
          <w:sz w:val="32"/>
          <w:szCs w:val="32"/>
          <w:lang w:val="en-GB"/>
        </w:rPr>
        <w:t>MAKING THE NORMATIVE CASE TO READ SCR 1325 TOGETHER WITH CEDAW, IT</w:t>
      </w:r>
      <w:r w:rsidR="0082288E">
        <w:rPr>
          <w:rFonts w:asciiTheme="majorHAnsi" w:hAnsiTheme="majorHAnsi"/>
          <w:b/>
          <w:color w:val="4F81BD" w:themeColor="accent1"/>
          <w:spacing w:val="14"/>
          <w:sz w:val="32"/>
          <w:szCs w:val="32"/>
          <w:lang w:val="en-GB"/>
        </w:rPr>
        <w:t>S GENERAL RECOMMENDATION NO. 30</w:t>
      </w:r>
      <w:r w:rsidR="003742A9" w:rsidRPr="00B107F5">
        <w:rPr>
          <w:rFonts w:asciiTheme="majorHAnsi" w:hAnsiTheme="majorHAnsi"/>
          <w:b/>
          <w:color w:val="4F81BD" w:themeColor="accent1"/>
          <w:spacing w:val="14"/>
          <w:sz w:val="32"/>
          <w:szCs w:val="32"/>
          <w:lang w:val="en-GB"/>
        </w:rPr>
        <w:t xml:space="preserve"> AND THE LEGAL FRAMEWORK ON WOMEN, PEACE AND SECURITY</w:t>
      </w:r>
      <w:bookmarkEnd w:id="3"/>
    </w:p>
    <w:p w14:paraId="23498656" w14:textId="77777777" w:rsidR="004E5EBC" w:rsidRDefault="004E5EBC" w:rsidP="004E5EBC">
      <w:pPr>
        <w:pStyle w:val="ListParagraph"/>
        <w:ind w:left="0"/>
        <w:jc w:val="both"/>
        <w:rPr>
          <w:rFonts w:ascii="Calibri" w:hAnsi="Calibri" w:cs="Times New Roman"/>
        </w:rPr>
      </w:pPr>
    </w:p>
    <w:p w14:paraId="56B3605E" w14:textId="6F4D0883" w:rsidR="004E5EBC" w:rsidRDefault="00421C5E" w:rsidP="001611F0">
      <w:pPr>
        <w:pStyle w:val="ListParagraph"/>
        <w:spacing w:line="360" w:lineRule="auto"/>
        <w:ind w:left="0"/>
        <w:jc w:val="both"/>
        <w:rPr>
          <w:rFonts w:ascii="Calibri" w:hAnsi="Calibri" w:cs="Times New Roman"/>
        </w:rPr>
      </w:pPr>
      <w:r>
        <w:rPr>
          <w:rFonts w:ascii="Calibri" w:hAnsi="Calibri" w:cs="Times New Roman"/>
        </w:rPr>
        <w:t xml:space="preserve">The adoption of the UN </w:t>
      </w:r>
      <w:r w:rsidR="009D1B43">
        <w:rPr>
          <w:rFonts w:ascii="Calibri" w:hAnsi="Calibri" w:cs="Times New Roman"/>
        </w:rPr>
        <w:t xml:space="preserve">Security Council Resolution 1325 (SCR 1325) on 31 October 2000 signalled a victory by women’s </w:t>
      </w:r>
      <w:r w:rsidR="00D302FE">
        <w:rPr>
          <w:rFonts w:ascii="Calibri" w:hAnsi="Calibri" w:cs="Times New Roman"/>
        </w:rPr>
        <w:t>organization</w:t>
      </w:r>
      <w:r w:rsidR="009D1B43">
        <w:rPr>
          <w:rFonts w:ascii="Calibri" w:hAnsi="Calibri" w:cs="Times New Roman"/>
        </w:rPr>
        <w:t xml:space="preserve">s, governments, UN Women (then UNIFEM) and others to put the </w:t>
      </w:r>
      <w:r w:rsidR="007D2B78">
        <w:rPr>
          <w:rFonts w:ascii="Calibri" w:hAnsi="Calibri" w:cs="Times New Roman"/>
        </w:rPr>
        <w:t>women, peace and security (</w:t>
      </w:r>
      <w:r w:rsidR="009D1B43">
        <w:rPr>
          <w:rFonts w:ascii="Calibri" w:hAnsi="Calibri" w:cs="Times New Roman"/>
        </w:rPr>
        <w:t>WPS</w:t>
      </w:r>
      <w:r w:rsidR="007D2B78">
        <w:rPr>
          <w:rFonts w:ascii="Calibri" w:hAnsi="Calibri" w:cs="Times New Roman"/>
        </w:rPr>
        <w:t>)</w:t>
      </w:r>
      <w:r w:rsidR="009D1B43">
        <w:rPr>
          <w:rFonts w:ascii="Calibri" w:hAnsi="Calibri" w:cs="Times New Roman"/>
        </w:rPr>
        <w:t xml:space="preserve"> agenda at the centre of the Council’s work.</w:t>
      </w:r>
      <w:r w:rsidR="009D1B43">
        <w:rPr>
          <w:rStyle w:val="FootnoteReference"/>
          <w:rFonts w:ascii="Calibri" w:hAnsi="Calibri" w:cs="Times New Roman"/>
        </w:rPr>
        <w:footnoteReference w:id="5"/>
      </w:r>
      <w:r w:rsidR="009D1B43">
        <w:rPr>
          <w:rFonts w:ascii="Calibri" w:hAnsi="Calibri" w:cs="Times New Roman"/>
        </w:rPr>
        <w:t xml:space="preserve"> </w:t>
      </w:r>
      <w:r w:rsidR="004E5EBC">
        <w:rPr>
          <w:rFonts w:ascii="Calibri" w:hAnsi="Calibri" w:cs="Times New Roman"/>
        </w:rPr>
        <w:t>This submission argues that the SCR 1325 and its related resolutions</w:t>
      </w:r>
      <w:r w:rsidR="009227D0">
        <w:rPr>
          <w:rFonts w:ascii="Calibri" w:hAnsi="Calibri" w:cs="Times New Roman"/>
        </w:rPr>
        <w:t xml:space="preserve"> </w:t>
      </w:r>
      <w:r w:rsidR="00D302FE">
        <w:rPr>
          <w:rFonts w:ascii="Calibri" w:hAnsi="Calibri" w:cs="Times New Roman"/>
        </w:rPr>
        <w:t xml:space="preserve">(the resolutions) </w:t>
      </w:r>
      <w:r w:rsidR="009227D0">
        <w:rPr>
          <w:rFonts w:ascii="Calibri" w:hAnsi="Calibri" w:cs="Times New Roman"/>
        </w:rPr>
        <w:t>should not be understood in isolation</w:t>
      </w:r>
      <w:r w:rsidR="007D2B78">
        <w:rPr>
          <w:rFonts w:ascii="Calibri" w:hAnsi="Calibri" w:cs="Times New Roman"/>
        </w:rPr>
        <w:t xml:space="preserve"> or solely within the Security Council’s security agenda</w:t>
      </w:r>
      <w:r w:rsidR="005F7613">
        <w:rPr>
          <w:rFonts w:ascii="Calibri" w:hAnsi="Calibri" w:cs="Times New Roman"/>
        </w:rPr>
        <w:t>. The resolutions</w:t>
      </w:r>
      <w:r w:rsidR="009227D0">
        <w:rPr>
          <w:rFonts w:ascii="Calibri" w:hAnsi="Calibri" w:cs="Times New Roman"/>
        </w:rPr>
        <w:t xml:space="preserve"> should be </w:t>
      </w:r>
      <w:r w:rsidR="00294A21">
        <w:rPr>
          <w:rFonts w:ascii="Calibri" w:hAnsi="Calibri" w:cs="Times New Roman"/>
        </w:rPr>
        <w:t>understood as reflecting</w:t>
      </w:r>
      <w:r w:rsidR="004E5EBC">
        <w:rPr>
          <w:rFonts w:ascii="Calibri" w:hAnsi="Calibri" w:cs="Times New Roman"/>
        </w:rPr>
        <w:t xml:space="preserve"> existing normative obligations</w:t>
      </w:r>
      <w:r w:rsidR="009227D0">
        <w:rPr>
          <w:rFonts w:ascii="Calibri" w:hAnsi="Calibri" w:cs="Times New Roman"/>
        </w:rPr>
        <w:t xml:space="preserve"> that they incorporate</w:t>
      </w:r>
      <w:r w:rsidR="004E5EBC">
        <w:rPr>
          <w:rFonts w:ascii="Calibri" w:hAnsi="Calibri" w:cs="Times New Roman"/>
        </w:rPr>
        <w:t xml:space="preserve"> from treati</w:t>
      </w:r>
      <w:r w:rsidR="009227D0">
        <w:rPr>
          <w:rFonts w:ascii="Calibri" w:hAnsi="Calibri" w:cs="Times New Roman"/>
        </w:rPr>
        <w:t>es, custom and other sources of</w:t>
      </w:r>
      <w:r w:rsidR="009D1B43">
        <w:rPr>
          <w:rFonts w:ascii="Calibri" w:hAnsi="Calibri" w:cs="Times New Roman"/>
        </w:rPr>
        <w:t xml:space="preserve"> international</w:t>
      </w:r>
      <w:r w:rsidR="005F7613">
        <w:rPr>
          <w:rFonts w:ascii="Calibri" w:hAnsi="Calibri" w:cs="Times New Roman"/>
        </w:rPr>
        <w:t xml:space="preserve"> and regional</w:t>
      </w:r>
      <w:r w:rsidR="009D1B43">
        <w:rPr>
          <w:rFonts w:ascii="Calibri" w:hAnsi="Calibri" w:cs="Times New Roman"/>
        </w:rPr>
        <w:t xml:space="preserve"> law</w:t>
      </w:r>
      <w:r w:rsidR="004E5EBC">
        <w:rPr>
          <w:rFonts w:ascii="Calibri" w:hAnsi="Calibri" w:cs="Times New Roman"/>
        </w:rPr>
        <w:t xml:space="preserve">. </w:t>
      </w:r>
      <w:r w:rsidR="007D2B78">
        <w:rPr>
          <w:rFonts w:ascii="Calibri" w:hAnsi="Calibri" w:cs="Times New Roman"/>
        </w:rPr>
        <w:t>This submission</w:t>
      </w:r>
      <w:r w:rsidR="004E5EBC">
        <w:rPr>
          <w:rFonts w:ascii="Calibri" w:hAnsi="Calibri" w:cs="Times New Roman"/>
        </w:rPr>
        <w:t xml:space="preserve"> identifies the </w:t>
      </w:r>
      <w:r w:rsidR="00EB4F59">
        <w:rPr>
          <w:rFonts w:ascii="Calibri" w:hAnsi="Calibri" w:cs="Times New Roman"/>
        </w:rPr>
        <w:t>links</w:t>
      </w:r>
      <w:r w:rsidR="004E5EBC">
        <w:rPr>
          <w:rFonts w:ascii="Calibri" w:hAnsi="Calibri" w:cs="Times New Roman"/>
        </w:rPr>
        <w:t xml:space="preserve"> between </w:t>
      </w:r>
      <w:r w:rsidR="00D302FE">
        <w:rPr>
          <w:rFonts w:ascii="Calibri" w:hAnsi="Calibri" w:cs="Times New Roman"/>
        </w:rPr>
        <w:t>SCR 1325 and</w:t>
      </w:r>
      <w:r w:rsidR="004E5EBC">
        <w:rPr>
          <w:rFonts w:ascii="Calibri" w:hAnsi="Calibri" w:cs="Times New Roman"/>
        </w:rPr>
        <w:t xml:space="preserve"> key elements </w:t>
      </w:r>
      <w:r w:rsidR="009227D0">
        <w:rPr>
          <w:rFonts w:ascii="Calibri" w:hAnsi="Calibri" w:cs="Times New Roman"/>
        </w:rPr>
        <w:t xml:space="preserve">of the </w:t>
      </w:r>
      <w:r w:rsidR="00034169">
        <w:rPr>
          <w:rFonts w:ascii="Calibri" w:hAnsi="Calibri" w:cs="Times New Roman"/>
        </w:rPr>
        <w:t xml:space="preserve">legal </w:t>
      </w:r>
      <w:r w:rsidR="009227D0">
        <w:rPr>
          <w:rFonts w:ascii="Calibri" w:hAnsi="Calibri" w:cs="Times New Roman"/>
        </w:rPr>
        <w:t xml:space="preserve">framework that </w:t>
      </w:r>
      <w:r w:rsidR="005F7613">
        <w:rPr>
          <w:rFonts w:ascii="Calibri" w:hAnsi="Calibri" w:cs="Times New Roman"/>
        </w:rPr>
        <w:t>are reflected in its text</w:t>
      </w:r>
      <w:r w:rsidR="00294A21">
        <w:rPr>
          <w:rFonts w:ascii="Calibri" w:hAnsi="Calibri" w:cs="Times New Roman"/>
        </w:rPr>
        <w:t xml:space="preserve"> and that </w:t>
      </w:r>
      <w:r w:rsidR="009227D0">
        <w:rPr>
          <w:rFonts w:ascii="Calibri" w:hAnsi="Calibri" w:cs="Times New Roman"/>
        </w:rPr>
        <w:t>expand</w:t>
      </w:r>
      <w:r w:rsidR="005F7613">
        <w:rPr>
          <w:rFonts w:ascii="Calibri" w:hAnsi="Calibri" w:cs="Times New Roman"/>
        </w:rPr>
        <w:t xml:space="preserve"> on</w:t>
      </w:r>
      <w:r w:rsidR="009227D0">
        <w:rPr>
          <w:rFonts w:ascii="Calibri" w:hAnsi="Calibri" w:cs="Times New Roman"/>
        </w:rPr>
        <w:t xml:space="preserve"> </w:t>
      </w:r>
      <w:r w:rsidR="004273D6">
        <w:rPr>
          <w:rFonts w:ascii="Calibri" w:hAnsi="Calibri" w:cs="Times New Roman"/>
        </w:rPr>
        <w:t>the protections in SCR 1325</w:t>
      </w:r>
      <w:r w:rsidR="009227D0">
        <w:rPr>
          <w:rFonts w:ascii="Calibri" w:hAnsi="Calibri" w:cs="Times New Roman"/>
        </w:rPr>
        <w:t xml:space="preserve">. </w:t>
      </w:r>
      <w:r w:rsidR="004E5EBC">
        <w:rPr>
          <w:rFonts w:ascii="Calibri" w:hAnsi="Calibri" w:cs="Times New Roman"/>
        </w:rPr>
        <w:t xml:space="preserve">Implementing </w:t>
      </w:r>
      <w:r w:rsidR="009227D0">
        <w:rPr>
          <w:rFonts w:ascii="Calibri" w:hAnsi="Calibri" w:cs="Times New Roman"/>
        </w:rPr>
        <w:t>the resolution as an integrated centre of</w:t>
      </w:r>
      <w:r w:rsidR="004E5EBC">
        <w:rPr>
          <w:rFonts w:ascii="Calibri" w:hAnsi="Calibri" w:cs="Times New Roman"/>
        </w:rPr>
        <w:t xml:space="preserve"> a wider body of law on WPS allows for </w:t>
      </w:r>
      <w:r w:rsidR="00294A21">
        <w:rPr>
          <w:rFonts w:ascii="Calibri" w:hAnsi="Calibri" w:cs="Times New Roman"/>
        </w:rPr>
        <w:t>robust implementation</w:t>
      </w:r>
      <w:r w:rsidR="004E5EBC">
        <w:rPr>
          <w:rFonts w:ascii="Calibri" w:hAnsi="Calibri" w:cs="Times New Roman"/>
        </w:rPr>
        <w:t xml:space="preserve"> of the full spectrum of rights </w:t>
      </w:r>
      <w:r w:rsidR="00D302FE">
        <w:rPr>
          <w:rFonts w:ascii="Calibri" w:hAnsi="Calibri" w:cs="Times New Roman"/>
        </w:rPr>
        <w:t>concerning</w:t>
      </w:r>
      <w:r w:rsidR="00227497">
        <w:rPr>
          <w:rFonts w:ascii="Calibri" w:hAnsi="Calibri" w:cs="Times New Roman"/>
        </w:rPr>
        <w:t xml:space="preserve"> women, girls, men and boys </w:t>
      </w:r>
      <w:r w:rsidR="005F7613">
        <w:rPr>
          <w:rFonts w:ascii="Calibri" w:hAnsi="Calibri" w:cs="Times New Roman"/>
        </w:rPr>
        <w:t>affected by</w:t>
      </w:r>
      <w:r w:rsidR="004E5EBC">
        <w:rPr>
          <w:rFonts w:ascii="Calibri" w:hAnsi="Calibri" w:cs="Times New Roman"/>
        </w:rPr>
        <w:t xml:space="preserve"> conflict. </w:t>
      </w:r>
    </w:p>
    <w:p w14:paraId="3A84C8CC" w14:textId="77777777" w:rsidR="004E5EBC" w:rsidRDefault="004E5EBC" w:rsidP="004E5EBC">
      <w:pPr>
        <w:pStyle w:val="ListParagraph"/>
        <w:ind w:left="0"/>
        <w:jc w:val="both"/>
        <w:rPr>
          <w:rFonts w:ascii="Calibri" w:hAnsi="Calibri" w:cs="Times New Roman"/>
        </w:rPr>
      </w:pPr>
    </w:p>
    <w:p w14:paraId="1317FB00" w14:textId="060B0E65" w:rsidR="004E5EBC" w:rsidRDefault="006C560E" w:rsidP="00F91521">
      <w:pPr>
        <w:pStyle w:val="ListParagraph"/>
        <w:spacing w:line="360" w:lineRule="auto"/>
        <w:ind w:left="0"/>
        <w:jc w:val="both"/>
        <w:rPr>
          <w:rFonts w:ascii="Calibri" w:hAnsi="Calibri" w:cs="Times New Roman"/>
        </w:rPr>
      </w:pPr>
      <w:r>
        <w:rPr>
          <w:rFonts w:ascii="Calibri" w:hAnsi="Calibri" w:cs="Times New Roman"/>
        </w:rPr>
        <w:t>This submission argues that t</w:t>
      </w:r>
      <w:r w:rsidR="004E5EBC">
        <w:rPr>
          <w:rFonts w:ascii="Calibri" w:hAnsi="Calibri" w:cs="Times New Roman"/>
        </w:rPr>
        <w:t>he Convention on the Elimination of All Forms of Discrimination against Women (CEDAW)</w:t>
      </w:r>
      <w:r w:rsidR="000B516A">
        <w:rPr>
          <w:rStyle w:val="FootnoteReference"/>
          <w:rFonts w:ascii="Calibri" w:hAnsi="Calibri" w:cs="Times New Roman"/>
        </w:rPr>
        <w:footnoteReference w:id="6"/>
      </w:r>
      <w:r w:rsidR="004E5EBC">
        <w:rPr>
          <w:rFonts w:ascii="Calibri" w:hAnsi="Calibri" w:cs="Times New Roman"/>
        </w:rPr>
        <w:t xml:space="preserve"> is </w:t>
      </w:r>
      <w:r w:rsidR="002565C4">
        <w:rPr>
          <w:rFonts w:ascii="Calibri" w:hAnsi="Calibri" w:cs="Times New Roman"/>
        </w:rPr>
        <w:t>the normative heart</w:t>
      </w:r>
      <w:r w:rsidR="004E5EBC">
        <w:rPr>
          <w:rFonts w:ascii="Calibri" w:hAnsi="Calibri" w:cs="Times New Roman"/>
        </w:rPr>
        <w:t xml:space="preserve"> of the </w:t>
      </w:r>
      <w:r w:rsidR="00D302FE">
        <w:rPr>
          <w:rFonts w:ascii="Calibri" w:hAnsi="Calibri" w:cs="Times New Roman"/>
        </w:rPr>
        <w:t xml:space="preserve">legal </w:t>
      </w:r>
      <w:r w:rsidR="004E5EBC">
        <w:rPr>
          <w:rFonts w:ascii="Calibri" w:hAnsi="Calibri" w:cs="Times New Roman"/>
        </w:rPr>
        <w:t>framework</w:t>
      </w:r>
      <w:r w:rsidR="00DC4262">
        <w:rPr>
          <w:rFonts w:ascii="Calibri" w:hAnsi="Calibri" w:cs="Times New Roman"/>
        </w:rPr>
        <w:t xml:space="preserve">, </w:t>
      </w:r>
      <w:r w:rsidR="002565C4">
        <w:rPr>
          <w:rFonts w:ascii="Calibri" w:hAnsi="Calibri" w:cs="Times New Roman"/>
        </w:rPr>
        <w:t>complementing many of the human rights protections contained in</w:t>
      </w:r>
      <w:r w:rsidR="00DC4262">
        <w:rPr>
          <w:rFonts w:ascii="Calibri" w:hAnsi="Calibri" w:cs="Times New Roman"/>
        </w:rPr>
        <w:t xml:space="preserve"> the SCR 1325</w:t>
      </w:r>
      <w:r w:rsidR="00D302FE">
        <w:rPr>
          <w:rFonts w:ascii="Calibri" w:hAnsi="Calibri" w:cs="Times New Roman"/>
        </w:rPr>
        <w:t>. CEDAW</w:t>
      </w:r>
      <w:r w:rsidR="004E5EBC">
        <w:rPr>
          <w:rFonts w:ascii="Calibri" w:hAnsi="Calibri" w:cs="Times New Roman"/>
        </w:rPr>
        <w:t xml:space="preserve"> </w:t>
      </w:r>
      <w:r>
        <w:rPr>
          <w:rFonts w:ascii="Calibri" w:hAnsi="Calibri" w:cs="Times New Roman"/>
        </w:rPr>
        <w:t>is both reflected</w:t>
      </w:r>
      <w:r w:rsidR="004E5EBC">
        <w:rPr>
          <w:rFonts w:ascii="Calibri" w:hAnsi="Calibri" w:cs="Times New Roman"/>
        </w:rPr>
        <w:t xml:space="preserve"> in the language of </w:t>
      </w:r>
      <w:r w:rsidR="00DC4262">
        <w:rPr>
          <w:rFonts w:ascii="Calibri" w:hAnsi="Calibri" w:cs="Times New Roman"/>
        </w:rPr>
        <w:t xml:space="preserve">SCR 1325 </w:t>
      </w:r>
      <w:r>
        <w:rPr>
          <w:rFonts w:ascii="Calibri" w:hAnsi="Calibri" w:cs="Times New Roman"/>
        </w:rPr>
        <w:t>and</w:t>
      </w:r>
      <w:r w:rsidR="004E5EBC">
        <w:rPr>
          <w:rFonts w:ascii="Calibri" w:hAnsi="Calibri" w:cs="Times New Roman"/>
        </w:rPr>
        <w:t xml:space="preserve"> ex</w:t>
      </w:r>
      <w:r w:rsidR="00DC4262">
        <w:rPr>
          <w:rFonts w:ascii="Calibri" w:hAnsi="Calibri" w:cs="Times New Roman"/>
        </w:rPr>
        <w:t>pands on</w:t>
      </w:r>
      <w:r w:rsidR="004E5EBC">
        <w:rPr>
          <w:rFonts w:ascii="Calibri" w:hAnsi="Calibri" w:cs="Times New Roman"/>
        </w:rPr>
        <w:t xml:space="preserve"> </w:t>
      </w:r>
      <w:r w:rsidR="002565C4">
        <w:rPr>
          <w:rFonts w:ascii="Calibri" w:hAnsi="Calibri" w:cs="Times New Roman"/>
        </w:rPr>
        <w:t>its provisions</w:t>
      </w:r>
      <w:r w:rsidR="004E5EBC">
        <w:rPr>
          <w:rFonts w:ascii="Calibri" w:hAnsi="Calibri" w:cs="Times New Roman"/>
        </w:rPr>
        <w:t xml:space="preserve">. </w:t>
      </w:r>
      <w:r w:rsidR="000D6C7D">
        <w:rPr>
          <w:rFonts w:ascii="Calibri" w:hAnsi="Calibri"/>
        </w:rPr>
        <w:t>As a Security Council R</w:t>
      </w:r>
      <w:r w:rsidR="000D6C7D" w:rsidRPr="00797ECA">
        <w:rPr>
          <w:rFonts w:ascii="Calibri" w:hAnsi="Calibri"/>
        </w:rPr>
        <w:t xml:space="preserve">esolution with political impact, SCR 1325 gives an unmatched visibility to the </w:t>
      </w:r>
      <w:r w:rsidR="002565C4">
        <w:rPr>
          <w:rFonts w:ascii="Calibri" w:hAnsi="Calibri"/>
        </w:rPr>
        <w:t>legal framework</w:t>
      </w:r>
      <w:r w:rsidR="000D6C7D" w:rsidRPr="00797ECA">
        <w:rPr>
          <w:rFonts w:ascii="Calibri" w:hAnsi="Calibri"/>
        </w:rPr>
        <w:t xml:space="preserve">. As </w:t>
      </w:r>
      <w:r w:rsidR="000D6C7D">
        <w:rPr>
          <w:rFonts w:ascii="Calibri" w:hAnsi="Calibri"/>
        </w:rPr>
        <w:t>the international bill of women’s rights</w:t>
      </w:r>
      <w:r w:rsidR="003829A3">
        <w:rPr>
          <w:rFonts w:ascii="Calibri" w:hAnsi="Calibri"/>
        </w:rPr>
        <w:t xml:space="preserve"> that has been widely ratified by states</w:t>
      </w:r>
      <w:r w:rsidR="000D6C7D" w:rsidRPr="00797ECA">
        <w:rPr>
          <w:rFonts w:ascii="Calibri" w:hAnsi="Calibri"/>
        </w:rPr>
        <w:t>,</w:t>
      </w:r>
      <w:r w:rsidR="000D6C7D" w:rsidRPr="00945579">
        <w:rPr>
          <w:rStyle w:val="FootnoteReference"/>
          <w:rFonts w:ascii="Calibri" w:hAnsi="Calibri"/>
        </w:rPr>
        <w:t xml:space="preserve"> </w:t>
      </w:r>
      <w:r w:rsidR="000D6C7D" w:rsidRPr="00797ECA">
        <w:rPr>
          <w:rStyle w:val="FootnoteReference"/>
          <w:rFonts w:ascii="Calibri" w:hAnsi="Calibri"/>
        </w:rPr>
        <w:footnoteReference w:id="7"/>
      </w:r>
      <w:r w:rsidR="000D6C7D" w:rsidRPr="00797ECA">
        <w:rPr>
          <w:rFonts w:ascii="Calibri" w:hAnsi="Calibri"/>
        </w:rPr>
        <w:t xml:space="preserve"> CEDAW </w:t>
      </w:r>
      <w:r>
        <w:rPr>
          <w:rFonts w:ascii="Calibri" w:hAnsi="Calibri"/>
        </w:rPr>
        <w:t xml:space="preserve">contains binding obligations that are </w:t>
      </w:r>
      <w:r w:rsidR="002565C4">
        <w:rPr>
          <w:rFonts w:ascii="Calibri" w:hAnsi="Calibri"/>
        </w:rPr>
        <w:t>at the core</w:t>
      </w:r>
      <w:r>
        <w:rPr>
          <w:rFonts w:ascii="Calibri" w:hAnsi="Calibri"/>
        </w:rPr>
        <w:t xml:space="preserve"> of</w:t>
      </w:r>
      <w:r w:rsidR="000D6C7D" w:rsidRPr="00797ECA">
        <w:rPr>
          <w:rFonts w:ascii="Calibri" w:hAnsi="Calibri"/>
        </w:rPr>
        <w:t xml:space="preserve"> the</w:t>
      </w:r>
      <w:r>
        <w:rPr>
          <w:rFonts w:ascii="Calibri" w:hAnsi="Calibri"/>
        </w:rPr>
        <w:t xml:space="preserve"> legal</w:t>
      </w:r>
      <w:r w:rsidR="000D6C7D" w:rsidRPr="00797ECA">
        <w:rPr>
          <w:rFonts w:ascii="Calibri" w:hAnsi="Calibri"/>
        </w:rPr>
        <w:t xml:space="preserve"> framework</w:t>
      </w:r>
      <w:r>
        <w:rPr>
          <w:rFonts w:ascii="Calibri" w:hAnsi="Calibri"/>
        </w:rPr>
        <w:t xml:space="preserve"> and that guarantee</w:t>
      </w:r>
      <w:r w:rsidR="000D6C7D">
        <w:rPr>
          <w:rFonts w:ascii="Calibri" w:hAnsi="Calibri"/>
        </w:rPr>
        <w:t xml:space="preserve"> </w:t>
      </w:r>
      <w:r w:rsidR="002565C4">
        <w:rPr>
          <w:rFonts w:ascii="Calibri" w:hAnsi="Calibri"/>
        </w:rPr>
        <w:t xml:space="preserve">both </w:t>
      </w:r>
      <w:r w:rsidR="000D6C7D">
        <w:rPr>
          <w:rFonts w:ascii="Calibri" w:hAnsi="Calibri"/>
        </w:rPr>
        <w:t>su</w:t>
      </w:r>
      <w:r>
        <w:rPr>
          <w:rFonts w:ascii="Calibri" w:hAnsi="Calibri"/>
        </w:rPr>
        <w:t xml:space="preserve">bstantive </w:t>
      </w:r>
      <w:r w:rsidR="002565C4">
        <w:rPr>
          <w:rFonts w:ascii="Calibri" w:hAnsi="Calibri"/>
        </w:rPr>
        <w:t>and</w:t>
      </w:r>
      <w:r w:rsidR="000D6C7D">
        <w:rPr>
          <w:rFonts w:ascii="Calibri" w:hAnsi="Calibri"/>
        </w:rPr>
        <w:t xml:space="preserve"> transformative equality</w:t>
      </w:r>
      <w:r w:rsidR="000D6C7D" w:rsidRPr="00797ECA">
        <w:rPr>
          <w:rFonts w:ascii="Calibri" w:hAnsi="Calibri"/>
        </w:rPr>
        <w:t>.</w:t>
      </w:r>
      <w:r w:rsidR="000D6C7D" w:rsidRPr="00797ECA">
        <w:rPr>
          <w:rStyle w:val="FootnoteReference"/>
          <w:rFonts w:ascii="Calibri" w:hAnsi="Calibri"/>
        </w:rPr>
        <w:footnoteReference w:id="8"/>
      </w:r>
      <w:r w:rsidR="000D6C7D">
        <w:rPr>
          <w:rFonts w:ascii="Calibri" w:hAnsi="Calibri"/>
        </w:rPr>
        <w:t xml:space="preserve"> </w:t>
      </w:r>
      <w:r w:rsidR="000D6C7D" w:rsidRPr="00F91521">
        <w:rPr>
          <w:rFonts w:ascii="Calibri" w:hAnsi="Calibri" w:cs="Times New Roman"/>
          <w:b/>
          <w:i/>
          <w:color w:val="4F81BD" w:themeColor="accent1"/>
        </w:rPr>
        <w:t>S</w:t>
      </w:r>
      <w:r w:rsidR="004E5EBC" w:rsidRPr="00F91521">
        <w:rPr>
          <w:rFonts w:ascii="Calibri" w:hAnsi="Calibri" w:cs="Times New Roman"/>
          <w:b/>
          <w:i/>
          <w:color w:val="4F81BD" w:themeColor="accent1"/>
        </w:rPr>
        <w:t>ubstantive equality</w:t>
      </w:r>
      <w:r w:rsidR="00A649BD">
        <w:rPr>
          <w:rFonts w:ascii="Calibri" w:hAnsi="Calibri" w:cs="Times New Roman"/>
        </w:rPr>
        <w:t xml:space="preserve"> </w:t>
      </w:r>
      <w:r w:rsidR="000D6C7D">
        <w:rPr>
          <w:rFonts w:ascii="Calibri" w:hAnsi="Calibri" w:cs="Times New Roman"/>
        </w:rPr>
        <w:t xml:space="preserve">requires </w:t>
      </w:r>
      <w:r w:rsidR="00A649BD">
        <w:rPr>
          <w:rFonts w:ascii="Calibri" w:hAnsi="Calibri" w:cs="Times New Roman"/>
        </w:rPr>
        <w:t>recognising</w:t>
      </w:r>
      <w:r w:rsidR="004E5EBC">
        <w:rPr>
          <w:rFonts w:ascii="Calibri" w:hAnsi="Calibri" w:cs="Times New Roman"/>
        </w:rPr>
        <w:t xml:space="preserve"> and appropriate</w:t>
      </w:r>
      <w:r w:rsidR="00A649BD">
        <w:rPr>
          <w:rFonts w:ascii="Calibri" w:hAnsi="Calibri" w:cs="Times New Roman"/>
        </w:rPr>
        <w:t>ly responding</w:t>
      </w:r>
      <w:r w:rsidR="004E5EBC">
        <w:rPr>
          <w:rFonts w:ascii="Calibri" w:hAnsi="Calibri" w:cs="Times New Roman"/>
        </w:rPr>
        <w:t xml:space="preserve"> to gender-specific harms that will not be addressed by gender-neutral (formal</w:t>
      </w:r>
      <w:r w:rsidR="00A649BD">
        <w:rPr>
          <w:rFonts w:ascii="Calibri" w:hAnsi="Calibri" w:cs="Times New Roman"/>
        </w:rPr>
        <w:t>) equality</w:t>
      </w:r>
      <w:r w:rsidR="004E5EBC">
        <w:rPr>
          <w:rFonts w:ascii="Calibri" w:hAnsi="Calibri" w:cs="Times New Roman"/>
        </w:rPr>
        <w:t>.</w:t>
      </w:r>
      <w:r w:rsidR="004E5EBC">
        <w:rPr>
          <w:rStyle w:val="FootnoteReference"/>
          <w:rFonts w:ascii="Calibri" w:hAnsi="Calibri" w:cs="Times New Roman"/>
        </w:rPr>
        <w:footnoteReference w:id="9"/>
      </w:r>
      <w:r w:rsidR="004E5EBC">
        <w:rPr>
          <w:rFonts w:ascii="Calibri" w:hAnsi="Calibri" w:cs="Times New Roman"/>
        </w:rPr>
        <w:t xml:space="preserve"> </w:t>
      </w:r>
      <w:r w:rsidR="000D6C7D" w:rsidRPr="00F91521">
        <w:rPr>
          <w:rFonts w:ascii="Calibri" w:hAnsi="Calibri" w:cs="Times New Roman"/>
          <w:b/>
          <w:i/>
          <w:color w:val="4F81BD" w:themeColor="accent1"/>
        </w:rPr>
        <w:t>T</w:t>
      </w:r>
      <w:r w:rsidR="004E5EBC" w:rsidRPr="00F91521">
        <w:rPr>
          <w:rFonts w:ascii="Calibri" w:hAnsi="Calibri" w:cs="Times New Roman"/>
          <w:b/>
          <w:i/>
          <w:color w:val="4F81BD" w:themeColor="accent1"/>
        </w:rPr>
        <w:t>ransformative equality</w:t>
      </w:r>
      <w:r w:rsidR="000D6C7D">
        <w:rPr>
          <w:rFonts w:ascii="Calibri" w:hAnsi="Calibri" w:cs="Times New Roman"/>
        </w:rPr>
        <w:t xml:space="preserve"> </w:t>
      </w:r>
      <w:r w:rsidR="00D302FE">
        <w:rPr>
          <w:rFonts w:ascii="Calibri" w:hAnsi="Calibri" w:cs="Times New Roman"/>
        </w:rPr>
        <w:t>necessitates systemic and</w:t>
      </w:r>
      <w:r w:rsidR="004E5EBC">
        <w:rPr>
          <w:rFonts w:ascii="Calibri" w:hAnsi="Calibri" w:cs="Times New Roman"/>
        </w:rPr>
        <w:t xml:space="preserve"> structural changes in societies. These changes involve a redistribution of power and resources and a restructuring of structures that perpetuate sex- a</w:t>
      </w:r>
      <w:r w:rsidR="00227497">
        <w:rPr>
          <w:rFonts w:ascii="Calibri" w:hAnsi="Calibri" w:cs="Times New Roman"/>
        </w:rPr>
        <w:t xml:space="preserve">nd gender-based discrimination, </w:t>
      </w:r>
      <w:r w:rsidR="004E5EBC">
        <w:rPr>
          <w:rFonts w:ascii="Calibri" w:hAnsi="Calibri" w:cs="Times New Roman"/>
        </w:rPr>
        <w:t>i</w:t>
      </w:r>
      <w:r w:rsidR="00227497">
        <w:rPr>
          <w:rFonts w:ascii="Calibri" w:hAnsi="Calibri" w:cs="Times New Roman"/>
        </w:rPr>
        <w:t>ncluding violence against women</w:t>
      </w:r>
      <w:r w:rsidR="004E5EBC">
        <w:rPr>
          <w:rFonts w:ascii="Calibri" w:hAnsi="Calibri" w:cs="Times New Roman"/>
        </w:rPr>
        <w:t>. Transformative equality involves</w:t>
      </w:r>
      <w:r w:rsidR="00227497">
        <w:rPr>
          <w:rFonts w:ascii="Calibri" w:hAnsi="Calibri" w:cs="Times New Roman"/>
        </w:rPr>
        <w:t xml:space="preserve"> states being committed to undertaking</w:t>
      </w:r>
      <w:r w:rsidR="004E5EBC">
        <w:rPr>
          <w:rFonts w:ascii="Calibri" w:hAnsi="Calibri" w:cs="Times New Roman"/>
        </w:rPr>
        <w:t xml:space="preserve"> fundamental and far-reaching </w:t>
      </w:r>
      <w:r w:rsidR="00227497">
        <w:rPr>
          <w:rFonts w:ascii="Calibri" w:hAnsi="Calibri" w:cs="Times New Roman"/>
        </w:rPr>
        <w:t xml:space="preserve">societal </w:t>
      </w:r>
      <w:r w:rsidR="004E5EBC">
        <w:rPr>
          <w:rFonts w:ascii="Calibri" w:hAnsi="Calibri" w:cs="Times New Roman"/>
        </w:rPr>
        <w:t>changes</w:t>
      </w:r>
      <w:r w:rsidR="00227497">
        <w:rPr>
          <w:rFonts w:ascii="Calibri" w:hAnsi="Calibri" w:cs="Times New Roman"/>
        </w:rPr>
        <w:t>, as</w:t>
      </w:r>
      <w:r w:rsidR="004E5EBC">
        <w:rPr>
          <w:rFonts w:ascii="Calibri" w:hAnsi="Calibri" w:cs="Times New Roman"/>
        </w:rPr>
        <w:t xml:space="preserve"> </w:t>
      </w:r>
      <w:r w:rsidR="004E5EBC">
        <w:rPr>
          <w:rFonts w:ascii="Calibri" w:hAnsi="Calibri" w:cs="Times New Roman"/>
        </w:rPr>
        <w:lastRenderedPageBreak/>
        <w:t>guaranteed by the spirit and the letter of CEDAW, its General Recommendations, and the CEDAW Committee’s jurisprudence and recommendations to state parties</w:t>
      </w:r>
      <w:r w:rsidR="004E5EBC">
        <w:rPr>
          <w:rStyle w:val="FootnoteReference"/>
          <w:rFonts w:ascii="Calibri" w:hAnsi="Calibri" w:cs="Times New Roman"/>
        </w:rPr>
        <w:footnoteReference w:id="10"/>
      </w:r>
      <w:r w:rsidR="004E5EBC">
        <w:rPr>
          <w:rFonts w:ascii="Calibri" w:hAnsi="Calibri" w:cs="Times New Roman"/>
        </w:rPr>
        <w:t xml:space="preserve"> (</w:t>
      </w:r>
      <w:r>
        <w:rPr>
          <w:rFonts w:ascii="Calibri" w:hAnsi="Calibri" w:cs="Times New Roman"/>
        </w:rPr>
        <w:t>s</w:t>
      </w:r>
      <w:r w:rsidR="004E5EBC">
        <w:rPr>
          <w:rFonts w:ascii="Calibri" w:hAnsi="Calibri" w:cs="Times New Roman"/>
        </w:rPr>
        <w:t xml:space="preserve">ee Section 3 for a discussion on transformative remedies). This submission argues that while substantive equality is a minimum guarantee of the </w:t>
      </w:r>
      <w:r w:rsidR="00D302FE">
        <w:rPr>
          <w:rFonts w:ascii="Calibri" w:hAnsi="Calibri" w:cs="Times New Roman"/>
        </w:rPr>
        <w:t xml:space="preserve">legal </w:t>
      </w:r>
      <w:r w:rsidR="004E5EBC">
        <w:rPr>
          <w:rFonts w:ascii="Calibri" w:hAnsi="Calibri" w:cs="Times New Roman"/>
        </w:rPr>
        <w:t xml:space="preserve">framework, </w:t>
      </w:r>
      <w:r w:rsidR="00D302FE">
        <w:rPr>
          <w:rFonts w:ascii="Calibri" w:hAnsi="Calibri" w:cs="Times New Roman"/>
        </w:rPr>
        <w:t>there is space, especially under CEDAW,</w:t>
      </w:r>
      <w:r w:rsidR="000B516A">
        <w:rPr>
          <w:rFonts w:ascii="Calibri" w:hAnsi="Calibri" w:cs="Times New Roman"/>
        </w:rPr>
        <w:t xml:space="preserve"> for </w:t>
      </w:r>
      <w:r w:rsidR="004E5EBC">
        <w:rPr>
          <w:rFonts w:ascii="Calibri" w:hAnsi="Calibri" w:cs="Times New Roman"/>
        </w:rPr>
        <w:t xml:space="preserve">transformative equality </w:t>
      </w:r>
      <w:r w:rsidR="000B516A">
        <w:rPr>
          <w:rFonts w:ascii="Calibri" w:hAnsi="Calibri" w:cs="Times New Roman"/>
        </w:rPr>
        <w:t>to</w:t>
      </w:r>
      <w:r w:rsidR="004E5EBC">
        <w:rPr>
          <w:rFonts w:ascii="Calibri" w:hAnsi="Calibri" w:cs="Times New Roman"/>
        </w:rPr>
        <w:t xml:space="preserve"> guide the remedies </w:t>
      </w:r>
      <w:r w:rsidR="000B516A">
        <w:rPr>
          <w:rFonts w:ascii="Calibri" w:hAnsi="Calibri" w:cs="Times New Roman"/>
        </w:rPr>
        <w:t>for</w:t>
      </w:r>
      <w:r w:rsidR="004E5EBC">
        <w:rPr>
          <w:rFonts w:ascii="Calibri" w:hAnsi="Calibri" w:cs="Times New Roman"/>
        </w:rPr>
        <w:t xml:space="preserve"> women, girls, men and boys</w:t>
      </w:r>
      <w:r w:rsidR="00D302FE">
        <w:rPr>
          <w:rFonts w:ascii="Calibri" w:hAnsi="Calibri" w:cs="Times New Roman"/>
        </w:rPr>
        <w:t xml:space="preserve"> who experience rights violations</w:t>
      </w:r>
      <w:r w:rsidR="004E5EBC">
        <w:rPr>
          <w:rFonts w:ascii="Calibri" w:hAnsi="Calibri" w:cs="Times New Roman"/>
        </w:rPr>
        <w:t xml:space="preserve">. </w:t>
      </w:r>
    </w:p>
    <w:p w14:paraId="1A04EE04" w14:textId="77777777" w:rsidR="004E5EBC" w:rsidRDefault="004E5EBC" w:rsidP="004E5EBC">
      <w:pPr>
        <w:pStyle w:val="ListParagraph"/>
        <w:ind w:left="0"/>
        <w:rPr>
          <w:rFonts w:ascii="Calibri" w:hAnsi="Calibri" w:cs="Times New Roman"/>
        </w:rPr>
      </w:pPr>
    </w:p>
    <w:p w14:paraId="4A2BE013" w14:textId="290FF00F" w:rsidR="004E5EBC" w:rsidRDefault="004E5EBC" w:rsidP="00F91521">
      <w:pPr>
        <w:pStyle w:val="ListParagraph"/>
        <w:spacing w:line="360" w:lineRule="auto"/>
        <w:ind w:left="0"/>
        <w:jc w:val="both"/>
        <w:rPr>
          <w:rFonts w:ascii="Calibri" w:hAnsi="Calibri" w:cs="Times New Roman"/>
        </w:rPr>
      </w:pPr>
      <w:r>
        <w:rPr>
          <w:rFonts w:ascii="Calibri" w:hAnsi="Calibri" w:cs="Times New Roman"/>
        </w:rPr>
        <w:t>The following elements</w:t>
      </w:r>
      <w:r w:rsidR="00DC4262">
        <w:rPr>
          <w:rFonts w:ascii="Calibri" w:hAnsi="Calibri" w:cs="Times New Roman"/>
        </w:rPr>
        <w:t xml:space="preserve"> of the legal framework</w:t>
      </w:r>
      <w:r>
        <w:rPr>
          <w:rFonts w:ascii="Calibri" w:hAnsi="Calibri" w:cs="Times New Roman"/>
        </w:rPr>
        <w:t xml:space="preserve"> </w:t>
      </w:r>
      <w:r w:rsidR="00DC4262">
        <w:rPr>
          <w:rFonts w:ascii="Calibri" w:hAnsi="Calibri" w:cs="Times New Roman"/>
        </w:rPr>
        <w:t xml:space="preserve">should be read together with SCR 1325, because they reflect </w:t>
      </w:r>
      <w:r w:rsidR="00227497">
        <w:rPr>
          <w:rFonts w:ascii="Calibri" w:hAnsi="Calibri" w:cs="Times New Roman"/>
        </w:rPr>
        <w:t>binding</w:t>
      </w:r>
      <w:r w:rsidR="00DC4262">
        <w:rPr>
          <w:rFonts w:ascii="Calibri" w:hAnsi="Calibri" w:cs="Times New Roman"/>
        </w:rPr>
        <w:t xml:space="preserve"> obligations and</w:t>
      </w:r>
      <w:r w:rsidR="00227497">
        <w:rPr>
          <w:rFonts w:ascii="Calibri" w:hAnsi="Calibri" w:cs="Times New Roman"/>
        </w:rPr>
        <w:t xml:space="preserve"> government commitments that</w:t>
      </w:r>
      <w:r w:rsidR="00DC4262">
        <w:rPr>
          <w:rFonts w:ascii="Calibri" w:hAnsi="Calibri" w:cs="Times New Roman"/>
        </w:rPr>
        <w:t xml:space="preserve"> are significant</w:t>
      </w:r>
      <w:r>
        <w:rPr>
          <w:rFonts w:ascii="Calibri" w:hAnsi="Calibri" w:cs="Times New Roman"/>
        </w:rPr>
        <w:t xml:space="preserve"> </w:t>
      </w:r>
      <w:r w:rsidR="00DC4262">
        <w:rPr>
          <w:rFonts w:ascii="Calibri" w:hAnsi="Calibri" w:cs="Times New Roman"/>
        </w:rPr>
        <w:t xml:space="preserve">to </w:t>
      </w:r>
      <w:r>
        <w:rPr>
          <w:rFonts w:ascii="Calibri" w:hAnsi="Calibri" w:cs="Times New Roman"/>
        </w:rPr>
        <w:t xml:space="preserve">the WPS agenda. </w:t>
      </w:r>
      <w:r w:rsidR="000B516A">
        <w:rPr>
          <w:rFonts w:ascii="Calibri" w:hAnsi="Calibri" w:cs="Times New Roman"/>
        </w:rPr>
        <w:t xml:space="preserve">CEDAW </w:t>
      </w:r>
      <w:r w:rsidR="00E337FD">
        <w:rPr>
          <w:rFonts w:ascii="Calibri" w:hAnsi="Calibri" w:cs="Times New Roman"/>
        </w:rPr>
        <w:t>enjoys near-universal ratification</w:t>
      </w:r>
      <w:r w:rsidR="00FA7CB0">
        <w:rPr>
          <w:rFonts w:ascii="Calibri" w:hAnsi="Calibri" w:cs="Times New Roman"/>
        </w:rPr>
        <w:t xml:space="preserve"> by most UN Member States</w:t>
      </w:r>
      <w:r w:rsidR="00E337FD">
        <w:rPr>
          <w:rFonts w:ascii="Calibri" w:hAnsi="Calibri" w:cs="Times New Roman"/>
        </w:rPr>
        <w:t xml:space="preserve"> and </w:t>
      </w:r>
      <w:r w:rsidR="00FA7CB0">
        <w:rPr>
          <w:rFonts w:ascii="Calibri" w:hAnsi="Calibri" w:cs="Times New Roman"/>
        </w:rPr>
        <w:t>provides</w:t>
      </w:r>
      <w:r w:rsidR="00E337FD">
        <w:rPr>
          <w:rFonts w:ascii="Calibri" w:hAnsi="Calibri" w:cs="Times New Roman"/>
        </w:rPr>
        <w:t xml:space="preserve"> substantive guidance on</w:t>
      </w:r>
      <w:r w:rsidR="00FA7CB0">
        <w:rPr>
          <w:rFonts w:ascii="Calibri" w:hAnsi="Calibri" w:cs="Times New Roman"/>
        </w:rPr>
        <w:t xml:space="preserve"> protecting</w:t>
      </w:r>
      <w:r w:rsidR="00E337FD">
        <w:rPr>
          <w:rFonts w:ascii="Calibri" w:hAnsi="Calibri" w:cs="Times New Roman"/>
        </w:rPr>
        <w:t xml:space="preserve"> women and girls </w:t>
      </w:r>
      <w:r w:rsidR="00227497">
        <w:rPr>
          <w:rFonts w:ascii="Calibri" w:hAnsi="Calibri" w:cs="Times New Roman"/>
        </w:rPr>
        <w:t>affected by</w:t>
      </w:r>
      <w:r w:rsidR="00E337FD">
        <w:rPr>
          <w:rFonts w:ascii="Calibri" w:hAnsi="Calibri" w:cs="Times New Roman"/>
        </w:rPr>
        <w:t xml:space="preserve"> conflict</w:t>
      </w:r>
      <w:r w:rsidR="00FA7CB0">
        <w:rPr>
          <w:rFonts w:ascii="Calibri" w:hAnsi="Calibri" w:cs="Times New Roman"/>
        </w:rPr>
        <w:t xml:space="preserve"> via its General Recommendations</w:t>
      </w:r>
      <w:r w:rsidR="00F347F5">
        <w:rPr>
          <w:rFonts w:ascii="Calibri" w:hAnsi="Calibri" w:cs="Times New Roman"/>
        </w:rPr>
        <w:t xml:space="preserve"> (GRs)</w:t>
      </w:r>
      <w:r w:rsidR="00D9024F">
        <w:rPr>
          <w:rFonts w:ascii="Calibri" w:hAnsi="Calibri" w:cs="Times New Roman"/>
        </w:rPr>
        <w:t xml:space="preserve">, especially its </w:t>
      </w:r>
      <w:r w:rsidR="00F347F5">
        <w:rPr>
          <w:rFonts w:ascii="Calibri" w:hAnsi="Calibri" w:cs="Times New Roman"/>
        </w:rPr>
        <w:t>GR</w:t>
      </w:r>
      <w:r w:rsidR="00D9024F">
        <w:rPr>
          <w:rFonts w:ascii="Calibri" w:hAnsi="Calibri" w:cs="Times New Roman"/>
        </w:rPr>
        <w:t xml:space="preserve"> No. 30 on women in conflict prevention, conflict and post-conflict settings  (</w:t>
      </w:r>
      <w:r w:rsidR="00227497">
        <w:rPr>
          <w:rFonts w:ascii="Calibri" w:hAnsi="Calibri" w:cs="Times New Roman"/>
        </w:rPr>
        <w:t xml:space="preserve">CEDAW </w:t>
      </w:r>
      <w:r w:rsidR="00D9024F">
        <w:rPr>
          <w:rFonts w:ascii="Calibri" w:hAnsi="Calibri" w:cs="Times New Roman"/>
        </w:rPr>
        <w:t>GR No 30)</w:t>
      </w:r>
      <w:r>
        <w:rPr>
          <w:rFonts w:ascii="Calibri" w:hAnsi="Calibri" w:cs="Times New Roman"/>
        </w:rPr>
        <w:t>.</w:t>
      </w:r>
      <w:r>
        <w:rPr>
          <w:rStyle w:val="FootnoteReference"/>
          <w:rFonts w:ascii="Calibri" w:hAnsi="Calibri" w:cs="Times New Roman"/>
        </w:rPr>
        <w:footnoteReference w:id="11"/>
      </w:r>
      <w:r>
        <w:rPr>
          <w:rFonts w:ascii="Calibri" w:hAnsi="Calibri" w:cs="Times New Roman"/>
        </w:rPr>
        <w:t xml:space="preserve"> </w:t>
      </w:r>
      <w:r w:rsidR="00184C76">
        <w:rPr>
          <w:rFonts w:ascii="Calibri" w:hAnsi="Calibri" w:cs="Times New Roman"/>
        </w:rPr>
        <w:t xml:space="preserve"> </w:t>
      </w:r>
      <w:r w:rsidR="00FA7CB0">
        <w:rPr>
          <w:rFonts w:ascii="Calibri" w:hAnsi="Calibri" w:cs="Times New Roman"/>
        </w:rPr>
        <w:t>CEDAW’s binding obligations</w:t>
      </w:r>
      <w:r w:rsidR="00184C76">
        <w:rPr>
          <w:rFonts w:ascii="Calibri" w:hAnsi="Calibri" w:cs="Times New Roman"/>
        </w:rPr>
        <w:t xml:space="preserve"> are supported by</w:t>
      </w:r>
      <w:r w:rsidR="00E337FD">
        <w:rPr>
          <w:rFonts w:ascii="Calibri" w:hAnsi="Calibri" w:cs="Times New Roman"/>
        </w:rPr>
        <w:t xml:space="preserve"> the blueprint</w:t>
      </w:r>
      <w:r w:rsidR="00DC4262">
        <w:rPr>
          <w:rFonts w:ascii="Calibri" w:hAnsi="Calibri" w:cs="Times New Roman"/>
        </w:rPr>
        <w:t>s</w:t>
      </w:r>
      <w:r w:rsidR="00184C76">
        <w:rPr>
          <w:rFonts w:ascii="Calibri" w:hAnsi="Calibri" w:cs="Times New Roman"/>
        </w:rPr>
        <w:t xml:space="preserve"> for action in the Beijing Platform for Action (BPfA</w:t>
      </w:r>
      <w:r w:rsidR="00EB4F59">
        <w:rPr>
          <w:rFonts w:ascii="Calibri" w:hAnsi="Calibri" w:cs="Times New Roman"/>
        </w:rPr>
        <w:t>)</w:t>
      </w:r>
      <w:r w:rsidR="00184C76">
        <w:rPr>
          <w:rFonts w:ascii="Calibri" w:hAnsi="Calibri" w:cs="Times New Roman"/>
        </w:rPr>
        <w:t xml:space="preserve"> and other important documents. </w:t>
      </w:r>
      <w:r w:rsidR="00E337FD">
        <w:rPr>
          <w:rFonts w:ascii="Calibri" w:hAnsi="Calibri" w:cs="Times New Roman"/>
        </w:rPr>
        <w:t xml:space="preserve">The key elements </w:t>
      </w:r>
      <w:r w:rsidR="00D84097">
        <w:rPr>
          <w:rFonts w:ascii="Calibri" w:hAnsi="Calibri" w:cs="Times New Roman"/>
        </w:rPr>
        <w:t xml:space="preserve">of </w:t>
      </w:r>
      <w:r w:rsidR="00E337FD">
        <w:rPr>
          <w:rFonts w:ascii="Calibri" w:hAnsi="Calibri" w:cs="Times New Roman"/>
        </w:rPr>
        <w:t xml:space="preserve">the </w:t>
      </w:r>
      <w:r w:rsidR="00EB4F59">
        <w:rPr>
          <w:rFonts w:ascii="Calibri" w:hAnsi="Calibri" w:cs="Times New Roman"/>
        </w:rPr>
        <w:t xml:space="preserve">legal </w:t>
      </w:r>
      <w:r w:rsidR="00E337FD">
        <w:rPr>
          <w:rFonts w:ascii="Calibri" w:hAnsi="Calibri" w:cs="Times New Roman"/>
        </w:rPr>
        <w:t>framework</w:t>
      </w:r>
      <w:r w:rsidR="00EB4F59">
        <w:rPr>
          <w:rFonts w:ascii="Calibri" w:hAnsi="Calibri" w:cs="Times New Roman"/>
        </w:rPr>
        <w:t xml:space="preserve"> that support an integrated understanding of SCR 1325 </w:t>
      </w:r>
      <w:r w:rsidR="00E337FD">
        <w:rPr>
          <w:rFonts w:ascii="Calibri" w:hAnsi="Calibri" w:cs="Times New Roman"/>
        </w:rPr>
        <w:t xml:space="preserve">are: </w:t>
      </w:r>
    </w:p>
    <w:p w14:paraId="74454988" w14:textId="77777777" w:rsidR="00B2494C" w:rsidRDefault="00B2494C" w:rsidP="004E5EBC">
      <w:pPr>
        <w:pStyle w:val="ListParagraph"/>
        <w:ind w:left="0"/>
        <w:jc w:val="both"/>
        <w:rPr>
          <w:rFonts w:ascii="Calibri" w:hAnsi="Calibri" w:cs="Times New Roman"/>
        </w:rPr>
      </w:pPr>
    </w:p>
    <w:p w14:paraId="104023D4" w14:textId="01E307C6" w:rsidR="004E5EBC" w:rsidRDefault="004E5EBC" w:rsidP="00F91521">
      <w:pPr>
        <w:pStyle w:val="ListParagraph"/>
        <w:numPr>
          <w:ilvl w:val="0"/>
          <w:numId w:val="3"/>
        </w:numPr>
        <w:spacing w:line="360" w:lineRule="auto"/>
        <w:jc w:val="both"/>
        <w:rPr>
          <w:rFonts w:ascii="Calibri" w:hAnsi="Calibri" w:cs="Times New Roman"/>
        </w:rPr>
      </w:pPr>
      <w:r>
        <w:rPr>
          <w:rFonts w:ascii="Calibri" w:hAnsi="Calibri" w:cs="Times New Roman"/>
        </w:rPr>
        <w:t xml:space="preserve">The </w:t>
      </w:r>
      <w:r w:rsidR="00EB4F59">
        <w:rPr>
          <w:rFonts w:ascii="Calibri" w:hAnsi="Calibri" w:cs="Times New Roman"/>
        </w:rPr>
        <w:t xml:space="preserve">subsequent </w:t>
      </w:r>
      <w:r>
        <w:rPr>
          <w:rFonts w:ascii="Calibri" w:hAnsi="Calibri" w:cs="Times New Roman"/>
        </w:rPr>
        <w:t>Security Council Resolutions</w:t>
      </w:r>
      <w:r w:rsidR="00F64862">
        <w:rPr>
          <w:rFonts w:ascii="Calibri" w:hAnsi="Calibri" w:cs="Times New Roman"/>
        </w:rPr>
        <w:t xml:space="preserve"> (SCRs)</w:t>
      </w:r>
      <w:r>
        <w:rPr>
          <w:rFonts w:ascii="Calibri" w:hAnsi="Calibri" w:cs="Times New Roman"/>
        </w:rPr>
        <w:t xml:space="preserve"> on WPS </w:t>
      </w:r>
      <w:r w:rsidR="00EB4F59">
        <w:rPr>
          <w:rFonts w:ascii="Calibri" w:hAnsi="Calibri" w:cs="Times New Roman"/>
        </w:rPr>
        <w:t>following</w:t>
      </w:r>
      <w:r>
        <w:rPr>
          <w:rFonts w:ascii="Calibri" w:hAnsi="Calibri" w:cs="Times New Roman"/>
        </w:rPr>
        <w:t xml:space="preserve"> SCR 1325, adopted in 2008-13.</w:t>
      </w:r>
      <w:r>
        <w:rPr>
          <w:rStyle w:val="FootnoteReference"/>
          <w:rFonts w:ascii="Calibri" w:hAnsi="Calibri" w:cs="Times New Roman"/>
        </w:rPr>
        <w:footnoteReference w:id="12"/>
      </w:r>
      <w:r>
        <w:rPr>
          <w:rFonts w:ascii="Calibri" w:hAnsi="Calibri" w:cs="Times New Roman"/>
        </w:rPr>
        <w:t xml:space="preserve"> </w:t>
      </w:r>
    </w:p>
    <w:p w14:paraId="07AB3736" w14:textId="18A8E061" w:rsidR="004E5EBC" w:rsidRDefault="00184C76" w:rsidP="00F91521">
      <w:pPr>
        <w:pStyle w:val="ListParagraph"/>
        <w:numPr>
          <w:ilvl w:val="0"/>
          <w:numId w:val="3"/>
        </w:numPr>
        <w:spacing w:line="360" w:lineRule="auto"/>
        <w:jc w:val="both"/>
        <w:rPr>
          <w:rFonts w:ascii="Calibri" w:hAnsi="Calibri" w:cs="Times New Roman"/>
        </w:rPr>
      </w:pPr>
      <w:r>
        <w:rPr>
          <w:rFonts w:ascii="Calibri" w:hAnsi="Calibri" w:cs="Times New Roman"/>
        </w:rPr>
        <w:t>CEDAW</w:t>
      </w:r>
      <w:r w:rsidR="004E5EBC">
        <w:rPr>
          <w:rFonts w:ascii="Calibri" w:hAnsi="Calibri" w:cs="Times New Roman"/>
        </w:rPr>
        <w:t xml:space="preserve"> and </w:t>
      </w:r>
      <w:r w:rsidR="00FB7ACB">
        <w:rPr>
          <w:rFonts w:ascii="Calibri" w:hAnsi="Calibri" w:cs="Times New Roman"/>
        </w:rPr>
        <w:t xml:space="preserve">the </w:t>
      </w:r>
      <w:r w:rsidR="00D9024F">
        <w:rPr>
          <w:rFonts w:ascii="Calibri" w:hAnsi="Calibri" w:cs="Times New Roman"/>
        </w:rPr>
        <w:t>CEDAW GR No</w:t>
      </w:r>
      <w:r w:rsidR="00F347F5">
        <w:rPr>
          <w:rFonts w:ascii="Calibri" w:hAnsi="Calibri" w:cs="Times New Roman"/>
        </w:rPr>
        <w:t>.</w:t>
      </w:r>
      <w:r w:rsidR="00D9024F">
        <w:rPr>
          <w:rFonts w:ascii="Calibri" w:hAnsi="Calibri" w:cs="Times New Roman"/>
        </w:rPr>
        <w:t xml:space="preserve"> 30</w:t>
      </w:r>
      <w:r w:rsidR="009F33EC">
        <w:rPr>
          <w:rFonts w:ascii="Calibri" w:hAnsi="Calibri" w:cs="Times New Roman"/>
        </w:rPr>
        <w:t>, adopted in 1979 and 2013 respectively</w:t>
      </w:r>
      <w:r w:rsidR="004E5EBC">
        <w:rPr>
          <w:rFonts w:ascii="Calibri" w:hAnsi="Calibri" w:cs="Times New Roman"/>
        </w:rPr>
        <w:t>.</w:t>
      </w:r>
      <w:r w:rsidR="004E5EBC">
        <w:rPr>
          <w:rStyle w:val="FootnoteReference"/>
          <w:rFonts w:ascii="Calibri" w:hAnsi="Calibri" w:cs="Times New Roman"/>
        </w:rPr>
        <w:footnoteReference w:id="13"/>
      </w:r>
      <w:r w:rsidR="004E5EBC">
        <w:rPr>
          <w:rFonts w:ascii="Calibri" w:hAnsi="Calibri" w:cs="Times New Roman"/>
        </w:rPr>
        <w:t xml:space="preserve"> </w:t>
      </w:r>
    </w:p>
    <w:p w14:paraId="4E71D920" w14:textId="4AF0D24B" w:rsidR="004E5EBC" w:rsidRDefault="004E5EBC" w:rsidP="00F91521">
      <w:pPr>
        <w:pStyle w:val="ListParagraph"/>
        <w:numPr>
          <w:ilvl w:val="0"/>
          <w:numId w:val="3"/>
        </w:numPr>
        <w:spacing w:line="360" w:lineRule="auto"/>
        <w:jc w:val="both"/>
        <w:rPr>
          <w:rFonts w:ascii="Calibri" w:hAnsi="Calibri" w:cs="Times New Roman"/>
        </w:rPr>
      </w:pPr>
      <w:r w:rsidRPr="00C41AA3">
        <w:rPr>
          <w:rFonts w:ascii="Calibri" w:hAnsi="Calibri" w:cs="Times New Roman"/>
        </w:rPr>
        <w:t xml:space="preserve">The </w:t>
      </w:r>
      <w:r w:rsidR="00184C76">
        <w:rPr>
          <w:rFonts w:ascii="Calibri" w:hAnsi="Calibri" w:cs="Times New Roman"/>
        </w:rPr>
        <w:t xml:space="preserve">BPfA, </w:t>
      </w:r>
      <w:r>
        <w:rPr>
          <w:rFonts w:ascii="Calibri" w:hAnsi="Calibri" w:cs="Times New Roman"/>
        </w:rPr>
        <w:t>adopted at the Fourth World Conference on Women in 1995</w:t>
      </w:r>
      <w:r w:rsidR="00184C76">
        <w:rPr>
          <w:rFonts w:ascii="Calibri" w:hAnsi="Calibri" w:cs="Times New Roman"/>
        </w:rPr>
        <w:t>, especially its</w:t>
      </w:r>
      <w:r>
        <w:rPr>
          <w:rFonts w:ascii="Calibri" w:hAnsi="Calibri" w:cs="Times New Roman"/>
        </w:rPr>
        <w:t xml:space="preserve"> two critical areas of concern on violence against women and women in armed conflict.</w:t>
      </w:r>
      <w:r>
        <w:rPr>
          <w:rStyle w:val="FootnoteReference"/>
          <w:rFonts w:ascii="Calibri" w:hAnsi="Calibri" w:cs="Times New Roman"/>
        </w:rPr>
        <w:footnoteReference w:id="14"/>
      </w:r>
    </w:p>
    <w:p w14:paraId="00A3778C" w14:textId="10C40F43" w:rsidR="004E5EBC" w:rsidRDefault="009C3ABB" w:rsidP="00F91521">
      <w:pPr>
        <w:pStyle w:val="ListParagraph"/>
        <w:numPr>
          <w:ilvl w:val="0"/>
          <w:numId w:val="3"/>
        </w:numPr>
        <w:spacing w:line="360" w:lineRule="auto"/>
        <w:jc w:val="both"/>
        <w:rPr>
          <w:rFonts w:ascii="Calibri" w:hAnsi="Calibri" w:cs="Times New Roman"/>
        </w:rPr>
      </w:pPr>
      <w:r>
        <w:rPr>
          <w:rFonts w:ascii="Calibri" w:hAnsi="Calibri" w:cs="Times New Roman"/>
        </w:rPr>
        <w:t>T</w:t>
      </w:r>
      <w:r w:rsidR="004E5EBC">
        <w:rPr>
          <w:rFonts w:ascii="Calibri" w:hAnsi="Calibri" w:cs="Times New Roman"/>
        </w:rPr>
        <w:t>he Outcome Document of the 23</w:t>
      </w:r>
      <w:r w:rsidR="004E5EBC" w:rsidRPr="00ED65C6">
        <w:rPr>
          <w:rFonts w:ascii="Calibri" w:hAnsi="Calibri" w:cs="Times New Roman"/>
          <w:vertAlign w:val="superscript"/>
        </w:rPr>
        <w:t>rd</w:t>
      </w:r>
      <w:r w:rsidR="004E5EBC">
        <w:rPr>
          <w:rFonts w:ascii="Calibri" w:hAnsi="Calibri" w:cs="Times New Roman"/>
        </w:rPr>
        <w:t xml:space="preserve"> Special Session of the UN General Assembly on </w:t>
      </w:r>
      <w:r w:rsidR="00EB4F59">
        <w:rPr>
          <w:rFonts w:ascii="Calibri" w:hAnsi="Calibri" w:cs="Times New Roman"/>
        </w:rPr>
        <w:t>Women</w:t>
      </w:r>
      <w:r w:rsidR="004E5EBC" w:rsidRPr="00ED65C6">
        <w:rPr>
          <w:rFonts w:ascii="Calibri" w:hAnsi="Calibri" w:cs="Times New Roman"/>
        </w:rPr>
        <w:t xml:space="preserve"> 2000: Gender Equality, Development and Peace for the 21</w:t>
      </w:r>
      <w:r w:rsidR="004E5EBC" w:rsidRPr="00ED65C6">
        <w:rPr>
          <w:rFonts w:ascii="Calibri" w:hAnsi="Calibri" w:cs="Times New Roman"/>
          <w:vertAlign w:val="superscript"/>
        </w:rPr>
        <w:t>st</w:t>
      </w:r>
      <w:r w:rsidR="004E5EBC" w:rsidRPr="00ED65C6">
        <w:rPr>
          <w:rFonts w:ascii="Calibri" w:hAnsi="Calibri" w:cs="Times New Roman"/>
        </w:rPr>
        <w:t xml:space="preserve"> Century</w:t>
      </w:r>
      <w:r w:rsidR="004E5EBC">
        <w:rPr>
          <w:rFonts w:ascii="Calibri" w:hAnsi="Calibri" w:cs="Times New Roman"/>
        </w:rPr>
        <w:t xml:space="preserve"> (UNGA Outcome Document).</w:t>
      </w:r>
      <w:r w:rsidR="004E5EBC" w:rsidRPr="00ED65C6">
        <w:rPr>
          <w:rStyle w:val="FooterChar"/>
          <w:rFonts w:ascii="Calibri" w:hAnsi="Calibri" w:cs="Times New Roman"/>
        </w:rPr>
        <w:t xml:space="preserve"> </w:t>
      </w:r>
      <w:r w:rsidR="004E5EBC">
        <w:rPr>
          <w:rStyle w:val="FootnoteReference"/>
          <w:rFonts w:ascii="Calibri" w:hAnsi="Calibri" w:cs="Times New Roman"/>
        </w:rPr>
        <w:footnoteReference w:id="15"/>
      </w:r>
      <w:r w:rsidR="004E5EBC">
        <w:rPr>
          <w:rFonts w:ascii="Calibri" w:hAnsi="Calibri" w:cs="Times New Roman"/>
        </w:rPr>
        <w:t xml:space="preserve"> </w:t>
      </w:r>
    </w:p>
    <w:p w14:paraId="296AFABE" w14:textId="09724DCC" w:rsidR="000A2156" w:rsidRPr="00363211" w:rsidRDefault="000A2156" w:rsidP="00F91521">
      <w:pPr>
        <w:pStyle w:val="ListParagraph"/>
        <w:numPr>
          <w:ilvl w:val="0"/>
          <w:numId w:val="3"/>
        </w:numPr>
        <w:spacing w:line="360" w:lineRule="auto"/>
        <w:jc w:val="both"/>
        <w:rPr>
          <w:rFonts w:ascii="Calibri" w:hAnsi="Calibri" w:cs="Times New Roman"/>
        </w:rPr>
      </w:pPr>
      <w:r>
        <w:rPr>
          <w:rFonts w:ascii="Calibri" w:hAnsi="Calibri" w:cs="Times New Roman"/>
        </w:rPr>
        <w:t>The Agreed Conclusions of the Commission on the Status of Women 2013</w:t>
      </w:r>
      <w:r w:rsidR="00F64862">
        <w:rPr>
          <w:rFonts w:ascii="Calibri" w:hAnsi="Calibri" w:cs="Times New Roman"/>
        </w:rPr>
        <w:t xml:space="preserve"> on the prevention and elimination of violence against women</w:t>
      </w:r>
      <w:r>
        <w:rPr>
          <w:rFonts w:ascii="Calibri" w:hAnsi="Calibri" w:cs="Times New Roman"/>
        </w:rPr>
        <w:t xml:space="preserve"> (CSW Agreed Conclusions 2013)</w:t>
      </w:r>
      <w:r w:rsidR="00F64862">
        <w:rPr>
          <w:rFonts w:ascii="Calibri" w:hAnsi="Calibri" w:cs="Times New Roman"/>
        </w:rPr>
        <w:t>.</w:t>
      </w:r>
      <w:r w:rsidR="00413E63">
        <w:rPr>
          <w:rStyle w:val="FootnoteReference"/>
          <w:rFonts w:ascii="Calibri" w:hAnsi="Calibri" w:cs="Times New Roman"/>
        </w:rPr>
        <w:footnoteReference w:id="16"/>
      </w:r>
      <w:r>
        <w:rPr>
          <w:rFonts w:ascii="Calibri" w:hAnsi="Calibri" w:cs="Times New Roman"/>
        </w:rPr>
        <w:t xml:space="preserve"> </w:t>
      </w:r>
    </w:p>
    <w:p w14:paraId="1A2DDDF3" w14:textId="77777777" w:rsidR="004E5EBC" w:rsidRDefault="004E5EBC" w:rsidP="004E5EBC">
      <w:pPr>
        <w:rPr>
          <w:rFonts w:ascii="Calibri" w:hAnsi="Calibri" w:cs="Times New Roman"/>
        </w:rPr>
      </w:pPr>
    </w:p>
    <w:p w14:paraId="6CA86D92" w14:textId="3570588D" w:rsidR="004E5EBC" w:rsidRDefault="004E5EBC" w:rsidP="00F91521">
      <w:pPr>
        <w:spacing w:line="360" w:lineRule="auto"/>
        <w:rPr>
          <w:rFonts w:ascii="Calibri" w:hAnsi="Calibri" w:cs="Times New Roman"/>
        </w:rPr>
      </w:pPr>
      <w:r>
        <w:rPr>
          <w:rFonts w:ascii="Calibri" w:hAnsi="Calibri" w:cs="Times New Roman"/>
        </w:rPr>
        <w:t>This s</w:t>
      </w:r>
      <w:r w:rsidR="00F347F5">
        <w:rPr>
          <w:rFonts w:ascii="Calibri" w:hAnsi="Calibri" w:cs="Times New Roman"/>
        </w:rPr>
        <w:t>ubmissio</w:t>
      </w:r>
      <w:r>
        <w:rPr>
          <w:rFonts w:ascii="Calibri" w:hAnsi="Calibri" w:cs="Times New Roman"/>
        </w:rPr>
        <w:t xml:space="preserve">n does not discuss the following international </w:t>
      </w:r>
      <w:r w:rsidR="00B2494C">
        <w:rPr>
          <w:rFonts w:ascii="Calibri" w:hAnsi="Calibri" w:cs="Times New Roman"/>
        </w:rPr>
        <w:t>instruments</w:t>
      </w:r>
      <w:r>
        <w:rPr>
          <w:rFonts w:ascii="Calibri" w:hAnsi="Calibri" w:cs="Times New Roman"/>
        </w:rPr>
        <w:t xml:space="preserve"> that are part of the framework in depth, but acknowledges their importance: </w:t>
      </w:r>
    </w:p>
    <w:p w14:paraId="50F6031A" w14:textId="77777777" w:rsidR="00136AB0" w:rsidRDefault="00136AB0" w:rsidP="004E5EBC">
      <w:pPr>
        <w:rPr>
          <w:rFonts w:ascii="Calibri" w:hAnsi="Calibri" w:cs="Times New Roman"/>
        </w:rPr>
      </w:pPr>
    </w:p>
    <w:p w14:paraId="14806B85" w14:textId="07197048" w:rsidR="004E5EBC" w:rsidRPr="000A2156" w:rsidRDefault="004E5EBC" w:rsidP="00F91521">
      <w:pPr>
        <w:pStyle w:val="ListParagraph"/>
        <w:numPr>
          <w:ilvl w:val="0"/>
          <w:numId w:val="32"/>
        </w:numPr>
        <w:spacing w:line="360" w:lineRule="auto"/>
        <w:rPr>
          <w:rFonts w:ascii="Calibri" w:hAnsi="Calibri" w:cs="Times New Roman"/>
        </w:rPr>
      </w:pPr>
      <w:r w:rsidRPr="000A2156">
        <w:rPr>
          <w:rFonts w:ascii="Calibri" w:hAnsi="Calibri" w:cs="Times New Roman"/>
        </w:rPr>
        <w:t>International human rights</w:t>
      </w:r>
      <w:r w:rsidR="00294A21">
        <w:rPr>
          <w:rFonts w:ascii="Calibri" w:hAnsi="Calibri" w:cs="Times New Roman"/>
        </w:rPr>
        <w:t xml:space="preserve"> law (IHRL)</w:t>
      </w:r>
      <w:r w:rsidRPr="000A2156">
        <w:rPr>
          <w:rFonts w:ascii="Calibri" w:hAnsi="Calibri" w:cs="Times New Roman"/>
        </w:rPr>
        <w:t xml:space="preserve"> treaties other than CEDAW</w:t>
      </w:r>
      <w:r w:rsidR="00FB7ACB">
        <w:rPr>
          <w:rFonts w:ascii="Calibri" w:hAnsi="Calibri" w:cs="Times New Roman"/>
        </w:rPr>
        <w:t xml:space="preserve"> and its Optional Protocol 1999</w:t>
      </w:r>
      <w:r w:rsidRPr="000A2156">
        <w:rPr>
          <w:rFonts w:ascii="Calibri" w:hAnsi="Calibri" w:cs="Times New Roman"/>
        </w:rPr>
        <w:t>,</w:t>
      </w:r>
      <w:r w:rsidR="00FB7ACB">
        <w:rPr>
          <w:rStyle w:val="FootnoteReference"/>
          <w:rFonts w:ascii="Calibri" w:hAnsi="Calibri" w:cs="Times New Roman"/>
        </w:rPr>
        <w:footnoteReference w:id="17"/>
      </w:r>
      <w:r w:rsidRPr="000A2156">
        <w:rPr>
          <w:rFonts w:ascii="Calibri" w:hAnsi="Calibri" w:cs="Times New Roman"/>
        </w:rPr>
        <w:t xml:space="preserve"> including:</w:t>
      </w:r>
    </w:p>
    <w:p w14:paraId="1DA997B9" w14:textId="23F6E331" w:rsidR="004E5EBC" w:rsidRDefault="004E5EBC" w:rsidP="00F91521">
      <w:pPr>
        <w:pStyle w:val="ListParagraph"/>
        <w:numPr>
          <w:ilvl w:val="1"/>
          <w:numId w:val="3"/>
        </w:numPr>
        <w:spacing w:line="360" w:lineRule="auto"/>
        <w:jc w:val="both"/>
        <w:rPr>
          <w:rFonts w:ascii="Calibri" w:hAnsi="Calibri" w:cs="Times New Roman"/>
        </w:rPr>
      </w:pPr>
      <w:r>
        <w:rPr>
          <w:rFonts w:ascii="Calibri" w:hAnsi="Calibri" w:cs="Times New Roman"/>
        </w:rPr>
        <w:t>The International Bill of Rights (the Universal Declaration of Human Rights 1948, and the International Covenants on Civil and Political Rights and Economic, Socia</w:t>
      </w:r>
      <w:r w:rsidR="00DB3942">
        <w:rPr>
          <w:rFonts w:ascii="Calibri" w:hAnsi="Calibri" w:cs="Times New Roman"/>
        </w:rPr>
        <w:t>l and Cultural Rights 1966</w:t>
      </w:r>
      <w:r w:rsidR="00515F65">
        <w:rPr>
          <w:rFonts w:ascii="Calibri" w:hAnsi="Calibri" w:cs="Times New Roman"/>
        </w:rPr>
        <w:t>)</w:t>
      </w:r>
      <w:r>
        <w:rPr>
          <w:rFonts w:ascii="Calibri" w:hAnsi="Calibri" w:cs="Times New Roman"/>
        </w:rPr>
        <w:t>.</w:t>
      </w:r>
      <w:r>
        <w:rPr>
          <w:rStyle w:val="FootnoteReference"/>
          <w:rFonts w:ascii="Calibri" w:hAnsi="Calibri" w:cs="Times New Roman"/>
        </w:rPr>
        <w:footnoteReference w:id="18"/>
      </w:r>
    </w:p>
    <w:p w14:paraId="0E2E55D9" w14:textId="405B8081" w:rsidR="004E5EBC" w:rsidRDefault="004E5EBC" w:rsidP="00F91521">
      <w:pPr>
        <w:pStyle w:val="ListParagraph"/>
        <w:numPr>
          <w:ilvl w:val="1"/>
          <w:numId w:val="3"/>
        </w:numPr>
        <w:spacing w:line="360" w:lineRule="auto"/>
        <w:jc w:val="both"/>
        <w:rPr>
          <w:rFonts w:ascii="Calibri" w:hAnsi="Calibri" w:cs="Times New Roman"/>
        </w:rPr>
      </w:pPr>
      <w:r>
        <w:rPr>
          <w:rFonts w:ascii="Calibri" w:hAnsi="Calibri" w:cs="Times New Roman"/>
        </w:rPr>
        <w:t>The Convention o</w:t>
      </w:r>
      <w:r w:rsidR="005A5A22">
        <w:rPr>
          <w:rFonts w:ascii="Calibri" w:hAnsi="Calibri" w:cs="Times New Roman"/>
        </w:rPr>
        <w:t>n the Rights of the Child 1989 (</w:t>
      </w:r>
      <w:r>
        <w:rPr>
          <w:rFonts w:ascii="Calibri" w:hAnsi="Calibri" w:cs="Times New Roman"/>
        </w:rPr>
        <w:t xml:space="preserve">which has special relevance for </w:t>
      </w:r>
      <w:r w:rsidR="005A5A22">
        <w:rPr>
          <w:rFonts w:ascii="Calibri" w:hAnsi="Calibri" w:cs="Times New Roman"/>
        </w:rPr>
        <w:t>girls affected by conflict</w:t>
      </w:r>
      <w:r>
        <w:rPr>
          <w:rFonts w:ascii="Calibri" w:hAnsi="Calibri" w:cs="Times New Roman"/>
        </w:rPr>
        <w:t xml:space="preserve"> and like CEDAW, enjoys near-universal ratification</w:t>
      </w:r>
      <w:r w:rsidR="005A5A22">
        <w:rPr>
          <w:rFonts w:ascii="Calibri" w:hAnsi="Calibri" w:cs="Times New Roman"/>
        </w:rPr>
        <w:t>)</w:t>
      </w:r>
      <w:r>
        <w:rPr>
          <w:rFonts w:ascii="Calibri" w:hAnsi="Calibri" w:cs="Times New Roman"/>
        </w:rPr>
        <w:t xml:space="preserve"> and </w:t>
      </w:r>
      <w:r w:rsidR="00413E63">
        <w:rPr>
          <w:rFonts w:ascii="Calibri" w:hAnsi="Calibri" w:cs="Times New Roman"/>
        </w:rPr>
        <w:t xml:space="preserve">its </w:t>
      </w:r>
      <w:r>
        <w:rPr>
          <w:rFonts w:ascii="Calibri" w:hAnsi="Calibri" w:cs="Times New Roman"/>
        </w:rPr>
        <w:t>two relevant Protocols of 2000</w:t>
      </w:r>
      <w:r w:rsidR="00A02A0D">
        <w:rPr>
          <w:rFonts w:ascii="Calibri" w:hAnsi="Calibri" w:cs="Times New Roman"/>
        </w:rPr>
        <w:t>, especially the Optional Protocol on the Involvement of Children in Armed Conflict</w:t>
      </w:r>
      <w:r>
        <w:rPr>
          <w:rFonts w:ascii="Calibri" w:hAnsi="Calibri" w:cs="Times New Roman"/>
        </w:rPr>
        <w:t>.</w:t>
      </w:r>
      <w:r>
        <w:rPr>
          <w:rStyle w:val="FootnoteReference"/>
          <w:rFonts w:ascii="Calibri" w:hAnsi="Calibri" w:cs="Times New Roman"/>
        </w:rPr>
        <w:footnoteReference w:id="19"/>
      </w:r>
    </w:p>
    <w:p w14:paraId="22A01DCE" w14:textId="77777777" w:rsidR="004E5EBC" w:rsidRDefault="004E5EBC" w:rsidP="00F91521">
      <w:pPr>
        <w:pStyle w:val="ListParagraph"/>
        <w:numPr>
          <w:ilvl w:val="1"/>
          <w:numId w:val="3"/>
        </w:numPr>
        <w:spacing w:line="360" w:lineRule="auto"/>
        <w:jc w:val="both"/>
        <w:rPr>
          <w:rFonts w:ascii="Calibri" w:hAnsi="Calibri" w:cs="Times New Roman"/>
        </w:rPr>
      </w:pPr>
      <w:r>
        <w:rPr>
          <w:rFonts w:ascii="Calibri" w:hAnsi="Calibri" w:cs="Times New Roman"/>
        </w:rPr>
        <w:t>The Refugee Convention 1951, which has special relevance for women and girl refugees in relation to conflict, and its Protocol of 1967.</w:t>
      </w:r>
      <w:r>
        <w:rPr>
          <w:rStyle w:val="FootnoteReference"/>
          <w:rFonts w:ascii="Calibri" w:hAnsi="Calibri" w:cs="Times New Roman"/>
        </w:rPr>
        <w:footnoteReference w:id="20"/>
      </w:r>
      <w:r>
        <w:rPr>
          <w:rFonts w:ascii="Calibri" w:hAnsi="Calibri" w:cs="Times New Roman"/>
        </w:rPr>
        <w:t xml:space="preserve"> </w:t>
      </w:r>
    </w:p>
    <w:p w14:paraId="73A4359C" w14:textId="11A067D0" w:rsidR="004E5EBC" w:rsidRDefault="004E5EBC" w:rsidP="00F91521">
      <w:pPr>
        <w:pStyle w:val="ListParagraph"/>
        <w:numPr>
          <w:ilvl w:val="1"/>
          <w:numId w:val="3"/>
        </w:numPr>
        <w:spacing w:line="360" w:lineRule="auto"/>
        <w:jc w:val="both"/>
        <w:rPr>
          <w:rFonts w:ascii="Calibri" w:hAnsi="Calibri" w:cs="Times New Roman"/>
        </w:rPr>
      </w:pPr>
      <w:r>
        <w:rPr>
          <w:rFonts w:ascii="Calibri" w:hAnsi="Calibri" w:cs="Times New Roman"/>
        </w:rPr>
        <w:t>The Convention against Torture 19</w:t>
      </w:r>
      <w:r w:rsidR="00C90972">
        <w:rPr>
          <w:rFonts w:ascii="Calibri" w:hAnsi="Calibri" w:cs="Times New Roman"/>
        </w:rPr>
        <w:t>84</w:t>
      </w:r>
      <w:r>
        <w:rPr>
          <w:rFonts w:ascii="Calibri" w:hAnsi="Calibri" w:cs="Times New Roman"/>
        </w:rPr>
        <w:t>, which has special relevance for the rights of women and girls to be free from violence, including torture and all forms of cruel, inhuman and degrading treatment.</w:t>
      </w:r>
      <w:r>
        <w:rPr>
          <w:rStyle w:val="FootnoteReference"/>
          <w:rFonts w:ascii="Calibri" w:hAnsi="Calibri" w:cs="Times New Roman"/>
        </w:rPr>
        <w:footnoteReference w:id="21"/>
      </w:r>
      <w:r>
        <w:rPr>
          <w:rFonts w:ascii="Calibri" w:hAnsi="Calibri" w:cs="Times New Roman"/>
        </w:rPr>
        <w:t xml:space="preserve"> </w:t>
      </w:r>
    </w:p>
    <w:p w14:paraId="7DA99056" w14:textId="5B9F7E52" w:rsidR="004E5EBC" w:rsidRDefault="002F55AB" w:rsidP="00F91521">
      <w:pPr>
        <w:pStyle w:val="ListParagraph"/>
        <w:numPr>
          <w:ilvl w:val="0"/>
          <w:numId w:val="3"/>
        </w:numPr>
        <w:spacing w:line="360" w:lineRule="auto"/>
        <w:jc w:val="both"/>
        <w:rPr>
          <w:rFonts w:ascii="Calibri" w:hAnsi="Calibri" w:cs="Times New Roman"/>
        </w:rPr>
      </w:pPr>
      <w:r>
        <w:rPr>
          <w:rFonts w:ascii="Calibri" w:hAnsi="Calibri" w:cs="Times New Roman"/>
        </w:rPr>
        <w:t>I</w:t>
      </w:r>
      <w:r w:rsidR="00C90972">
        <w:rPr>
          <w:rFonts w:ascii="Calibri" w:hAnsi="Calibri" w:cs="Times New Roman"/>
        </w:rPr>
        <w:t>nternational humanitarian law (I</w:t>
      </w:r>
      <w:r>
        <w:rPr>
          <w:rFonts w:ascii="Calibri" w:hAnsi="Calibri" w:cs="Times New Roman"/>
        </w:rPr>
        <w:t>HL</w:t>
      </w:r>
      <w:r w:rsidR="00C90972">
        <w:rPr>
          <w:rFonts w:ascii="Calibri" w:hAnsi="Calibri" w:cs="Times New Roman"/>
        </w:rPr>
        <w:t>)</w:t>
      </w:r>
      <w:r w:rsidR="004E5EBC">
        <w:rPr>
          <w:rFonts w:ascii="Calibri" w:hAnsi="Calibri" w:cs="Times New Roman"/>
        </w:rPr>
        <w:t xml:space="preserve"> treaties, n</w:t>
      </w:r>
      <w:r w:rsidR="005A5A22">
        <w:rPr>
          <w:rFonts w:ascii="Calibri" w:hAnsi="Calibri" w:cs="Times New Roman"/>
        </w:rPr>
        <w:t xml:space="preserve">amely the Geneva Conventions </w:t>
      </w:r>
      <w:r w:rsidR="004E5EBC">
        <w:rPr>
          <w:rFonts w:ascii="Calibri" w:hAnsi="Calibri" w:cs="Times New Roman"/>
        </w:rPr>
        <w:t>1949 and the Additional Protocols of 1977.</w:t>
      </w:r>
      <w:r w:rsidR="00671735">
        <w:rPr>
          <w:rStyle w:val="FootnoteReference"/>
          <w:rFonts w:ascii="Calibri" w:hAnsi="Calibri" w:cs="Times New Roman"/>
        </w:rPr>
        <w:footnoteReference w:id="22"/>
      </w:r>
    </w:p>
    <w:p w14:paraId="3C9E3654" w14:textId="2CF780E2" w:rsidR="000A3B73" w:rsidRDefault="004E5EBC" w:rsidP="00F91521">
      <w:pPr>
        <w:pStyle w:val="ListParagraph"/>
        <w:numPr>
          <w:ilvl w:val="0"/>
          <w:numId w:val="3"/>
        </w:numPr>
        <w:spacing w:line="360" w:lineRule="auto"/>
        <w:jc w:val="both"/>
        <w:rPr>
          <w:rFonts w:ascii="Calibri" w:hAnsi="Calibri" w:cs="Times New Roman"/>
        </w:rPr>
      </w:pPr>
      <w:r>
        <w:rPr>
          <w:rFonts w:ascii="Calibri" w:hAnsi="Calibri" w:cs="Times New Roman"/>
        </w:rPr>
        <w:lastRenderedPageBreak/>
        <w:t xml:space="preserve">International criminal law treaties, namely the Rome Statute of the International Criminal Court </w:t>
      </w:r>
      <w:r w:rsidR="002D38C7">
        <w:rPr>
          <w:rFonts w:ascii="Calibri" w:hAnsi="Calibri" w:cs="Times New Roman"/>
        </w:rPr>
        <w:t>1998</w:t>
      </w:r>
      <w:r>
        <w:rPr>
          <w:rFonts w:ascii="Calibri" w:hAnsi="Calibri" w:cs="Times New Roman"/>
        </w:rPr>
        <w:t>.</w:t>
      </w:r>
      <w:r>
        <w:rPr>
          <w:rStyle w:val="FootnoteReference"/>
          <w:rFonts w:ascii="Calibri" w:hAnsi="Calibri" w:cs="Times New Roman"/>
        </w:rPr>
        <w:footnoteReference w:id="23"/>
      </w:r>
    </w:p>
    <w:p w14:paraId="5B92C4FE" w14:textId="31EF6EE7" w:rsidR="00254256" w:rsidRPr="00254256" w:rsidRDefault="00254256" w:rsidP="00F91521">
      <w:pPr>
        <w:pStyle w:val="ListParagraph"/>
        <w:numPr>
          <w:ilvl w:val="0"/>
          <w:numId w:val="3"/>
        </w:numPr>
        <w:spacing w:line="360" w:lineRule="auto"/>
        <w:jc w:val="both"/>
        <w:rPr>
          <w:rFonts w:ascii="Calibri" w:hAnsi="Calibri" w:cs="Times New Roman"/>
        </w:rPr>
      </w:pPr>
      <w:r>
        <w:rPr>
          <w:rFonts w:ascii="Calibri" w:hAnsi="Calibri" w:cs="Times New Roman"/>
        </w:rPr>
        <w:t xml:space="preserve">Other relevant SCRs that address the WPS agenda including: the SCRs on </w:t>
      </w:r>
      <w:r w:rsidR="00241F65">
        <w:rPr>
          <w:rFonts w:ascii="Calibri" w:hAnsi="Calibri" w:cs="Times New Roman"/>
        </w:rPr>
        <w:t>children and</w:t>
      </w:r>
      <w:r>
        <w:rPr>
          <w:rFonts w:ascii="Calibri" w:hAnsi="Calibri" w:cs="Times New Roman"/>
        </w:rPr>
        <w:t xml:space="preserve"> armed conflict, including SCRs 1539 (2004) 1612 (2005) 1882 (2009) 1998 (2011) and 2143 (2014) and on armed conflict and post-conflict situations, as well as </w:t>
      </w:r>
      <w:r w:rsidRPr="00CD3D37">
        <w:rPr>
          <w:rFonts w:ascii="Calibri" w:hAnsi="Calibri" w:cs="Times New Roman"/>
        </w:rPr>
        <w:t>Presidential Statements of the Security Council relevant to the WPS agenda.</w:t>
      </w:r>
      <w:r>
        <w:rPr>
          <w:rStyle w:val="FootnoteReference"/>
          <w:rFonts w:ascii="Calibri" w:hAnsi="Calibri" w:cs="Times New Roman"/>
        </w:rPr>
        <w:footnoteReference w:id="24"/>
      </w:r>
      <w:r w:rsidRPr="00CD3D37">
        <w:rPr>
          <w:rFonts w:ascii="Calibri" w:hAnsi="Calibri" w:cs="Times New Roman"/>
        </w:rPr>
        <w:t xml:space="preserve"> </w:t>
      </w:r>
    </w:p>
    <w:p w14:paraId="7550DE9A" w14:textId="4E83EDF8" w:rsidR="000A3B73" w:rsidRDefault="000A3B73" w:rsidP="00F91521">
      <w:pPr>
        <w:pStyle w:val="ListParagraph"/>
        <w:numPr>
          <w:ilvl w:val="0"/>
          <w:numId w:val="3"/>
        </w:numPr>
        <w:spacing w:line="360" w:lineRule="auto"/>
        <w:jc w:val="both"/>
        <w:rPr>
          <w:rFonts w:ascii="Calibri" w:hAnsi="Calibri" w:cs="Times New Roman"/>
        </w:rPr>
      </w:pPr>
      <w:r>
        <w:rPr>
          <w:rFonts w:ascii="Calibri" w:hAnsi="Calibri" w:cs="Times New Roman"/>
        </w:rPr>
        <w:t xml:space="preserve">Declarations and programmes for action that are “soft law” but that </w:t>
      </w:r>
      <w:r w:rsidR="006121F6">
        <w:rPr>
          <w:rFonts w:ascii="Calibri" w:hAnsi="Calibri" w:cs="Times New Roman"/>
        </w:rPr>
        <w:t xml:space="preserve">are relevant to the rights of women and girls in armed conflict, especially </w:t>
      </w:r>
      <w:r>
        <w:rPr>
          <w:rFonts w:ascii="Calibri" w:hAnsi="Calibri" w:cs="Times New Roman"/>
        </w:rPr>
        <w:t xml:space="preserve">the </w:t>
      </w:r>
      <w:r w:rsidR="006121F6" w:rsidRPr="006121F6">
        <w:rPr>
          <w:rFonts w:ascii="Calibri" w:eastAsia="Times New Roman" w:hAnsi="Calibri" w:cs="Times New Roman"/>
          <w:bCs/>
          <w:color w:val="000000"/>
          <w:shd w:val="clear" w:color="auto" w:fill="FFFFFF"/>
        </w:rPr>
        <w:t>Declaration on the Protection of Women and Children in Emergency and Armed Conflict</w:t>
      </w:r>
      <w:r w:rsidR="006121F6">
        <w:rPr>
          <w:rFonts w:ascii="Calibri" w:eastAsia="Times New Roman" w:hAnsi="Calibri" w:cs="Times New Roman"/>
          <w:bCs/>
          <w:color w:val="000000"/>
          <w:shd w:val="clear" w:color="auto" w:fill="FFFFFF"/>
        </w:rPr>
        <w:t xml:space="preserve"> 1974</w:t>
      </w:r>
      <w:r w:rsidR="002214C5">
        <w:rPr>
          <w:rFonts w:ascii="Calibri" w:eastAsia="Times New Roman" w:hAnsi="Calibri" w:cs="Times New Roman"/>
          <w:bCs/>
          <w:color w:val="000000"/>
          <w:shd w:val="clear" w:color="auto" w:fill="FFFFFF"/>
        </w:rPr>
        <w:t>, the UN Declaration on the Elimination of Violence against Women</w:t>
      </w:r>
      <w:r w:rsidR="009C3ABB">
        <w:rPr>
          <w:rFonts w:ascii="Calibri" w:eastAsia="Times New Roman" w:hAnsi="Calibri" w:cs="Times New Roman"/>
          <w:bCs/>
          <w:color w:val="000000"/>
          <w:shd w:val="clear" w:color="auto" w:fill="FFFFFF"/>
        </w:rPr>
        <w:t xml:space="preserve"> 1993</w:t>
      </w:r>
      <w:r w:rsidR="006121F6" w:rsidRPr="000A3B73">
        <w:rPr>
          <w:rFonts w:ascii="Calibri" w:hAnsi="Calibri" w:cs="Times New Roman"/>
        </w:rPr>
        <w:t xml:space="preserve"> </w:t>
      </w:r>
      <w:r w:rsidR="006121F6">
        <w:rPr>
          <w:rFonts w:ascii="Calibri" w:hAnsi="Calibri" w:cs="Times New Roman"/>
        </w:rPr>
        <w:t xml:space="preserve">and the </w:t>
      </w:r>
      <w:r w:rsidRPr="000A3B73">
        <w:rPr>
          <w:rFonts w:ascii="Calibri" w:hAnsi="Calibri" w:cs="Times New Roman"/>
        </w:rPr>
        <w:t>Vienna Declaration</w:t>
      </w:r>
      <w:r>
        <w:rPr>
          <w:rFonts w:ascii="Calibri" w:hAnsi="Calibri" w:cs="Times New Roman"/>
        </w:rPr>
        <w:t xml:space="preserve"> and Programme of Action</w:t>
      </w:r>
      <w:r w:rsidRPr="000A3B73">
        <w:rPr>
          <w:rFonts w:ascii="Calibri" w:hAnsi="Calibri" w:cs="Times New Roman"/>
        </w:rPr>
        <w:t xml:space="preserve"> 1993</w:t>
      </w:r>
      <w:r>
        <w:rPr>
          <w:rFonts w:ascii="Calibri" w:hAnsi="Calibri" w:cs="Times New Roman"/>
        </w:rPr>
        <w:t>.</w:t>
      </w:r>
      <w:r>
        <w:rPr>
          <w:rStyle w:val="FootnoteReference"/>
          <w:rFonts w:ascii="Calibri" w:hAnsi="Calibri" w:cs="Times New Roman"/>
        </w:rPr>
        <w:footnoteReference w:id="25"/>
      </w:r>
    </w:p>
    <w:p w14:paraId="35F9EBB1" w14:textId="6FD1E947" w:rsidR="005460C4" w:rsidRPr="005460C4" w:rsidRDefault="00F01CF0" w:rsidP="00F91521">
      <w:pPr>
        <w:pStyle w:val="ListParagraph"/>
        <w:numPr>
          <w:ilvl w:val="0"/>
          <w:numId w:val="9"/>
        </w:numPr>
        <w:spacing w:line="360" w:lineRule="auto"/>
        <w:jc w:val="both"/>
        <w:rPr>
          <w:rFonts w:ascii="Calibri" w:hAnsi="Calibri" w:cs="Times New Roman"/>
        </w:rPr>
      </w:pPr>
      <w:r>
        <w:rPr>
          <w:rFonts w:ascii="Calibri" w:hAnsi="Calibri" w:cs="Times New Roman"/>
        </w:rPr>
        <w:t>R</w:t>
      </w:r>
      <w:r w:rsidR="005460C4">
        <w:rPr>
          <w:rFonts w:ascii="Calibri" w:hAnsi="Calibri" w:cs="Times New Roman"/>
        </w:rPr>
        <w:t xml:space="preserve">ecommendations in the reports of the Secretary-General relevant to </w:t>
      </w:r>
      <w:r w:rsidR="00241F65">
        <w:rPr>
          <w:rFonts w:ascii="Calibri" w:hAnsi="Calibri" w:cs="Times New Roman"/>
        </w:rPr>
        <w:t>the legal framework</w:t>
      </w:r>
      <w:r w:rsidR="00C10637">
        <w:rPr>
          <w:rFonts w:ascii="Calibri" w:hAnsi="Calibri" w:cs="Times New Roman"/>
        </w:rPr>
        <w:t xml:space="preserve"> on women, peace and security</w:t>
      </w:r>
      <w:r w:rsidR="005460C4">
        <w:rPr>
          <w:rFonts w:ascii="Calibri" w:hAnsi="Calibri" w:cs="Times New Roman"/>
        </w:rPr>
        <w:t xml:space="preserve">; the Concluding Observations and General </w:t>
      </w:r>
      <w:r w:rsidR="00241F65">
        <w:rPr>
          <w:rFonts w:ascii="Calibri" w:hAnsi="Calibri" w:cs="Times New Roman"/>
        </w:rPr>
        <w:t>Comments/</w:t>
      </w:r>
      <w:r w:rsidR="005460C4">
        <w:rPr>
          <w:rFonts w:ascii="Calibri" w:hAnsi="Calibri" w:cs="Times New Roman"/>
        </w:rPr>
        <w:t>Recommendations of the CEDAW Committee and other UN treaty bodies; the recommendations of the Special Representatives of the Secretary-General (SRSGs) on Sexual Violence in Conflict and Children and Armed Conflict; and recommendations made by the special procedures of the Human Rights Council on thematic issues and territo</w:t>
      </w:r>
      <w:r w:rsidR="00C10637">
        <w:rPr>
          <w:rFonts w:ascii="Calibri" w:hAnsi="Calibri" w:cs="Times New Roman"/>
        </w:rPr>
        <w:t>ries relevant to WPS, including</w:t>
      </w:r>
      <w:r w:rsidR="005460C4">
        <w:rPr>
          <w:rFonts w:ascii="Calibri" w:hAnsi="Calibri" w:cs="Times New Roman"/>
        </w:rPr>
        <w:t xml:space="preserve"> the Special Rapporteurs on: Violence against Women, its causes and consequences; the human rights of internally displaced persons; truth, justice, reparation and guarantees of non-recurrence; the situation of human rights in Somalia; the Sudan; the Syrian Arab Republic; and the Palestinian territories occupied since 1967. </w:t>
      </w:r>
    </w:p>
    <w:p w14:paraId="5E0B5B91" w14:textId="77777777" w:rsidR="006121F6" w:rsidRDefault="006121F6" w:rsidP="004E5EBC">
      <w:pPr>
        <w:rPr>
          <w:rFonts w:ascii="Calibri" w:hAnsi="Calibri" w:cs="Times New Roman"/>
        </w:rPr>
      </w:pPr>
    </w:p>
    <w:p w14:paraId="271C5F5E" w14:textId="77777777" w:rsidR="004E5EBC" w:rsidRDefault="004E5EBC" w:rsidP="00F91521">
      <w:pPr>
        <w:spacing w:line="360" w:lineRule="auto"/>
        <w:rPr>
          <w:rFonts w:ascii="Calibri" w:hAnsi="Calibri" w:cs="Times New Roman"/>
        </w:rPr>
      </w:pPr>
      <w:r>
        <w:rPr>
          <w:rFonts w:ascii="Calibri" w:hAnsi="Calibri" w:cs="Times New Roman"/>
        </w:rPr>
        <w:t xml:space="preserve">Similarly, while this section does not cover regional human rights law in-depth, it acknowledges the importance of regional treaties that strengthen the framework on WPS. In particular these include:  </w:t>
      </w:r>
    </w:p>
    <w:p w14:paraId="3201F682" w14:textId="77777777" w:rsidR="00B2494C" w:rsidRDefault="00B2494C" w:rsidP="004E5EBC">
      <w:pPr>
        <w:rPr>
          <w:rFonts w:ascii="Calibri" w:hAnsi="Calibri" w:cs="Times New Roman"/>
        </w:rPr>
      </w:pPr>
    </w:p>
    <w:p w14:paraId="06835432" w14:textId="77777777" w:rsidR="004E5EBC" w:rsidRPr="009E46B7" w:rsidRDefault="004E5EBC" w:rsidP="00F91521">
      <w:pPr>
        <w:pStyle w:val="ListParagraph"/>
        <w:numPr>
          <w:ilvl w:val="0"/>
          <w:numId w:val="4"/>
        </w:numPr>
        <w:spacing w:line="360" w:lineRule="auto"/>
        <w:jc w:val="both"/>
        <w:rPr>
          <w:rFonts w:ascii="Calibri" w:hAnsi="Calibri" w:cs="Times New Roman"/>
        </w:rPr>
      </w:pPr>
      <w:r>
        <w:rPr>
          <w:rFonts w:ascii="Calibri" w:hAnsi="Calibri" w:cs="Times New Roman"/>
        </w:rPr>
        <w:t xml:space="preserve">The </w:t>
      </w:r>
      <w:r w:rsidRPr="009E46B7">
        <w:rPr>
          <w:rFonts w:ascii="Calibri" w:hAnsi="Calibri" w:cs="Times New Roman"/>
        </w:rPr>
        <w:t xml:space="preserve">Council of Europe Convention on Preventing and Combating Gender Based Violence and Domestic Violence </w:t>
      </w:r>
      <w:r>
        <w:rPr>
          <w:rFonts w:ascii="Calibri" w:hAnsi="Calibri" w:cs="Times New Roman"/>
        </w:rPr>
        <w:t>(the Istanbul Convention, 2011).</w:t>
      </w:r>
    </w:p>
    <w:p w14:paraId="7741BABB" w14:textId="09441E8B" w:rsidR="004E5EBC" w:rsidRPr="009E46B7" w:rsidRDefault="004E5EBC" w:rsidP="00F91521">
      <w:pPr>
        <w:pStyle w:val="ListParagraph"/>
        <w:numPr>
          <w:ilvl w:val="0"/>
          <w:numId w:val="4"/>
        </w:numPr>
        <w:spacing w:line="360" w:lineRule="auto"/>
        <w:jc w:val="both"/>
        <w:rPr>
          <w:rFonts w:ascii="Calibri" w:hAnsi="Calibri" w:cs="Times New Roman"/>
        </w:rPr>
      </w:pPr>
      <w:r>
        <w:rPr>
          <w:rFonts w:ascii="Calibri" w:hAnsi="Calibri" w:cs="Times New Roman"/>
        </w:rPr>
        <w:lastRenderedPageBreak/>
        <w:t xml:space="preserve">The </w:t>
      </w:r>
      <w:r w:rsidRPr="009E46B7">
        <w:rPr>
          <w:rFonts w:ascii="Calibri" w:hAnsi="Calibri" w:cs="Times New Roman"/>
        </w:rPr>
        <w:t xml:space="preserve">Inter American Convention on the Prevention, Punishment and Eradication of Violence against </w:t>
      </w:r>
      <w:r w:rsidRPr="0058203B">
        <w:rPr>
          <w:rFonts w:ascii="Calibri" w:hAnsi="Calibri" w:cs="Times New Roman"/>
        </w:rPr>
        <w:t xml:space="preserve">Women </w:t>
      </w:r>
      <w:r w:rsidR="007138F0">
        <w:rPr>
          <w:rFonts w:ascii="Calibri" w:hAnsi="Calibri" w:cs="Times New Roman"/>
        </w:rPr>
        <w:t xml:space="preserve">1994 </w:t>
      </w:r>
      <w:r w:rsidRPr="0058203B">
        <w:rPr>
          <w:rFonts w:ascii="Calibri" w:hAnsi="Calibri" w:cs="Times New Roman"/>
        </w:rPr>
        <w:t>(Co</w:t>
      </w:r>
      <w:r w:rsidR="007138F0">
        <w:rPr>
          <w:rFonts w:ascii="Calibri" w:hAnsi="Calibri" w:cs="Times New Roman"/>
        </w:rPr>
        <w:t>nvention of Belém do Pará</w:t>
      </w:r>
      <w:r w:rsidRPr="0058203B">
        <w:rPr>
          <w:rFonts w:ascii="Calibri" w:hAnsi="Calibri" w:cs="Times New Roman"/>
        </w:rPr>
        <w:t>)</w:t>
      </w:r>
      <w:r>
        <w:rPr>
          <w:rFonts w:ascii="Calibri" w:hAnsi="Calibri" w:cs="Times New Roman"/>
        </w:rPr>
        <w:t>. The Convention and the jurisprudence of the Inter-American Court of Human Rights are discussed in Section 3 relation to transformative remedies.</w:t>
      </w:r>
    </w:p>
    <w:p w14:paraId="2FA59D75" w14:textId="7DDD26C8" w:rsidR="004E5EBC" w:rsidRDefault="004E5EBC" w:rsidP="00F91521">
      <w:pPr>
        <w:pStyle w:val="ListParagraph"/>
        <w:numPr>
          <w:ilvl w:val="0"/>
          <w:numId w:val="4"/>
        </w:numPr>
        <w:spacing w:line="360" w:lineRule="auto"/>
        <w:jc w:val="both"/>
        <w:rPr>
          <w:rFonts w:ascii="Calibri" w:hAnsi="Calibri" w:cs="Times New Roman"/>
        </w:rPr>
      </w:pPr>
      <w:r>
        <w:rPr>
          <w:rFonts w:ascii="Calibri" w:hAnsi="Calibri" w:cs="Times New Roman"/>
        </w:rPr>
        <w:t xml:space="preserve">The </w:t>
      </w:r>
      <w:r w:rsidRPr="009E46B7">
        <w:rPr>
          <w:rFonts w:ascii="Calibri" w:hAnsi="Calibri" w:cs="Times New Roman"/>
        </w:rPr>
        <w:t xml:space="preserve">African Charter on </w:t>
      </w:r>
      <w:r>
        <w:rPr>
          <w:rFonts w:ascii="Calibri" w:hAnsi="Calibri" w:cs="Times New Roman"/>
        </w:rPr>
        <w:t>Human and People’s Rights</w:t>
      </w:r>
      <w:r w:rsidR="00D06099">
        <w:rPr>
          <w:rFonts w:ascii="Calibri" w:hAnsi="Calibri" w:cs="Times New Roman"/>
        </w:rPr>
        <w:t xml:space="preserve"> </w:t>
      </w:r>
      <w:r w:rsidR="00572C4B">
        <w:rPr>
          <w:rFonts w:ascii="Calibri" w:hAnsi="Calibri" w:cs="Times New Roman"/>
        </w:rPr>
        <w:t>1981;</w:t>
      </w:r>
      <w:r>
        <w:rPr>
          <w:rFonts w:ascii="Calibri" w:hAnsi="Calibri" w:cs="Times New Roman"/>
        </w:rPr>
        <w:t xml:space="preserve"> and its accompanying Protocol o</w:t>
      </w:r>
      <w:r w:rsidR="00D06099">
        <w:rPr>
          <w:rFonts w:ascii="Calibri" w:hAnsi="Calibri" w:cs="Times New Roman"/>
        </w:rPr>
        <w:t>n the Rights of Women in Africa</w:t>
      </w:r>
      <w:r w:rsidR="00572C4B">
        <w:rPr>
          <w:rFonts w:ascii="Calibri" w:hAnsi="Calibri" w:cs="Times New Roman"/>
        </w:rPr>
        <w:t xml:space="preserve"> </w:t>
      </w:r>
      <w:r w:rsidR="00C10637">
        <w:rPr>
          <w:rFonts w:ascii="Calibri" w:hAnsi="Calibri" w:cs="Times New Roman"/>
        </w:rPr>
        <w:t xml:space="preserve">2003. </w:t>
      </w:r>
    </w:p>
    <w:p w14:paraId="7B8EF0E8" w14:textId="20D60795" w:rsidR="00572C4B" w:rsidRDefault="00572C4B" w:rsidP="00F91521">
      <w:pPr>
        <w:pStyle w:val="ListParagraph"/>
        <w:numPr>
          <w:ilvl w:val="0"/>
          <w:numId w:val="4"/>
        </w:numPr>
        <w:spacing w:line="360" w:lineRule="auto"/>
        <w:jc w:val="both"/>
        <w:rPr>
          <w:rFonts w:ascii="Calibri" w:hAnsi="Calibri" w:cs="Times New Roman"/>
        </w:rPr>
      </w:pPr>
      <w:r>
        <w:rPr>
          <w:rFonts w:ascii="Calibri" w:hAnsi="Calibri" w:cs="Times New Roman"/>
        </w:rPr>
        <w:t xml:space="preserve">The African Charter on the Rights and Welfare </w:t>
      </w:r>
      <w:r w:rsidR="00D06099">
        <w:rPr>
          <w:rFonts w:ascii="Calibri" w:hAnsi="Calibri" w:cs="Times New Roman"/>
        </w:rPr>
        <w:t>of the Child</w:t>
      </w:r>
      <w:r w:rsidR="009D1B43">
        <w:rPr>
          <w:rFonts w:ascii="Calibri" w:hAnsi="Calibri" w:cs="Times New Roman"/>
        </w:rPr>
        <w:t xml:space="preserve"> </w:t>
      </w:r>
      <w:r>
        <w:rPr>
          <w:rFonts w:ascii="Calibri" w:hAnsi="Calibri" w:cs="Times New Roman"/>
        </w:rPr>
        <w:t xml:space="preserve">1990. </w:t>
      </w:r>
    </w:p>
    <w:p w14:paraId="7F965F5A" w14:textId="77777777" w:rsidR="004E5EBC" w:rsidRPr="003A74E7" w:rsidRDefault="004E5EBC" w:rsidP="004E5EBC">
      <w:pPr>
        <w:rPr>
          <w:rFonts w:ascii="Calibri" w:hAnsi="Calibri" w:cs="Times New Roman"/>
        </w:rPr>
      </w:pPr>
      <w:r>
        <w:rPr>
          <w:rFonts w:ascii="Calibri" w:hAnsi="Calibri" w:cs="Times New Roman"/>
        </w:rPr>
        <w:br w:type="page"/>
      </w:r>
    </w:p>
    <w:p w14:paraId="000E088B" w14:textId="3A1A8563" w:rsidR="003742A9" w:rsidRPr="000E78A5" w:rsidRDefault="003742A9" w:rsidP="003742A9">
      <w:pPr>
        <w:pStyle w:val="Heading3"/>
        <w:keepLines/>
        <w:spacing w:before="20" w:after="0"/>
        <w:jc w:val="center"/>
        <w:rPr>
          <w:b w:val="0"/>
          <w:color w:val="1F497D" w:themeColor="text2"/>
          <w:spacing w:val="14"/>
          <w:sz w:val="32"/>
          <w:szCs w:val="32"/>
          <w:lang w:val="en-GB"/>
        </w:rPr>
      </w:pPr>
      <w:bookmarkStart w:id="4" w:name="_Toc416867082"/>
      <w:r>
        <w:rPr>
          <w:b w:val="0"/>
          <w:color w:val="1F497D" w:themeColor="text2"/>
          <w:spacing w:val="14"/>
          <w:sz w:val="32"/>
          <w:szCs w:val="32"/>
          <w:lang w:val="en-GB"/>
        </w:rPr>
        <w:lastRenderedPageBreak/>
        <w:t>SCR 1325: REFLECTING INTERNATIONAL LAW, ESPECIALLY CEDAW, OBLIGATIONS</w:t>
      </w:r>
      <w:bookmarkEnd w:id="4"/>
    </w:p>
    <w:p w14:paraId="2FB06379" w14:textId="77777777" w:rsidR="00B2494C" w:rsidRPr="00473EE5" w:rsidRDefault="00B2494C" w:rsidP="00B2494C">
      <w:pPr>
        <w:rPr>
          <w:rFonts w:asciiTheme="majorHAnsi" w:hAnsiTheme="majorHAnsi"/>
          <w:lang w:val="en-US"/>
        </w:rPr>
      </w:pPr>
    </w:p>
    <w:p w14:paraId="6439851B" w14:textId="43ECBD7A" w:rsidR="00445830" w:rsidRPr="00473EE5" w:rsidRDefault="004E5EBC" w:rsidP="00B55114">
      <w:pPr>
        <w:spacing w:line="360" w:lineRule="auto"/>
        <w:jc w:val="both"/>
        <w:rPr>
          <w:rFonts w:asciiTheme="majorHAnsi" w:hAnsiTheme="majorHAnsi"/>
        </w:rPr>
      </w:pPr>
      <w:r w:rsidRPr="00473EE5">
        <w:rPr>
          <w:rFonts w:asciiTheme="majorHAnsi" w:hAnsiTheme="majorHAnsi" w:cs="Times New Roman"/>
        </w:rPr>
        <w:t>The f</w:t>
      </w:r>
      <w:r w:rsidRPr="00473EE5">
        <w:rPr>
          <w:rFonts w:asciiTheme="majorHAnsi" w:hAnsiTheme="majorHAnsi"/>
        </w:rPr>
        <w:t xml:space="preserve">our pillars </w:t>
      </w:r>
      <w:r w:rsidR="00DF6CBA" w:rsidRPr="00473EE5">
        <w:rPr>
          <w:rFonts w:asciiTheme="majorHAnsi" w:hAnsiTheme="majorHAnsi"/>
        </w:rPr>
        <w:t>of</w:t>
      </w:r>
      <w:r w:rsidRPr="00473EE5">
        <w:rPr>
          <w:rFonts w:asciiTheme="majorHAnsi" w:hAnsiTheme="majorHAnsi"/>
        </w:rPr>
        <w:t xml:space="preserve"> SCR 1325 </w:t>
      </w:r>
      <w:r w:rsidR="00F56490" w:rsidRPr="00473EE5">
        <w:rPr>
          <w:rFonts w:asciiTheme="majorHAnsi" w:hAnsiTheme="majorHAnsi"/>
        </w:rPr>
        <w:t>(</w:t>
      </w:r>
      <w:r w:rsidRPr="00473EE5">
        <w:rPr>
          <w:rFonts w:asciiTheme="majorHAnsi" w:hAnsiTheme="majorHAnsi"/>
        </w:rPr>
        <w:t>participation, protection, prevention, and relief and recovery</w:t>
      </w:r>
      <w:r w:rsidR="00F56490" w:rsidRPr="00473EE5">
        <w:rPr>
          <w:rFonts w:asciiTheme="majorHAnsi" w:hAnsiTheme="majorHAnsi"/>
        </w:rPr>
        <w:t>)</w:t>
      </w:r>
      <w:r w:rsidR="00CC11CF" w:rsidRPr="00473EE5">
        <w:rPr>
          <w:rFonts w:asciiTheme="majorHAnsi" w:hAnsiTheme="majorHAnsi"/>
        </w:rPr>
        <w:t xml:space="preserve"> reflect states’ </w:t>
      </w:r>
      <w:r w:rsidR="00294A21" w:rsidRPr="00473EE5">
        <w:rPr>
          <w:rFonts w:asciiTheme="majorHAnsi" w:hAnsiTheme="majorHAnsi"/>
        </w:rPr>
        <w:t xml:space="preserve">existing </w:t>
      </w:r>
      <w:r w:rsidR="00CC11CF" w:rsidRPr="00473EE5">
        <w:rPr>
          <w:rFonts w:asciiTheme="majorHAnsi" w:hAnsiTheme="majorHAnsi"/>
        </w:rPr>
        <w:t xml:space="preserve">obligations, </w:t>
      </w:r>
      <w:r w:rsidR="001D05E5" w:rsidRPr="00473EE5">
        <w:rPr>
          <w:rFonts w:asciiTheme="majorHAnsi" w:hAnsiTheme="majorHAnsi"/>
        </w:rPr>
        <w:t xml:space="preserve">especially </w:t>
      </w:r>
      <w:r w:rsidR="00CC11CF" w:rsidRPr="00473EE5">
        <w:rPr>
          <w:rFonts w:asciiTheme="majorHAnsi" w:hAnsiTheme="majorHAnsi"/>
        </w:rPr>
        <w:t xml:space="preserve">to fully implement </w:t>
      </w:r>
      <w:r w:rsidR="00EF7AF4" w:rsidRPr="00473EE5">
        <w:rPr>
          <w:rFonts w:asciiTheme="majorHAnsi" w:hAnsiTheme="majorHAnsi"/>
        </w:rPr>
        <w:t xml:space="preserve">international humanitarian law </w:t>
      </w:r>
      <w:r w:rsidR="00CC11CF" w:rsidRPr="00473EE5">
        <w:rPr>
          <w:rFonts w:asciiTheme="majorHAnsi" w:hAnsiTheme="majorHAnsi"/>
        </w:rPr>
        <w:t xml:space="preserve">and </w:t>
      </w:r>
      <w:r w:rsidR="00EF7AF4" w:rsidRPr="00473EE5">
        <w:rPr>
          <w:rFonts w:asciiTheme="majorHAnsi" w:hAnsiTheme="majorHAnsi"/>
        </w:rPr>
        <w:t xml:space="preserve">international </w:t>
      </w:r>
      <w:r w:rsidR="00CC11CF" w:rsidRPr="00473EE5">
        <w:rPr>
          <w:rFonts w:asciiTheme="majorHAnsi" w:hAnsiTheme="majorHAnsi"/>
        </w:rPr>
        <w:t xml:space="preserve">human rights law </w:t>
      </w:r>
      <w:r w:rsidR="008148BE" w:rsidRPr="00473EE5">
        <w:rPr>
          <w:rFonts w:asciiTheme="majorHAnsi" w:hAnsiTheme="majorHAnsi"/>
        </w:rPr>
        <w:t>to protect</w:t>
      </w:r>
      <w:r w:rsidR="00CC11CF" w:rsidRPr="00473EE5">
        <w:rPr>
          <w:rFonts w:asciiTheme="majorHAnsi" w:hAnsiTheme="majorHAnsi"/>
        </w:rPr>
        <w:t xml:space="preserve"> women and girls during and after conflicts</w:t>
      </w:r>
      <w:r w:rsidRPr="00473EE5">
        <w:rPr>
          <w:rFonts w:asciiTheme="majorHAnsi" w:hAnsiTheme="majorHAnsi"/>
        </w:rPr>
        <w:t>.</w:t>
      </w:r>
      <w:r w:rsidR="00CC11CF" w:rsidRPr="00473EE5">
        <w:rPr>
          <w:rStyle w:val="FootnoteReference"/>
          <w:rFonts w:asciiTheme="majorHAnsi" w:hAnsiTheme="majorHAnsi"/>
        </w:rPr>
        <w:footnoteReference w:id="26"/>
      </w:r>
      <w:r w:rsidRPr="00473EE5">
        <w:rPr>
          <w:rFonts w:asciiTheme="majorHAnsi" w:hAnsiTheme="majorHAnsi"/>
        </w:rPr>
        <w:t xml:space="preserve"> </w:t>
      </w:r>
      <w:r w:rsidR="009227D0" w:rsidRPr="00473EE5">
        <w:rPr>
          <w:rFonts w:asciiTheme="majorHAnsi" w:hAnsiTheme="majorHAnsi"/>
        </w:rPr>
        <w:t>The</w:t>
      </w:r>
      <w:r w:rsidR="001B752A" w:rsidRPr="00473EE5">
        <w:rPr>
          <w:rFonts w:asciiTheme="majorHAnsi" w:hAnsiTheme="majorHAnsi"/>
        </w:rPr>
        <w:t xml:space="preserve"> text of SCR 1325</w:t>
      </w:r>
      <w:r w:rsidR="009227D0" w:rsidRPr="00473EE5">
        <w:rPr>
          <w:rFonts w:asciiTheme="majorHAnsi" w:hAnsiTheme="majorHAnsi"/>
        </w:rPr>
        <w:t xml:space="preserve">, by reflecting </w:t>
      </w:r>
      <w:r w:rsidR="00A94714" w:rsidRPr="00473EE5">
        <w:rPr>
          <w:rFonts w:asciiTheme="majorHAnsi" w:hAnsiTheme="majorHAnsi"/>
        </w:rPr>
        <w:t xml:space="preserve">other sources of </w:t>
      </w:r>
      <w:r w:rsidR="001B752A" w:rsidRPr="00473EE5">
        <w:rPr>
          <w:rFonts w:asciiTheme="majorHAnsi" w:hAnsiTheme="majorHAnsi"/>
        </w:rPr>
        <w:t xml:space="preserve">international law, </w:t>
      </w:r>
      <w:r w:rsidR="00EF7AF4" w:rsidRPr="00473EE5">
        <w:rPr>
          <w:rFonts w:asciiTheme="majorHAnsi" w:hAnsiTheme="majorHAnsi"/>
        </w:rPr>
        <w:t xml:space="preserve">reinforces the commitments of UN Member States to take action on upholding the rights in the </w:t>
      </w:r>
      <w:r w:rsidR="006C6C79" w:rsidRPr="00473EE5">
        <w:rPr>
          <w:rFonts w:asciiTheme="majorHAnsi" w:hAnsiTheme="majorHAnsi"/>
        </w:rPr>
        <w:t>legal framework</w:t>
      </w:r>
      <w:r w:rsidR="00216755" w:rsidRPr="00473EE5">
        <w:rPr>
          <w:rFonts w:asciiTheme="majorHAnsi" w:hAnsiTheme="majorHAnsi"/>
        </w:rPr>
        <w:t xml:space="preserve"> on women, peace and security</w:t>
      </w:r>
      <w:r w:rsidR="00E337FD" w:rsidRPr="00473EE5">
        <w:rPr>
          <w:rFonts w:asciiTheme="majorHAnsi" w:hAnsiTheme="majorHAnsi"/>
        </w:rPr>
        <w:t>.</w:t>
      </w:r>
      <w:r w:rsidR="001B752A" w:rsidRPr="00473EE5">
        <w:rPr>
          <w:rFonts w:asciiTheme="majorHAnsi" w:hAnsiTheme="majorHAnsi"/>
        </w:rPr>
        <w:t xml:space="preserve"> </w:t>
      </w:r>
      <w:r w:rsidR="006C6C79" w:rsidRPr="00473EE5">
        <w:rPr>
          <w:rFonts w:asciiTheme="majorHAnsi" w:hAnsiTheme="majorHAnsi"/>
        </w:rPr>
        <w:t xml:space="preserve">The Resolution </w:t>
      </w:r>
      <w:r w:rsidR="00E337FD" w:rsidRPr="00473EE5">
        <w:rPr>
          <w:rFonts w:asciiTheme="majorHAnsi" w:hAnsiTheme="majorHAnsi"/>
        </w:rPr>
        <w:t>directly references</w:t>
      </w:r>
      <w:r w:rsidR="00CC11CF" w:rsidRPr="00473EE5">
        <w:rPr>
          <w:rFonts w:asciiTheme="majorHAnsi" w:hAnsiTheme="majorHAnsi"/>
        </w:rPr>
        <w:t xml:space="preserve"> treaties, calling all parties to </w:t>
      </w:r>
      <w:r w:rsidR="00F56490" w:rsidRPr="00473EE5">
        <w:rPr>
          <w:rFonts w:asciiTheme="majorHAnsi" w:hAnsiTheme="majorHAnsi"/>
        </w:rPr>
        <w:t xml:space="preserve">armed </w:t>
      </w:r>
      <w:r w:rsidR="00CC11CF" w:rsidRPr="00473EE5">
        <w:rPr>
          <w:rFonts w:asciiTheme="majorHAnsi" w:hAnsiTheme="majorHAnsi"/>
        </w:rPr>
        <w:t>conflict to fully respect their obligations under the: Geneva Conventions</w:t>
      </w:r>
      <w:r w:rsidR="008C46F9" w:rsidRPr="00473EE5">
        <w:rPr>
          <w:rFonts w:asciiTheme="majorHAnsi" w:hAnsiTheme="majorHAnsi"/>
        </w:rPr>
        <w:t xml:space="preserve"> 1949</w:t>
      </w:r>
      <w:r w:rsidR="006C6C79" w:rsidRPr="00473EE5">
        <w:rPr>
          <w:rFonts w:asciiTheme="majorHAnsi" w:hAnsiTheme="majorHAnsi"/>
        </w:rPr>
        <w:t xml:space="preserve"> </w:t>
      </w:r>
      <w:r w:rsidR="00CC11CF" w:rsidRPr="00473EE5">
        <w:rPr>
          <w:rFonts w:asciiTheme="majorHAnsi" w:hAnsiTheme="majorHAnsi"/>
        </w:rPr>
        <w:t>and 1977 Additional Protocols;</w:t>
      </w:r>
      <w:r w:rsidR="008C46F9" w:rsidRPr="00473EE5">
        <w:rPr>
          <w:rFonts w:asciiTheme="majorHAnsi" w:hAnsiTheme="majorHAnsi"/>
        </w:rPr>
        <w:t xml:space="preserve"> the</w:t>
      </w:r>
      <w:r w:rsidR="00CC11CF" w:rsidRPr="00473EE5">
        <w:rPr>
          <w:rFonts w:asciiTheme="majorHAnsi" w:hAnsiTheme="majorHAnsi"/>
        </w:rPr>
        <w:t xml:space="preserve"> Refugee Convention</w:t>
      </w:r>
      <w:r w:rsidR="006C6C79" w:rsidRPr="00473EE5">
        <w:rPr>
          <w:rFonts w:asciiTheme="majorHAnsi" w:hAnsiTheme="majorHAnsi"/>
        </w:rPr>
        <w:t xml:space="preserve"> 1951</w:t>
      </w:r>
      <w:r w:rsidR="00CC11CF" w:rsidRPr="00473EE5">
        <w:rPr>
          <w:rFonts w:asciiTheme="majorHAnsi" w:hAnsiTheme="majorHAnsi"/>
        </w:rPr>
        <w:t xml:space="preserve"> and </w:t>
      </w:r>
      <w:r w:rsidR="006C6C79" w:rsidRPr="00473EE5">
        <w:rPr>
          <w:rFonts w:asciiTheme="majorHAnsi" w:hAnsiTheme="majorHAnsi"/>
        </w:rPr>
        <w:t>1967 Protocol</w:t>
      </w:r>
      <w:r w:rsidR="00CC11CF" w:rsidRPr="00473EE5">
        <w:rPr>
          <w:rFonts w:asciiTheme="majorHAnsi" w:hAnsiTheme="majorHAnsi"/>
        </w:rPr>
        <w:t>; and other UN Treaties including CEDAW and its Optional Protocol</w:t>
      </w:r>
      <w:r w:rsidR="008C46F9" w:rsidRPr="00473EE5">
        <w:rPr>
          <w:rFonts w:asciiTheme="majorHAnsi" w:hAnsiTheme="majorHAnsi"/>
        </w:rPr>
        <w:t xml:space="preserve"> 1999</w:t>
      </w:r>
      <w:r w:rsidR="00CC11CF" w:rsidRPr="00473EE5">
        <w:rPr>
          <w:rFonts w:asciiTheme="majorHAnsi" w:hAnsiTheme="majorHAnsi"/>
        </w:rPr>
        <w:t xml:space="preserve">; the </w:t>
      </w:r>
      <w:r w:rsidR="006C6C79" w:rsidRPr="00473EE5">
        <w:rPr>
          <w:rFonts w:asciiTheme="majorHAnsi" w:hAnsiTheme="majorHAnsi"/>
        </w:rPr>
        <w:t>CRC</w:t>
      </w:r>
      <w:r w:rsidR="00CC11CF" w:rsidRPr="00473EE5">
        <w:rPr>
          <w:rFonts w:asciiTheme="majorHAnsi" w:hAnsiTheme="majorHAnsi"/>
        </w:rPr>
        <w:t xml:space="preserve"> and </w:t>
      </w:r>
      <w:r w:rsidR="006C6C79" w:rsidRPr="00473EE5">
        <w:rPr>
          <w:rFonts w:asciiTheme="majorHAnsi" w:hAnsiTheme="majorHAnsi"/>
        </w:rPr>
        <w:t>its</w:t>
      </w:r>
      <w:r w:rsidR="008C46F9" w:rsidRPr="00473EE5">
        <w:rPr>
          <w:rFonts w:asciiTheme="majorHAnsi" w:hAnsiTheme="majorHAnsi"/>
        </w:rPr>
        <w:t xml:space="preserve"> two</w:t>
      </w:r>
      <w:r w:rsidR="00CC11CF" w:rsidRPr="00473EE5">
        <w:rPr>
          <w:rFonts w:asciiTheme="majorHAnsi" w:hAnsiTheme="majorHAnsi"/>
        </w:rPr>
        <w:t xml:space="preserve"> Optional Protocols</w:t>
      </w:r>
      <w:r w:rsidR="008C46F9" w:rsidRPr="00473EE5">
        <w:rPr>
          <w:rFonts w:asciiTheme="majorHAnsi" w:hAnsiTheme="majorHAnsi"/>
        </w:rPr>
        <w:t xml:space="preserve"> 2000</w:t>
      </w:r>
      <w:r w:rsidR="00CC11CF" w:rsidRPr="00473EE5">
        <w:rPr>
          <w:rFonts w:asciiTheme="majorHAnsi" w:hAnsiTheme="majorHAnsi"/>
        </w:rPr>
        <w:t>; and the Rome Statute</w:t>
      </w:r>
      <w:r w:rsidR="001D05E5" w:rsidRPr="00473EE5">
        <w:rPr>
          <w:rFonts w:asciiTheme="majorHAnsi" w:hAnsiTheme="majorHAnsi"/>
        </w:rPr>
        <w:t xml:space="preserve"> 1998</w:t>
      </w:r>
      <w:r w:rsidR="00CC11CF" w:rsidRPr="00473EE5">
        <w:rPr>
          <w:rFonts w:asciiTheme="majorHAnsi" w:hAnsiTheme="majorHAnsi"/>
        </w:rPr>
        <w:t>.</w:t>
      </w:r>
      <w:r w:rsidR="00CC11CF" w:rsidRPr="00473EE5">
        <w:rPr>
          <w:rStyle w:val="FootnoteReference"/>
          <w:rFonts w:asciiTheme="majorHAnsi" w:hAnsiTheme="majorHAnsi"/>
        </w:rPr>
        <w:footnoteReference w:id="27"/>
      </w:r>
      <w:r w:rsidR="00CC11CF" w:rsidRPr="00473EE5">
        <w:rPr>
          <w:rFonts w:asciiTheme="majorHAnsi" w:hAnsiTheme="majorHAnsi"/>
        </w:rPr>
        <w:t xml:space="preserve">  </w:t>
      </w:r>
      <w:r w:rsidR="006C6C79" w:rsidRPr="00473EE5">
        <w:rPr>
          <w:rFonts w:asciiTheme="majorHAnsi" w:hAnsiTheme="majorHAnsi"/>
        </w:rPr>
        <w:t>The Resolution</w:t>
      </w:r>
      <w:r w:rsidR="00E337FD" w:rsidRPr="00473EE5">
        <w:rPr>
          <w:rFonts w:asciiTheme="majorHAnsi" w:hAnsiTheme="majorHAnsi"/>
        </w:rPr>
        <w:t xml:space="preserve"> also </w:t>
      </w:r>
      <w:r w:rsidR="006C6C79" w:rsidRPr="00473EE5">
        <w:rPr>
          <w:rFonts w:asciiTheme="majorHAnsi" w:hAnsiTheme="majorHAnsi"/>
        </w:rPr>
        <w:t>reflects</w:t>
      </w:r>
      <w:r w:rsidR="008148BE" w:rsidRPr="00473EE5">
        <w:rPr>
          <w:rFonts w:asciiTheme="majorHAnsi" w:hAnsiTheme="majorHAnsi"/>
        </w:rPr>
        <w:t xml:space="preserve"> </w:t>
      </w:r>
      <w:r w:rsidR="009227D0" w:rsidRPr="00473EE5">
        <w:rPr>
          <w:rFonts w:asciiTheme="majorHAnsi" w:hAnsiTheme="majorHAnsi"/>
        </w:rPr>
        <w:t>international</w:t>
      </w:r>
      <w:r w:rsidR="006C6C79" w:rsidRPr="00473EE5">
        <w:rPr>
          <w:rFonts w:asciiTheme="majorHAnsi" w:hAnsiTheme="majorHAnsi"/>
        </w:rPr>
        <w:t xml:space="preserve"> treaty and customary</w:t>
      </w:r>
      <w:r w:rsidR="009227D0" w:rsidRPr="00473EE5">
        <w:rPr>
          <w:rFonts w:asciiTheme="majorHAnsi" w:hAnsiTheme="majorHAnsi"/>
        </w:rPr>
        <w:t xml:space="preserve"> law </w:t>
      </w:r>
      <w:r w:rsidR="002E0E22" w:rsidRPr="00473EE5">
        <w:rPr>
          <w:rFonts w:asciiTheme="majorHAnsi" w:hAnsiTheme="majorHAnsi"/>
        </w:rPr>
        <w:t>protections</w:t>
      </w:r>
      <w:r w:rsidR="00F56490" w:rsidRPr="00473EE5">
        <w:rPr>
          <w:rFonts w:asciiTheme="majorHAnsi" w:hAnsiTheme="majorHAnsi"/>
        </w:rPr>
        <w:t xml:space="preserve"> under each pillar</w:t>
      </w:r>
      <w:r w:rsidR="008148BE" w:rsidRPr="00473EE5">
        <w:rPr>
          <w:rFonts w:asciiTheme="majorHAnsi" w:hAnsiTheme="majorHAnsi"/>
        </w:rPr>
        <w:t xml:space="preserve">. </w:t>
      </w:r>
    </w:p>
    <w:p w14:paraId="5B0AD1A4" w14:textId="77777777" w:rsidR="00445830" w:rsidRPr="00473EE5" w:rsidRDefault="00445830" w:rsidP="004E5EBC">
      <w:pPr>
        <w:jc w:val="both"/>
        <w:rPr>
          <w:rFonts w:asciiTheme="majorHAnsi" w:hAnsiTheme="majorHAnsi"/>
        </w:rPr>
      </w:pPr>
    </w:p>
    <w:p w14:paraId="52C26FB8" w14:textId="1EDC7B65" w:rsidR="00EF479B" w:rsidRPr="00473EE5" w:rsidRDefault="002E0E22" w:rsidP="00B55114">
      <w:pPr>
        <w:spacing w:line="360" w:lineRule="auto"/>
        <w:jc w:val="both"/>
        <w:rPr>
          <w:rFonts w:asciiTheme="majorHAnsi" w:hAnsiTheme="majorHAnsi" w:cs="Times New Roman"/>
        </w:rPr>
      </w:pPr>
      <w:r w:rsidRPr="00473EE5">
        <w:rPr>
          <w:rFonts w:asciiTheme="majorHAnsi" w:hAnsiTheme="majorHAnsi"/>
        </w:rPr>
        <w:t xml:space="preserve">As shown below, </w:t>
      </w:r>
      <w:r w:rsidR="008C46F9" w:rsidRPr="007C4520">
        <w:rPr>
          <w:rFonts w:asciiTheme="majorHAnsi" w:hAnsiTheme="majorHAnsi"/>
          <w:b/>
          <w:color w:val="548DD4" w:themeColor="text2" w:themeTint="99"/>
        </w:rPr>
        <w:t>many of the binding treaty</w:t>
      </w:r>
      <w:r w:rsidRPr="007C4520">
        <w:rPr>
          <w:rFonts w:asciiTheme="majorHAnsi" w:hAnsiTheme="majorHAnsi"/>
          <w:b/>
          <w:color w:val="548DD4" w:themeColor="text2" w:themeTint="99"/>
        </w:rPr>
        <w:t xml:space="preserve"> obligations reflected in SCR 1325 </w:t>
      </w:r>
      <w:r w:rsidR="00893B51" w:rsidRPr="007C4520">
        <w:rPr>
          <w:rFonts w:asciiTheme="majorHAnsi" w:hAnsiTheme="majorHAnsi"/>
          <w:b/>
          <w:color w:val="548DD4" w:themeColor="text2" w:themeTint="99"/>
        </w:rPr>
        <w:t>are from CEDAW</w:t>
      </w:r>
      <w:r w:rsidR="00893B51" w:rsidRPr="007C4520">
        <w:rPr>
          <w:rFonts w:asciiTheme="majorHAnsi" w:hAnsiTheme="majorHAnsi"/>
        </w:rPr>
        <w:t>.</w:t>
      </w:r>
      <w:r w:rsidR="00893B51" w:rsidRPr="007C4520">
        <w:rPr>
          <w:rFonts w:asciiTheme="majorHAnsi" w:hAnsiTheme="majorHAnsi"/>
          <w:b/>
        </w:rPr>
        <w:t xml:space="preserve"> </w:t>
      </w:r>
      <w:r w:rsidR="00893B51" w:rsidRPr="00473EE5">
        <w:rPr>
          <w:rFonts w:asciiTheme="majorHAnsi" w:hAnsiTheme="majorHAnsi"/>
        </w:rPr>
        <w:t xml:space="preserve">These </w:t>
      </w:r>
      <w:r w:rsidR="00EF7AF4" w:rsidRPr="00473EE5">
        <w:rPr>
          <w:rFonts w:asciiTheme="majorHAnsi" w:hAnsiTheme="majorHAnsi"/>
        </w:rPr>
        <w:t>are later picked up</w:t>
      </w:r>
      <w:r w:rsidR="00893B51" w:rsidRPr="00473EE5">
        <w:rPr>
          <w:rFonts w:asciiTheme="majorHAnsi" w:hAnsiTheme="majorHAnsi"/>
        </w:rPr>
        <w:t xml:space="preserve"> and elaborated</w:t>
      </w:r>
      <w:r w:rsidR="00EF7AF4" w:rsidRPr="00473EE5">
        <w:rPr>
          <w:rFonts w:asciiTheme="majorHAnsi" w:hAnsiTheme="majorHAnsi"/>
        </w:rPr>
        <w:t xml:space="preserve"> in the CEDAW GR No. 30, adopted</w:t>
      </w:r>
      <w:r w:rsidR="008C46F9" w:rsidRPr="00473EE5">
        <w:rPr>
          <w:rFonts w:asciiTheme="majorHAnsi" w:hAnsiTheme="majorHAnsi"/>
        </w:rPr>
        <w:t xml:space="preserve"> by the CEDAW Committee</w:t>
      </w:r>
      <w:r w:rsidR="00EF7AF4" w:rsidRPr="00473EE5">
        <w:rPr>
          <w:rFonts w:asciiTheme="majorHAnsi" w:hAnsiTheme="majorHAnsi"/>
        </w:rPr>
        <w:t xml:space="preserve"> thirteen years after SCR 1325 on 18 October 2013. </w:t>
      </w:r>
      <w:r w:rsidR="0069473D" w:rsidRPr="00473EE5">
        <w:rPr>
          <w:rFonts w:asciiTheme="majorHAnsi" w:hAnsiTheme="majorHAnsi"/>
        </w:rPr>
        <w:t>The</w:t>
      </w:r>
      <w:r w:rsidR="00445830" w:rsidRPr="00473EE5">
        <w:rPr>
          <w:rFonts w:asciiTheme="majorHAnsi" w:hAnsiTheme="majorHAnsi"/>
        </w:rPr>
        <w:t xml:space="preserve"> </w:t>
      </w:r>
      <w:r w:rsidR="0059378F" w:rsidRPr="00473EE5">
        <w:rPr>
          <w:rFonts w:asciiTheme="majorHAnsi" w:hAnsiTheme="majorHAnsi"/>
          <w:b/>
          <w:color w:val="4F81BD" w:themeColor="accent1"/>
        </w:rPr>
        <w:t xml:space="preserve">participation </w:t>
      </w:r>
      <w:r w:rsidR="00445830" w:rsidRPr="00473EE5">
        <w:rPr>
          <w:rFonts w:asciiTheme="majorHAnsi" w:hAnsiTheme="majorHAnsi"/>
          <w:b/>
          <w:color w:val="4F81BD" w:themeColor="accent1"/>
        </w:rPr>
        <w:t>pillar</w:t>
      </w:r>
      <w:r w:rsidR="00445830" w:rsidRPr="00473EE5">
        <w:rPr>
          <w:rFonts w:asciiTheme="majorHAnsi" w:hAnsiTheme="majorHAnsi"/>
        </w:rPr>
        <w:t xml:space="preserve"> </w:t>
      </w:r>
      <w:r w:rsidR="005E5EF8" w:rsidRPr="00473EE5">
        <w:rPr>
          <w:rFonts w:asciiTheme="majorHAnsi" w:hAnsiTheme="majorHAnsi"/>
        </w:rPr>
        <w:t xml:space="preserve">largely </w:t>
      </w:r>
      <w:r w:rsidR="00445830" w:rsidRPr="00473EE5">
        <w:rPr>
          <w:rFonts w:asciiTheme="majorHAnsi" w:hAnsiTheme="majorHAnsi" w:cs="Times New Roman"/>
        </w:rPr>
        <w:t xml:space="preserve">reflects the </w:t>
      </w:r>
      <w:r w:rsidR="00445830" w:rsidRPr="007C4520">
        <w:rPr>
          <w:rFonts w:asciiTheme="majorHAnsi" w:hAnsiTheme="majorHAnsi" w:cs="Times New Roman"/>
          <w:b/>
          <w:color w:val="548DD4" w:themeColor="text2" w:themeTint="99"/>
        </w:rPr>
        <w:t>obligation of non-</w:t>
      </w:r>
      <w:r w:rsidR="00445830" w:rsidRPr="00473EE5">
        <w:rPr>
          <w:rFonts w:asciiTheme="majorHAnsi" w:hAnsiTheme="majorHAnsi" w:cs="Times New Roman"/>
          <w:b/>
          <w:color w:val="4F81BD" w:themeColor="accent1"/>
        </w:rPr>
        <w:t>discrimination</w:t>
      </w:r>
      <w:r w:rsidR="00445830" w:rsidRPr="00473EE5">
        <w:rPr>
          <w:rFonts w:asciiTheme="majorHAnsi" w:hAnsiTheme="majorHAnsi" w:cs="Times New Roman"/>
        </w:rPr>
        <w:t xml:space="preserve"> under international law, encompassed most comprehensively by CEDAW. As Hilary Charlesworth and Christine Chinkin note, under a </w:t>
      </w:r>
      <w:r w:rsidR="0059378F" w:rsidRPr="00473EE5">
        <w:rPr>
          <w:rFonts w:asciiTheme="majorHAnsi" w:hAnsiTheme="majorHAnsi" w:cs="Times New Roman"/>
        </w:rPr>
        <w:t xml:space="preserve">formal equality </w:t>
      </w:r>
      <w:r w:rsidR="00445830" w:rsidRPr="00473EE5">
        <w:rPr>
          <w:rFonts w:asciiTheme="majorHAnsi" w:hAnsiTheme="majorHAnsi" w:cs="Times New Roman"/>
        </w:rPr>
        <w:t>model found in other human rights treaties, “the language of non-discrimination m</w:t>
      </w:r>
      <w:r w:rsidR="0069473D" w:rsidRPr="00473EE5">
        <w:rPr>
          <w:rFonts w:asciiTheme="majorHAnsi" w:hAnsiTheme="majorHAnsi" w:cs="Times New Roman"/>
        </w:rPr>
        <w:t>akes it difficult to emphasise</w:t>
      </w:r>
      <w:r w:rsidR="00445830" w:rsidRPr="00473EE5">
        <w:rPr>
          <w:rFonts w:asciiTheme="majorHAnsi" w:hAnsiTheme="majorHAnsi" w:cs="Times New Roman"/>
        </w:rPr>
        <w:t xml:space="preserve"> the particularity of women’s lives in ways that benefit women: it compresses women’s lives into cumbersome and inaccurate categories. It also precludes the possibility of special programs for women”.</w:t>
      </w:r>
      <w:r w:rsidR="00445830" w:rsidRPr="00473EE5">
        <w:rPr>
          <w:rStyle w:val="FootnoteReference"/>
          <w:rFonts w:asciiTheme="majorHAnsi" w:hAnsiTheme="majorHAnsi" w:cs="Times New Roman"/>
        </w:rPr>
        <w:footnoteReference w:id="28"/>
      </w:r>
      <w:r w:rsidR="00445830" w:rsidRPr="00473EE5">
        <w:rPr>
          <w:rFonts w:asciiTheme="majorHAnsi" w:hAnsiTheme="majorHAnsi" w:cs="Times New Roman"/>
        </w:rPr>
        <w:t xml:space="preserve"> Non-discrimination under CEDAW addresses the </w:t>
      </w:r>
      <w:r w:rsidR="0069473D" w:rsidRPr="00473EE5">
        <w:rPr>
          <w:rFonts w:asciiTheme="majorHAnsi" w:hAnsiTheme="majorHAnsi" w:cs="Times New Roman"/>
        </w:rPr>
        <w:t xml:space="preserve">Convention’s </w:t>
      </w:r>
      <w:r w:rsidR="00445830" w:rsidRPr="00473EE5">
        <w:rPr>
          <w:rFonts w:asciiTheme="majorHAnsi" w:hAnsiTheme="majorHAnsi" w:cs="Times New Roman"/>
        </w:rPr>
        <w:t>central purpose, to eliminate all forms of discrimination against women and girls, as well as</w:t>
      </w:r>
      <w:r w:rsidR="0069473D" w:rsidRPr="00473EE5">
        <w:rPr>
          <w:rFonts w:asciiTheme="majorHAnsi" w:hAnsiTheme="majorHAnsi" w:cs="Times New Roman"/>
        </w:rPr>
        <w:t xml:space="preserve"> its complementary purpose</w:t>
      </w:r>
      <w:r w:rsidR="00445830" w:rsidRPr="00473EE5">
        <w:rPr>
          <w:rFonts w:asciiTheme="majorHAnsi" w:hAnsiTheme="majorHAnsi" w:cs="Times New Roman"/>
        </w:rPr>
        <w:t xml:space="preserve"> of ensuring the enjoyment of rights on the basis of equality of women and men. Non-discrimination </w:t>
      </w:r>
      <w:r w:rsidR="00EF479B" w:rsidRPr="00473EE5">
        <w:rPr>
          <w:rFonts w:asciiTheme="majorHAnsi" w:hAnsiTheme="majorHAnsi" w:cs="Times New Roman"/>
        </w:rPr>
        <w:t>is best</w:t>
      </w:r>
      <w:r w:rsidR="0069473D" w:rsidRPr="00473EE5">
        <w:rPr>
          <w:rFonts w:asciiTheme="majorHAnsi" w:hAnsiTheme="majorHAnsi" w:cs="Times New Roman"/>
        </w:rPr>
        <w:t xml:space="preserve"> understood as</w:t>
      </w:r>
      <w:r w:rsidR="00445830" w:rsidRPr="00473EE5">
        <w:rPr>
          <w:rFonts w:asciiTheme="majorHAnsi" w:hAnsiTheme="majorHAnsi" w:cs="Times New Roman"/>
        </w:rPr>
        <w:t xml:space="preserve"> “the elimination of classifications, acts, or practices which are based explicitly on sex or which have an indirectly discriminatory effect, so that women enjoy access to the benefits and opportunities available within existing social structures”.</w:t>
      </w:r>
      <w:r w:rsidR="00445830" w:rsidRPr="00473EE5">
        <w:rPr>
          <w:rStyle w:val="FootnoteReference"/>
          <w:rFonts w:asciiTheme="majorHAnsi" w:hAnsiTheme="majorHAnsi" w:cs="Times New Roman"/>
        </w:rPr>
        <w:footnoteReference w:id="29"/>
      </w:r>
      <w:r w:rsidR="00445830" w:rsidRPr="00473EE5">
        <w:rPr>
          <w:rFonts w:asciiTheme="majorHAnsi" w:hAnsiTheme="majorHAnsi" w:cs="Times New Roman"/>
        </w:rPr>
        <w:t xml:space="preserve"> </w:t>
      </w:r>
    </w:p>
    <w:p w14:paraId="5323AF98" w14:textId="77777777" w:rsidR="00EF479B" w:rsidRPr="00473EE5" w:rsidRDefault="00EF479B" w:rsidP="00445830">
      <w:pPr>
        <w:jc w:val="both"/>
        <w:rPr>
          <w:rFonts w:asciiTheme="majorHAnsi" w:hAnsiTheme="majorHAnsi" w:cs="Times New Roman"/>
        </w:rPr>
      </w:pPr>
    </w:p>
    <w:p w14:paraId="2782F2CC" w14:textId="7EFA5120" w:rsidR="00445830" w:rsidRPr="00473EE5" w:rsidRDefault="00445830" w:rsidP="00B55114">
      <w:pPr>
        <w:spacing w:line="360" w:lineRule="auto"/>
        <w:jc w:val="both"/>
        <w:rPr>
          <w:rFonts w:asciiTheme="majorHAnsi" w:hAnsiTheme="majorHAnsi" w:cs="Times New Roman"/>
          <w:b/>
          <w:u w:val="single"/>
        </w:rPr>
      </w:pPr>
      <w:r w:rsidRPr="00473EE5">
        <w:rPr>
          <w:rFonts w:asciiTheme="majorHAnsi" w:hAnsiTheme="majorHAnsi" w:cs="Times New Roman"/>
        </w:rPr>
        <w:t xml:space="preserve">Under CEDAW, </w:t>
      </w:r>
      <w:r w:rsidR="001246ED" w:rsidRPr="00473EE5">
        <w:rPr>
          <w:rFonts w:asciiTheme="majorHAnsi" w:hAnsiTheme="majorHAnsi" w:cs="Times New Roman"/>
        </w:rPr>
        <w:t xml:space="preserve">the obligation of </w:t>
      </w:r>
      <w:r w:rsidRPr="00473EE5">
        <w:rPr>
          <w:rFonts w:asciiTheme="majorHAnsi" w:hAnsiTheme="majorHAnsi" w:cs="Times New Roman"/>
        </w:rPr>
        <w:t xml:space="preserve">non-discrimination </w:t>
      </w:r>
      <w:r w:rsidR="001246ED" w:rsidRPr="00473EE5">
        <w:rPr>
          <w:rFonts w:asciiTheme="majorHAnsi" w:hAnsiTheme="majorHAnsi" w:cs="Times New Roman"/>
        </w:rPr>
        <w:t>requires</w:t>
      </w:r>
      <w:r w:rsidR="00EF479B" w:rsidRPr="00473EE5">
        <w:rPr>
          <w:rFonts w:asciiTheme="majorHAnsi" w:hAnsiTheme="majorHAnsi" w:cs="Times New Roman"/>
        </w:rPr>
        <w:t xml:space="preserve"> both</w:t>
      </w:r>
      <w:r w:rsidRPr="00473EE5">
        <w:rPr>
          <w:rFonts w:asciiTheme="majorHAnsi" w:hAnsiTheme="majorHAnsi" w:cs="Times New Roman"/>
        </w:rPr>
        <w:t xml:space="preserve"> </w:t>
      </w:r>
      <w:r w:rsidRPr="00473EE5">
        <w:rPr>
          <w:rFonts w:asciiTheme="majorHAnsi" w:hAnsiTheme="majorHAnsi" w:cs="Times New Roman"/>
          <w:b/>
          <w:i/>
          <w:color w:val="4F81BD" w:themeColor="accent1"/>
        </w:rPr>
        <w:t>substantive</w:t>
      </w:r>
      <w:r w:rsidRPr="00473EE5">
        <w:rPr>
          <w:rFonts w:asciiTheme="majorHAnsi" w:hAnsiTheme="majorHAnsi" w:cs="Times New Roman"/>
        </w:rPr>
        <w:t xml:space="preserve"> and </w:t>
      </w:r>
      <w:r w:rsidRPr="00473EE5">
        <w:rPr>
          <w:rFonts w:asciiTheme="majorHAnsi" w:hAnsiTheme="majorHAnsi" w:cs="Times New Roman"/>
          <w:b/>
          <w:i/>
          <w:color w:val="4F81BD" w:themeColor="accent1"/>
        </w:rPr>
        <w:t>transformative equality</w:t>
      </w:r>
      <w:r w:rsidRPr="00473EE5">
        <w:rPr>
          <w:rFonts w:asciiTheme="majorHAnsi" w:hAnsiTheme="majorHAnsi" w:cs="Times New Roman"/>
        </w:rPr>
        <w:t xml:space="preserve">. States </w:t>
      </w:r>
      <w:r w:rsidR="0069473D" w:rsidRPr="00473EE5">
        <w:rPr>
          <w:rFonts w:asciiTheme="majorHAnsi" w:hAnsiTheme="majorHAnsi" w:cs="Times New Roman"/>
        </w:rPr>
        <w:t>must</w:t>
      </w:r>
      <w:r w:rsidRPr="00473EE5">
        <w:rPr>
          <w:rFonts w:asciiTheme="majorHAnsi" w:hAnsiTheme="majorHAnsi" w:cs="Times New Roman"/>
        </w:rPr>
        <w:t xml:space="preserve"> take positive steps to address </w:t>
      </w:r>
      <w:r w:rsidR="0059378F" w:rsidRPr="00473EE5">
        <w:rPr>
          <w:rFonts w:asciiTheme="majorHAnsi" w:hAnsiTheme="majorHAnsi" w:cs="Times New Roman"/>
        </w:rPr>
        <w:t xml:space="preserve">women’s </w:t>
      </w:r>
      <w:r w:rsidR="001246ED" w:rsidRPr="00473EE5">
        <w:rPr>
          <w:rFonts w:asciiTheme="majorHAnsi" w:hAnsiTheme="majorHAnsi" w:cs="Times New Roman"/>
        </w:rPr>
        <w:t xml:space="preserve">political, economic, social and cultural </w:t>
      </w:r>
      <w:r w:rsidRPr="00473EE5">
        <w:rPr>
          <w:rFonts w:asciiTheme="majorHAnsi" w:hAnsiTheme="majorHAnsi" w:cs="Times New Roman"/>
        </w:rPr>
        <w:t>exclusion, guaranteeing not just formal opportunities but the substantive enjoyment of these</w:t>
      </w:r>
      <w:r w:rsidR="0069473D" w:rsidRPr="00473EE5">
        <w:rPr>
          <w:rFonts w:asciiTheme="majorHAnsi" w:hAnsiTheme="majorHAnsi" w:cs="Times New Roman"/>
        </w:rPr>
        <w:t xml:space="preserve"> </w:t>
      </w:r>
      <w:r w:rsidR="0069473D" w:rsidRPr="00473EE5">
        <w:rPr>
          <w:rFonts w:asciiTheme="majorHAnsi" w:hAnsiTheme="majorHAnsi" w:cs="Times New Roman"/>
        </w:rPr>
        <w:lastRenderedPageBreak/>
        <w:t>opportunities</w:t>
      </w:r>
      <w:r w:rsidR="001246ED" w:rsidRPr="00473EE5">
        <w:rPr>
          <w:rFonts w:asciiTheme="majorHAnsi" w:hAnsiTheme="majorHAnsi" w:cs="Times New Roman"/>
        </w:rPr>
        <w:t xml:space="preserve"> (substantive equality)</w:t>
      </w:r>
      <w:r w:rsidR="0059378F" w:rsidRPr="00473EE5">
        <w:rPr>
          <w:rFonts w:asciiTheme="majorHAnsi" w:hAnsiTheme="majorHAnsi" w:cs="Times New Roman"/>
        </w:rPr>
        <w:t>. State</w:t>
      </w:r>
      <w:r w:rsidRPr="00473EE5">
        <w:rPr>
          <w:rFonts w:asciiTheme="majorHAnsi" w:hAnsiTheme="majorHAnsi" w:cs="Times New Roman"/>
        </w:rPr>
        <w:t xml:space="preserve">s </w:t>
      </w:r>
      <w:r w:rsidR="0059378F" w:rsidRPr="00473EE5">
        <w:rPr>
          <w:rFonts w:asciiTheme="majorHAnsi" w:hAnsiTheme="majorHAnsi" w:cs="Times New Roman"/>
        </w:rPr>
        <w:t>must achieve</w:t>
      </w:r>
      <w:r w:rsidRPr="00473EE5">
        <w:rPr>
          <w:rFonts w:asciiTheme="majorHAnsi" w:hAnsiTheme="majorHAnsi" w:cs="Times New Roman"/>
        </w:rPr>
        <w:t xml:space="preserve"> systemic, transformational change</w:t>
      </w:r>
      <w:r w:rsidR="0059378F" w:rsidRPr="00473EE5">
        <w:rPr>
          <w:rFonts w:asciiTheme="majorHAnsi" w:hAnsiTheme="majorHAnsi" w:cs="Times New Roman"/>
        </w:rPr>
        <w:t>s</w:t>
      </w:r>
      <w:r w:rsidRPr="00473EE5">
        <w:rPr>
          <w:rFonts w:asciiTheme="majorHAnsi" w:hAnsiTheme="majorHAnsi" w:cs="Times New Roman"/>
        </w:rPr>
        <w:t xml:space="preserve"> to remedy the exclusionary structures that prioritise the views and interests of privileged groups</w:t>
      </w:r>
      <w:r w:rsidR="001246ED" w:rsidRPr="00473EE5">
        <w:rPr>
          <w:rFonts w:asciiTheme="majorHAnsi" w:hAnsiTheme="majorHAnsi" w:cs="Times New Roman"/>
        </w:rPr>
        <w:t xml:space="preserve"> (transformative equality)</w:t>
      </w:r>
      <w:r w:rsidRPr="00473EE5">
        <w:rPr>
          <w:rFonts w:asciiTheme="majorHAnsi" w:hAnsiTheme="majorHAnsi" w:cs="Times New Roman"/>
        </w:rPr>
        <w:t>.</w:t>
      </w:r>
      <w:r w:rsidRPr="00473EE5">
        <w:rPr>
          <w:rStyle w:val="FootnoteReference"/>
          <w:rFonts w:asciiTheme="majorHAnsi" w:hAnsiTheme="majorHAnsi" w:cs="Times New Roman"/>
        </w:rPr>
        <w:footnoteReference w:id="30"/>
      </w:r>
      <w:r w:rsidRPr="00473EE5">
        <w:rPr>
          <w:rFonts w:asciiTheme="majorHAnsi" w:hAnsiTheme="majorHAnsi" w:cs="Times New Roman"/>
        </w:rPr>
        <w:t xml:space="preserve"> As the CEDAW Committee emphasizes in</w:t>
      </w:r>
      <w:r w:rsidR="0059378F" w:rsidRPr="00473EE5">
        <w:rPr>
          <w:rFonts w:asciiTheme="majorHAnsi" w:hAnsiTheme="majorHAnsi" w:cs="Times New Roman"/>
        </w:rPr>
        <w:t xml:space="preserve"> its</w:t>
      </w:r>
      <w:r w:rsidRPr="00473EE5">
        <w:rPr>
          <w:rFonts w:asciiTheme="majorHAnsi" w:hAnsiTheme="majorHAnsi" w:cs="Times New Roman"/>
        </w:rPr>
        <w:t xml:space="preserve"> GR No. 30, the obligation of non-discrimination towards women</w:t>
      </w:r>
      <w:r w:rsidR="0059378F" w:rsidRPr="00473EE5">
        <w:rPr>
          <w:rFonts w:asciiTheme="majorHAnsi" w:hAnsiTheme="majorHAnsi" w:cs="Times New Roman"/>
        </w:rPr>
        <w:t xml:space="preserve"> and girls affected by conflict necessitates an</w:t>
      </w:r>
      <w:r w:rsidRPr="00473EE5">
        <w:rPr>
          <w:rFonts w:asciiTheme="majorHAnsi" w:hAnsiTheme="majorHAnsi" w:cs="Times New Roman"/>
        </w:rPr>
        <w:t xml:space="preserve"> intersectional perspective on discrimination</w:t>
      </w:r>
      <w:r w:rsidR="0059378F" w:rsidRPr="00473EE5">
        <w:rPr>
          <w:rFonts w:asciiTheme="majorHAnsi" w:hAnsiTheme="majorHAnsi" w:cs="Times New Roman"/>
        </w:rPr>
        <w:t>, especially in relation to conflict situations</w:t>
      </w:r>
      <w:r w:rsidRPr="00473EE5">
        <w:rPr>
          <w:rFonts w:asciiTheme="majorHAnsi" w:hAnsiTheme="majorHAnsi" w:cs="Times New Roman"/>
        </w:rPr>
        <w:t>.</w:t>
      </w:r>
      <w:r w:rsidRPr="00473EE5">
        <w:rPr>
          <w:rStyle w:val="FootnoteReference"/>
          <w:rFonts w:asciiTheme="majorHAnsi" w:hAnsiTheme="majorHAnsi" w:cs="Times New Roman"/>
        </w:rPr>
        <w:footnoteReference w:id="31"/>
      </w:r>
      <w:r w:rsidRPr="00473EE5">
        <w:rPr>
          <w:rFonts w:asciiTheme="majorHAnsi" w:hAnsiTheme="majorHAnsi" w:cs="Times New Roman"/>
        </w:rPr>
        <w:t xml:space="preserve"> Although intersectionality is not addressed in SCR 1325, it is</w:t>
      </w:r>
      <w:r w:rsidR="0069473D" w:rsidRPr="00473EE5">
        <w:rPr>
          <w:rFonts w:asciiTheme="majorHAnsi" w:hAnsiTheme="majorHAnsi" w:cs="Times New Roman"/>
        </w:rPr>
        <w:t xml:space="preserve"> briefly addressed in subsequent resolutions and is</w:t>
      </w:r>
      <w:r w:rsidRPr="00473EE5">
        <w:rPr>
          <w:rFonts w:asciiTheme="majorHAnsi" w:hAnsiTheme="majorHAnsi" w:cs="Times New Roman"/>
        </w:rPr>
        <w:t xml:space="preserve"> a </w:t>
      </w:r>
      <w:r w:rsidR="009F4A90" w:rsidRPr="00473EE5">
        <w:rPr>
          <w:rFonts w:asciiTheme="majorHAnsi" w:hAnsiTheme="majorHAnsi" w:cs="Times New Roman"/>
        </w:rPr>
        <w:t>key</w:t>
      </w:r>
      <w:r w:rsidR="0059378F" w:rsidRPr="00473EE5">
        <w:rPr>
          <w:rFonts w:asciiTheme="majorHAnsi" w:hAnsiTheme="majorHAnsi" w:cs="Times New Roman"/>
        </w:rPr>
        <w:t xml:space="preserve"> </w:t>
      </w:r>
      <w:r w:rsidRPr="00473EE5">
        <w:rPr>
          <w:rFonts w:asciiTheme="majorHAnsi" w:hAnsiTheme="majorHAnsi" w:cs="Times New Roman"/>
        </w:rPr>
        <w:t xml:space="preserve">feature of the </w:t>
      </w:r>
      <w:r w:rsidR="0059378F" w:rsidRPr="00473EE5">
        <w:rPr>
          <w:rFonts w:asciiTheme="majorHAnsi" w:hAnsiTheme="majorHAnsi" w:cs="Times New Roman"/>
        </w:rPr>
        <w:t xml:space="preserve">CEDAW </w:t>
      </w:r>
      <w:r w:rsidRPr="00473EE5">
        <w:rPr>
          <w:rFonts w:asciiTheme="majorHAnsi" w:hAnsiTheme="majorHAnsi" w:cs="Times New Roman"/>
        </w:rPr>
        <w:t>GR No. 30</w:t>
      </w:r>
      <w:r w:rsidR="009F4A90" w:rsidRPr="00473EE5">
        <w:rPr>
          <w:rFonts w:asciiTheme="majorHAnsi" w:hAnsiTheme="majorHAnsi" w:cs="Times New Roman"/>
        </w:rPr>
        <w:t xml:space="preserve"> that adds value to understanding the resolutions on WPS</w:t>
      </w:r>
      <w:r w:rsidRPr="00473EE5">
        <w:rPr>
          <w:rFonts w:asciiTheme="majorHAnsi" w:hAnsiTheme="majorHAnsi" w:cs="Times New Roman"/>
        </w:rPr>
        <w:t>.</w:t>
      </w:r>
    </w:p>
    <w:p w14:paraId="32C121CC" w14:textId="77777777" w:rsidR="00EF479B" w:rsidRPr="00473EE5" w:rsidRDefault="00EF479B" w:rsidP="004E5EBC">
      <w:pPr>
        <w:jc w:val="both"/>
        <w:rPr>
          <w:rFonts w:asciiTheme="majorHAnsi" w:hAnsiTheme="majorHAnsi"/>
        </w:rPr>
      </w:pPr>
    </w:p>
    <w:p w14:paraId="2EBCEC40" w14:textId="53363DD8" w:rsidR="00115686" w:rsidRPr="00473EE5" w:rsidRDefault="004E5EBC" w:rsidP="00671735">
      <w:pPr>
        <w:pStyle w:val="ListParagraph"/>
        <w:numPr>
          <w:ilvl w:val="0"/>
          <w:numId w:val="2"/>
        </w:numPr>
        <w:jc w:val="both"/>
        <w:rPr>
          <w:rFonts w:asciiTheme="majorHAnsi" w:hAnsiTheme="majorHAnsi" w:cs="Times New Roman"/>
          <w:b/>
          <w:color w:val="1F497D" w:themeColor="text2"/>
          <w:u w:val="single"/>
        </w:rPr>
      </w:pPr>
      <w:r w:rsidRPr="00473EE5">
        <w:rPr>
          <w:rFonts w:asciiTheme="majorHAnsi" w:hAnsiTheme="majorHAnsi" w:cs="Times New Roman"/>
          <w:b/>
          <w:color w:val="1F497D" w:themeColor="text2"/>
          <w:u w:val="single"/>
        </w:rPr>
        <w:t>Prevention</w:t>
      </w:r>
    </w:p>
    <w:p w14:paraId="4C6DC81F" w14:textId="77777777" w:rsidR="00B42DB6" w:rsidRPr="00473EE5" w:rsidRDefault="00B42DB6" w:rsidP="00B42DB6">
      <w:pPr>
        <w:pStyle w:val="ListParagraph"/>
        <w:ind w:left="360"/>
        <w:jc w:val="both"/>
        <w:rPr>
          <w:rFonts w:asciiTheme="majorHAnsi" w:hAnsiTheme="majorHAnsi" w:cs="Times New Roman"/>
          <w:b/>
          <w:u w:val="single"/>
        </w:rPr>
      </w:pPr>
    </w:p>
    <w:p w14:paraId="0A400797" w14:textId="2019263C" w:rsidR="00DB5185" w:rsidRPr="00473EE5" w:rsidRDefault="001B752A" w:rsidP="00B55114">
      <w:pPr>
        <w:pStyle w:val="ListParagraph"/>
        <w:numPr>
          <w:ilvl w:val="0"/>
          <w:numId w:val="16"/>
        </w:numPr>
        <w:spacing w:line="360" w:lineRule="auto"/>
        <w:jc w:val="both"/>
        <w:rPr>
          <w:rFonts w:asciiTheme="majorHAnsi" w:hAnsiTheme="majorHAnsi"/>
        </w:rPr>
      </w:pPr>
      <w:r w:rsidRPr="00473EE5">
        <w:rPr>
          <w:rFonts w:asciiTheme="majorHAnsi" w:hAnsiTheme="majorHAnsi"/>
        </w:rPr>
        <w:t>By r</w:t>
      </w:r>
      <w:r w:rsidR="00115686" w:rsidRPr="00473EE5">
        <w:rPr>
          <w:rFonts w:asciiTheme="majorHAnsi" w:hAnsiTheme="majorHAnsi"/>
        </w:rPr>
        <w:t xml:space="preserve">eaffirming </w:t>
      </w:r>
      <w:r w:rsidR="00115686" w:rsidRPr="00473EE5">
        <w:rPr>
          <w:rFonts w:asciiTheme="majorHAnsi" w:hAnsiTheme="majorHAnsi"/>
          <w:b/>
          <w:color w:val="4F81BD" w:themeColor="accent1"/>
        </w:rPr>
        <w:t>women’s role in preventing and resolving conflicts and peace-building</w:t>
      </w:r>
      <w:r w:rsidR="00115686" w:rsidRPr="00473EE5">
        <w:rPr>
          <w:rFonts w:asciiTheme="majorHAnsi" w:hAnsiTheme="majorHAnsi"/>
        </w:rPr>
        <w:t>,</w:t>
      </w:r>
      <w:r w:rsidRPr="00473EE5">
        <w:rPr>
          <w:rFonts w:asciiTheme="majorHAnsi" w:hAnsiTheme="majorHAnsi"/>
        </w:rPr>
        <w:t xml:space="preserve"> stressing their equal participation and full involvement in efforts to maintain and promote peace and security, </w:t>
      </w:r>
      <w:r w:rsidR="00FF2E1D" w:rsidRPr="00473EE5">
        <w:rPr>
          <w:rFonts w:asciiTheme="majorHAnsi" w:hAnsiTheme="majorHAnsi"/>
        </w:rPr>
        <w:t>and</w:t>
      </w:r>
      <w:r w:rsidRPr="00473EE5">
        <w:rPr>
          <w:rFonts w:asciiTheme="majorHAnsi" w:hAnsiTheme="majorHAnsi"/>
        </w:rPr>
        <w:t xml:space="preserve"> </w:t>
      </w:r>
      <w:r w:rsidR="00FF2E1D" w:rsidRPr="00473EE5">
        <w:rPr>
          <w:rFonts w:asciiTheme="majorHAnsi" w:hAnsiTheme="majorHAnsi"/>
        </w:rPr>
        <w:t xml:space="preserve">recognising </w:t>
      </w:r>
      <w:r w:rsidRPr="00473EE5">
        <w:rPr>
          <w:rFonts w:asciiTheme="majorHAnsi" w:hAnsiTheme="majorHAnsi"/>
        </w:rPr>
        <w:t xml:space="preserve">the need to increase their role in decision-making </w:t>
      </w:r>
      <w:r w:rsidR="00FF2E1D" w:rsidRPr="00473EE5">
        <w:rPr>
          <w:rFonts w:asciiTheme="majorHAnsi" w:hAnsiTheme="majorHAnsi"/>
        </w:rPr>
        <w:t>to prevent and resolve conflicts</w:t>
      </w:r>
      <w:r w:rsidRPr="00473EE5">
        <w:rPr>
          <w:rFonts w:asciiTheme="majorHAnsi" w:hAnsiTheme="majorHAnsi"/>
        </w:rPr>
        <w:t>,</w:t>
      </w:r>
      <w:r w:rsidR="00115686" w:rsidRPr="00473EE5">
        <w:rPr>
          <w:rFonts w:asciiTheme="majorHAnsi" w:hAnsiTheme="majorHAnsi"/>
        </w:rPr>
        <w:t xml:space="preserve"> </w:t>
      </w:r>
      <w:r w:rsidRPr="00473EE5">
        <w:rPr>
          <w:rFonts w:asciiTheme="majorHAnsi" w:hAnsiTheme="majorHAnsi"/>
        </w:rPr>
        <w:t>SCR 1325 re</w:t>
      </w:r>
      <w:r w:rsidR="00CC11CF" w:rsidRPr="00473EE5">
        <w:rPr>
          <w:rFonts w:asciiTheme="majorHAnsi" w:hAnsiTheme="majorHAnsi"/>
        </w:rPr>
        <w:t>flects</w:t>
      </w:r>
      <w:r w:rsidR="009075AA" w:rsidRPr="00473EE5">
        <w:rPr>
          <w:rFonts w:asciiTheme="majorHAnsi" w:hAnsiTheme="majorHAnsi"/>
        </w:rPr>
        <w:t xml:space="preserve"> a range of </w:t>
      </w:r>
      <w:r w:rsidR="003353C6" w:rsidRPr="00473EE5">
        <w:rPr>
          <w:rFonts w:asciiTheme="majorHAnsi" w:hAnsiTheme="majorHAnsi"/>
        </w:rPr>
        <w:t xml:space="preserve">existing </w:t>
      </w:r>
      <w:r w:rsidR="009075AA" w:rsidRPr="00473EE5">
        <w:rPr>
          <w:rFonts w:asciiTheme="majorHAnsi" w:hAnsiTheme="majorHAnsi"/>
        </w:rPr>
        <w:t>international obligations. These include:</w:t>
      </w:r>
      <w:r w:rsidR="00B42DB6" w:rsidRPr="00473EE5">
        <w:rPr>
          <w:rStyle w:val="FootnoteReference"/>
          <w:rFonts w:asciiTheme="majorHAnsi" w:hAnsiTheme="majorHAnsi"/>
        </w:rPr>
        <w:footnoteReference w:id="32"/>
      </w:r>
    </w:p>
    <w:p w14:paraId="25E6AE0D" w14:textId="77777777" w:rsidR="00E4120D" w:rsidRPr="00473EE5" w:rsidRDefault="00E4120D" w:rsidP="00E4120D">
      <w:pPr>
        <w:pStyle w:val="ListParagraph"/>
        <w:ind w:left="360"/>
        <w:jc w:val="both"/>
        <w:rPr>
          <w:rFonts w:asciiTheme="majorHAnsi" w:hAnsiTheme="majorHAnsi"/>
        </w:rPr>
      </w:pPr>
    </w:p>
    <w:p w14:paraId="0C6414D5" w14:textId="5712BC65" w:rsidR="00DB5185" w:rsidRPr="00473EE5" w:rsidRDefault="001B752A" w:rsidP="00B55114">
      <w:pPr>
        <w:pStyle w:val="ListParagraph"/>
        <w:numPr>
          <w:ilvl w:val="0"/>
          <w:numId w:val="19"/>
        </w:numPr>
        <w:spacing w:line="360" w:lineRule="auto"/>
        <w:jc w:val="both"/>
        <w:rPr>
          <w:rFonts w:asciiTheme="majorHAnsi" w:hAnsiTheme="majorHAnsi"/>
        </w:rPr>
      </w:pPr>
      <w:r w:rsidRPr="00473EE5">
        <w:rPr>
          <w:rFonts w:asciiTheme="majorHAnsi" w:hAnsiTheme="majorHAnsi"/>
        </w:rPr>
        <w:t>Article</w:t>
      </w:r>
      <w:r w:rsidR="006B29FC" w:rsidRPr="00473EE5">
        <w:rPr>
          <w:rFonts w:asciiTheme="majorHAnsi" w:hAnsiTheme="majorHAnsi"/>
        </w:rPr>
        <w:t>s 7 and 8</w:t>
      </w:r>
      <w:r w:rsidR="00E96EEF" w:rsidRPr="00473EE5">
        <w:rPr>
          <w:rFonts w:asciiTheme="majorHAnsi" w:hAnsiTheme="majorHAnsi"/>
        </w:rPr>
        <w:t xml:space="preserve"> of CEDAW, which address </w:t>
      </w:r>
      <w:r w:rsidR="00FF2E1D" w:rsidRPr="00473EE5">
        <w:rPr>
          <w:rFonts w:asciiTheme="majorHAnsi" w:hAnsiTheme="majorHAnsi"/>
        </w:rPr>
        <w:t xml:space="preserve">women’s participation in </w:t>
      </w:r>
      <w:r w:rsidR="00332D26" w:rsidRPr="00473EE5">
        <w:rPr>
          <w:rFonts w:asciiTheme="majorHAnsi" w:hAnsiTheme="majorHAnsi"/>
        </w:rPr>
        <w:t>political and public</w:t>
      </w:r>
      <w:r w:rsidR="00FF2E1D" w:rsidRPr="00473EE5">
        <w:rPr>
          <w:rFonts w:asciiTheme="majorHAnsi" w:hAnsiTheme="majorHAnsi"/>
        </w:rPr>
        <w:t xml:space="preserve"> life</w:t>
      </w:r>
      <w:r w:rsidR="006B29FC" w:rsidRPr="00473EE5">
        <w:rPr>
          <w:rFonts w:asciiTheme="majorHAnsi" w:hAnsiTheme="majorHAnsi"/>
        </w:rPr>
        <w:t>, na</w:t>
      </w:r>
      <w:r w:rsidR="004839CF" w:rsidRPr="00473EE5">
        <w:rPr>
          <w:rFonts w:asciiTheme="majorHAnsi" w:hAnsiTheme="majorHAnsi"/>
        </w:rPr>
        <w:t>tionally and internationally</w:t>
      </w:r>
      <w:r w:rsidR="00D210B7" w:rsidRPr="00473EE5">
        <w:rPr>
          <w:rFonts w:asciiTheme="majorHAnsi" w:hAnsiTheme="majorHAnsi"/>
        </w:rPr>
        <w:t>, respectively</w:t>
      </w:r>
      <w:r w:rsidR="00E96EEF" w:rsidRPr="00473EE5">
        <w:rPr>
          <w:rFonts w:asciiTheme="majorHAnsi" w:hAnsiTheme="majorHAnsi"/>
        </w:rPr>
        <w:t xml:space="preserve">. </w:t>
      </w:r>
      <w:r w:rsidR="00FA7CB0" w:rsidRPr="00473EE5">
        <w:rPr>
          <w:rFonts w:asciiTheme="majorHAnsi" w:hAnsiTheme="majorHAnsi"/>
        </w:rPr>
        <w:t>Article 4(1) of CEDAW is also relevant</w:t>
      </w:r>
      <w:r w:rsidR="00F65876" w:rsidRPr="00473EE5">
        <w:rPr>
          <w:rFonts w:asciiTheme="majorHAnsi" w:hAnsiTheme="majorHAnsi"/>
        </w:rPr>
        <w:t xml:space="preserve"> </w:t>
      </w:r>
      <w:r w:rsidR="00B35F4E" w:rsidRPr="00473EE5">
        <w:rPr>
          <w:rFonts w:asciiTheme="majorHAnsi" w:hAnsiTheme="majorHAnsi"/>
        </w:rPr>
        <w:t>(</w:t>
      </w:r>
      <w:r w:rsidR="00F65876" w:rsidRPr="00473EE5">
        <w:rPr>
          <w:rFonts w:asciiTheme="majorHAnsi" w:hAnsiTheme="majorHAnsi"/>
        </w:rPr>
        <w:t>it addresses</w:t>
      </w:r>
      <w:r w:rsidR="00E96EEF" w:rsidRPr="00473EE5">
        <w:rPr>
          <w:rFonts w:asciiTheme="majorHAnsi" w:hAnsiTheme="majorHAnsi"/>
        </w:rPr>
        <w:t xml:space="preserve"> </w:t>
      </w:r>
      <w:r w:rsidR="004839CF" w:rsidRPr="00473EE5">
        <w:rPr>
          <w:rFonts w:asciiTheme="majorHAnsi" w:hAnsiTheme="majorHAnsi"/>
        </w:rPr>
        <w:t>temporary special measures to remo</w:t>
      </w:r>
      <w:r w:rsidR="00E96EEF" w:rsidRPr="00473EE5">
        <w:rPr>
          <w:rFonts w:asciiTheme="majorHAnsi" w:hAnsiTheme="majorHAnsi"/>
        </w:rPr>
        <w:t>ve discrimination against women</w:t>
      </w:r>
      <w:r w:rsidR="00B35F4E" w:rsidRPr="00473EE5">
        <w:rPr>
          <w:rFonts w:asciiTheme="majorHAnsi" w:hAnsiTheme="majorHAnsi"/>
        </w:rPr>
        <w:t xml:space="preserve"> </w:t>
      </w:r>
      <w:r w:rsidR="00FA7CB0" w:rsidRPr="00473EE5">
        <w:rPr>
          <w:rFonts w:asciiTheme="majorHAnsi" w:hAnsiTheme="majorHAnsi"/>
        </w:rPr>
        <w:t>e.g.</w:t>
      </w:r>
      <w:r w:rsidR="00E96EEF" w:rsidRPr="00473EE5">
        <w:rPr>
          <w:rFonts w:asciiTheme="majorHAnsi" w:hAnsiTheme="majorHAnsi"/>
        </w:rPr>
        <w:t xml:space="preserve"> quotas and other affirmative action measures </w:t>
      </w:r>
      <w:r w:rsidR="000A0617" w:rsidRPr="00473EE5">
        <w:rPr>
          <w:rFonts w:asciiTheme="majorHAnsi" w:hAnsiTheme="majorHAnsi"/>
        </w:rPr>
        <w:t>to involve women</w:t>
      </w:r>
      <w:r w:rsidR="00FA7CB0" w:rsidRPr="00473EE5">
        <w:rPr>
          <w:rFonts w:asciiTheme="majorHAnsi" w:hAnsiTheme="majorHAnsi"/>
        </w:rPr>
        <w:t>)</w:t>
      </w:r>
      <w:r w:rsidR="00B93C71" w:rsidRPr="00473EE5">
        <w:rPr>
          <w:rFonts w:asciiTheme="majorHAnsi" w:hAnsiTheme="majorHAnsi"/>
        </w:rPr>
        <w:t xml:space="preserve">. </w:t>
      </w:r>
      <w:r w:rsidR="009F4A90" w:rsidRPr="00473EE5">
        <w:rPr>
          <w:rFonts w:asciiTheme="majorHAnsi" w:hAnsiTheme="majorHAnsi"/>
        </w:rPr>
        <w:t>The</w:t>
      </w:r>
      <w:r w:rsidR="001D3060" w:rsidRPr="00473EE5">
        <w:rPr>
          <w:rFonts w:asciiTheme="majorHAnsi" w:hAnsiTheme="majorHAnsi"/>
        </w:rPr>
        <w:t xml:space="preserve"> ICCPR General Comment No. 28 </w:t>
      </w:r>
      <w:r w:rsidR="00B35F4E" w:rsidRPr="00473EE5">
        <w:rPr>
          <w:rFonts w:asciiTheme="majorHAnsi" w:hAnsiTheme="majorHAnsi"/>
        </w:rPr>
        <w:t>(</w:t>
      </w:r>
      <w:r w:rsidR="001D3060" w:rsidRPr="00473EE5">
        <w:rPr>
          <w:rFonts w:asciiTheme="majorHAnsi" w:hAnsiTheme="majorHAnsi"/>
        </w:rPr>
        <w:t>equality be</w:t>
      </w:r>
      <w:r w:rsidR="00B03662" w:rsidRPr="00473EE5">
        <w:rPr>
          <w:rFonts w:asciiTheme="majorHAnsi" w:hAnsiTheme="majorHAnsi"/>
        </w:rPr>
        <w:t>tween men and women (GC No. 28)</w:t>
      </w:r>
      <w:r w:rsidR="00B35F4E" w:rsidRPr="00473EE5">
        <w:rPr>
          <w:rFonts w:asciiTheme="majorHAnsi" w:hAnsiTheme="majorHAnsi"/>
        </w:rPr>
        <w:t>)</w:t>
      </w:r>
      <w:r w:rsidR="00DB5185" w:rsidRPr="00473EE5">
        <w:rPr>
          <w:rFonts w:asciiTheme="majorHAnsi" w:hAnsiTheme="majorHAnsi"/>
        </w:rPr>
        <w:t xml:space="preserve"> </w:t>
      </w:r>
      <w:r w:rsidR="009F4A90" w:rsidRPr="00473EE5">
        <w:rPr>
          <w:rFonts w:asciiTheme="majorHAnsi" w:hAnsiTheme="majorHAnsi"/>
        </w:rPr>
        <w:t>also</w:t>
      </w:r>
      <w:r w:rsidR="001D3060" w:rsidRPr="00473EE5">
        <w:rPr>
          <w:rFonts w:asciiTheme="majorHAnsi" w:hAnsiTheme="majorHAnsi"/>
        </w:rPr>
        <w:t xml:space="preserve"> recognises the importance of affirmative action measures</w:t>
      </w:r>
      <w:r w:rsidR="00F347F5" w:rsidRPr="00473EE5">
        <w:rPr>
          <w:rFonts w:asciiTheme="majorHAnsi" w:hAnsiTheme="majorHAnsi"/>
        </w:rPr>
        <w:t xml:space="preserve"> to promote gender equality</w:t>
      </w:r>
      <w:r w:rsidR="00E96EEF" w:rsidRPr="00473EE5">
        <w:rPr>
          <w:rFonts w:asciiTheme="majorHAnsi" w:hAnsiTheme="majorHAnsi"/>
        </w:rPr>
        <w:t xml:space="preserve">. </w:t>
      </w:r>
    </w:p>
    <w:p w14:paraId="61A92CCF" w14:textId="563B2CCD" w:rsidR="006E35CE" w:rsidRPr="00473EE5" w:rsidRDefault="009F4A90" w:rsidP="00B55114">
      <w:pPr>
        <w:pStyle w:val="ListParagraph"/>
        <w:numPr>
          <w:ilvl w:val="0"/>
          <w:numId w:val="19"/>
        </w:numPr>
        <w:spacing w:line="360" w:lineRule="auto"/>
        <w:jc w:val="both"/>
        <w:rPr>
          <w:rFonts w:asciiTheme="majorHAnsi" w:hAnsiTheme="majorHAnsi"/>
        </w:rPr>
      </w:pPr>
      <w:r w:rsidRPr="00473EE5">
        <w:rPr>
          <w:rFonts w:asciiTheme="majorHAnsi" w:hAnsiTheme="majorHAnsi"/>
        </w:rPr>
        <w:t xml:space="preserve">The </w:t>
      </w:r>
      <w:r w:rsidR="00E96EEF" w:rsidRPr="00473EE5">
        <w:rPr>
          <w:rFonts w:asciiTheme="majorHAnsi" w:hAnsiTheme="majorHAnsi"/>
        </w:rPr>
        <w:t>CEDAW</w:t>
      </w:r>
      <w:r w:rsidR="00FF2E1D" w:rsidRPr="00473EE5">
        <w:rPr>
          <w:rFonts w:asciiTheme="majorHAnsi" w:hAnsiTheme="majorHAnsi"/>
        </w:rPr>
        <w:t xml:space="preserve"> </w:t>
      </w:r>
      <w:r w:rsidR="001D3060" w:rsidRPr="00473EE5">
        <w:rPr>
          <w:rFonts w:asciiTheme="majorHAnsi" w:hAnsiTheme="majorHAnsi"/>
        </w:rPr>
        <w:t>GRs</w:t>
      </w:r>
      <w:r w:rsidR="00FF2E1D" w:rsidRPr="00473EE5">
        <w:rPr>
          <w:rFonts w:asciiTheme="majorHAnsi" w:hAnsiTheme="majorHAnsi"/>
        </w:rPr>
        <w:t xml:space="preserve"> No. 2</w:t>
      </w:r>
      <w:r w:rsidR="00332D26" w:rsidRPr="00473EE5">
        <w:rPr>
          <w:rFonts w:asciiTheme="majorHAnsi" w:hAnsiTheme="majorHAnsi"/>
        </w:rPr>
        <w:t>3</w:t>
      </w:r>
      <w:r w:rsidR="001D3060" w:rsidRPr="00473EE5">
        <w:rPr>
          <w:rFonts w:asciiTheme="majorHAnsi" w:hAnsiTheme="majorHAnsi"/>
        </w:rPr>
        <w:t xml:space="preserve"> </w:t>
      </w:r>
      <w:r w:rsidR="00B35F4E" w:rsidRPr="00473EE5">
        <w:rPr>
          <w:rFonts w:asciiTheme="majorHAnsi" w:hAnsiTheme="majorHAnsi"/>
        </w:rPr>
        <w:t>(</w:t>
      </w:r>
      <w:r w:rsidR="001D3060" w:rsidRPr="00473EE5">
        <w:rPr>
          <w:rFonts w:asciiTheme="majorHAnsi" w:hAnsiTheme="majorHAnsi"/>
        </w:rPr>
        <w:t>p</w:t>
      </w:r>
      <w:r w:rsidR="00A77256" w:rsidRPr="00473EE5">
        <w:rPr>
          <w:rFonts w:asciiTheme="majorHAnsi" w:hAnsiTheme="majorHAnsi"/>
        </w:rPr>
        <w:t xml:space="preserve">olitical </w:t>
      </w:r>
      <w:r w:rsidR="001D3060" w:rsidRPr="00473EE5">
        <w:rPr>
          <w:rFonts w:asciiTheme="majorHAnsi" w:hAnsiTheme="majorHAnsi"/>
        </w:rPr>
        <w:t>and public life</w:t>
      </w:r>
      <w:r w:rsidR="00B35F4E" w:rsidRPr="00473EE5">
        <w:rPr>
          <w:rFonts w:asciiTheme="majorHAnsi" w:hAnsiTheme="majorHAnsi"/>
        </w:rPr>
        <w:t>)</w:t>
      </w:r>
      <w:r w:rsidR="00FF2E1D" w:rsidRPr="00473EE5">
        <w:rPr>
          <w:rFonts w:asciiTheme="majorHAnsi" w:hAnsiTheme="majorHAnsi"/>
        </w:rPr>
        <w:t xml:space="preserve"> and 30</w:t>
      </w:r>
      <w:r w:rsidR="006E35CE" w:rsidRPr="00473EE5">
        <w:rPr>
          <w:rFonts w:asciiTheme="majorHAnsi" w:hAnsiTheme="majorHAnsi"/>
        </w:rPr>
        <w:t>. CEDAW GR No. 30 prohibits prevention efforts from discrimination against women and their peace groups, and</w:t>
      </w:r>
      <w:r w:rsidRPr="00473EE5">
        <w:rPr>
          <w:rFonts w:asciiTheme="majorHAnsi" w:hAnsiTheme="majorHAnsi"/>
        </w:rPr>
        <w:t xml:space="preserve"> takes a holistic approach to conflict prevention,</w:t>
      </w:r>
      <w:r w:rsidR="006E35CE" w:rsidRPr="00473EE5">
        <w:rPr>
          <w:rFonts w:asciiTheme="majorHAnsi" w:hAnsiTheme="majorHAnsi"/>
        </w:rPr>
        <w:t xml:space="preserve"> recognises women’s role informal, local and community-based preventive diplomacy efforts.</w:t>
      </w:r>
    </w:p>
    <w:p w14:paraId="0C405ABF" w14:textId="1E7A7750" w:rsidR="00115686" w:rsidRPr="00473EE5" w:rsidRDefault="00E96EEF" w:rsidP="00B55114">
      <w:pPr>
        <w:pStyle w:val="ListParagraph"/>
        <w:numPr>
          <w:ilvl w:val="0"/>
          <w:numId w:val="19"/>
        </w:numPr>
        <w:spacing w:line="360" w:lineRule="auto"/>
        <w:jc w:val="both"/>
        <w:rPr>
          <w:rFonts w:asciiTheme="majorHAnsi" w:hAnsiTheme="majorHAnsi"/>
        </w:rPr>
      </w:pPr>
      <w:r w:rsidRPr="00473EE5">
        <w:rPr>
          <w:rFonts w:asciiTheme="majorHAnsi" w:hAnsiTheme="majorHAnsi"/>
        </w:rPr>
        <w:t xml:space="preserve">Article 25 of the ICCPR </w:t>
      </w:r>
      <w:r w:rsidR="00B35F4E" w:rsidRPr="00473EE5">
        <w:rPr>
          <w:rFonts w:asciiTheme="majorHAnsi" w:hAnsiTheme="majorHAnsi"/>
        </w:rPr>
        <w:t>(</w:t>
      </w:r>
      <w:r w:rsidRPr="00473EE5">
        <w:rPr>
          <w:rFonts w:asciiTheme="majorHAnsi" w:hAnsiTheme="majorHAnsi"/>
        </w:rPr>
        <w:t>concerning p</w:t>
      </w:r>
      <w:r w:rsidR="00332D26" w:rsidRPr="00473EE5">
        <w:rPr>
          <w:rFonts w:asciiTheme="majorHAnsi" w:hAnsiTheme="majorHAnsi"/>
        </w:rPr>
        <w:t>articipation in</w:t>
      </w:r>
      <w:r w:rsidRPr="00473EE5">
        <w:rPr>
          <w:rFonts w:asciiTheme="majorHAnsi" w:hAnsiTheme="majorHAnsi"/>
        </w:rPr>
        <w:t xml:space="preserve"> public affa</w:t>
      </w:r>
      <w:r w:rsidR="00B35F4E" w:rsidRPr="00473EE5">
        <w:rPr>
          <w:rFonts w:asciiTheme="majorHAnsi" w:hAnsiTheme="majorHAnsi"/>
        </w:rPr>
        <w:t>irs)</w:t>
      </w:r>
      <w:r w:rsidRPr="00473EE5">
        <w:rPr>
          <w:rFonts w:asciiTheme="majorHAnsi" w:hAnsiTheme="majorHAnsi"/>
        </w:rPr>
        <w:t xml:space="preserve"> as well as the </w:t>
      </w:r>
      <w:r w:rsidR="00E337FD" w:rsidRPr="00473EE5">
        <w:rPr>
          <w:rFonts w:asciiTheme="majorHAnsi" w:hAnsiTheme="majorHAnsi"/>
        </w:rPr>
        <w:t>ICCPR</w:t>
      </w:r>
      <w:r w:rsidR="00CC11CF" w:rsidRPr="00473EE5">
        <w:rPr>
          <w:rFonts w:asciiTheme="majorHAnsi" w:hAnsiTheme="majorHAnsi"/>
        </w:rPr>
        <w:t xml:space="preserve"> </w:t>
      </w:r>
      <w:r w:rsidR="001D3060" w:rsidRPr="00473EE5">
        <w:rPr>
          <w:rFonts w:asciiTheme="majorHAnsi" w:hAnsiTheme="majorHAnsi"/>
        </w:rPr>
        <w:t>GCs</w:t>
      </w:r>
      <w:r w:rsidR="001B48B3" w:rsidRPr="00473EE5">
        <w:rPr>
          <w:rFonts w:asciiTheme="majorHAnsi" w:hAnsiTheme="majorHAnsi"/>
        </w:rPr>
        <w:t xml:space="preserve"> No. 25</w:t>
      </w:r>
      <w:r w:rsidR="00E337FD" w:rsidRPr="00473EE5">
        <w:rPr>
          <w:rFonts w:asciiTheme="majorHAnsi" w:hAnsiTheme="majorHAnsi"/>
        </w:rPr>
        <w:t xml:space="preserve"> </w:t>
      </w:r>
      <w:r w:rsidR="00B35F4E" w:rsidRPr="00473EE5">
        <w:rPr>
          <w:rFonts w:asciiTheme="majorHAnsi" w:hAnsiTheme="majorHAnsi"/>
        </w:rPr>
        <w:t>(</w:t>
      </w:r>
      <w:r w:rsidR="00E337FD" w:rsidRPr="00473EE5">
        <w:rPr>
          <w:rFonts w:asciiTheme="majorHAnsi" w:hAnsiTheme="majorHAnsi"/>
        </w:rPr>
        <w:t xml:space="preserve">on </w:t>
      </w:r>
      <w:r w:rsidR="00B35F4E" w:rsidRPr="00473EE5">
        <w:rPr>
          <w:rFonts w:asciiTheme="majorHAnsi" w:hAnsiTheme="majorHAnsi"/>
        </w:rPr>
        <w:t>Article 25)</w:t>
      </w:r>
      <w:r w:rsidR="001D3060" w:rsidRPr="00473EE5">
        <w:rPr>
          <w:rFonts w:asciiTheme="majorHAnsi" w:hAnsiTheme="majorHAnsi"/>
        </w:rPr>
        <w:t xml:space="preserve"> </w:t>
      </w:r>
      <w:r w:rsidR="00DB3942" w:rsidRPr="00473EE5">
        <w:rPr>
          <w:rFonts w:asciiTheme="majorHAnsi" w:hAnsiTheme="majorHAnsi"/>
        </w:rPr>
        <w:t>and No 28</w:t>
      </w:r>
      <w:r w:rsidR="00FF2E1D" w:rsidRPr="00473EE5">
        <w:rPr>
          <w:rFonts w:asciiTheme="majorHAnsi" w:hAnsiTheme="majorHAnsi"/>
        </w:rPr>
        <w:t xml:space="preserve">. </w:t>
      </w:r>
    </w:p>
    <w:p w14:paraId="03C84458" w14:textId="77777777" w:rsidR="00115686" w:rsidRPr="00473EE5" w:rsidRDefault="00115686" w:rsidP="00A34B66">
      <w:pPr>
        <w:jc w:val="both"/>
        <w:rPr>
          <w:rFonts w:asciiTheme="majorHAnsi" w:hAnsiTheme="majorHAnsi"/>
        </w:rPr>
      </w:pPr>
    </w:p>
    <w:p w14:paraId="26ACB503" w14:textId="4C6CAB2D" w:rsidR="00DB5185" w:rsidRPr="00473EE5" w:rsidRDefault="00D210B7" w:rsidP="00B55114">
      <w:pPr>
        <w:pStyle w:val="ListParagraph"/>
        <w:numPr>
          <w:ilvl w:val="0"/>
          <w:numId w:val="16"/>
        </w:numPr>
        <w:spacing w:line="360" w:lineRule="auto"/>
        <w:jc w:val="both"/>
        <w:rPr>
          <w:rFonts w:asciiTheme="majorHAnsi" w:hAnsiTheme="majorHAnsi"/>
        </w:rPr>
      </w:pPr>
      <w:r w:rsidRPr="00473EE5">
        <w:rPr>
          <w:rFonts w:asciiTheme="majorHAnsi" w:hAnsiTheme="majorHAnsi"/>
        </w:rPr>
        <w:t xml:space="preserve">SCR 1325 </w:t>
      </w:r>
      <w:r w:rsidR="003353C6" w:rsidRPr="00473EE5">
        <w:rPr>
          <w:rFonts w:asciiTheme="majorHAnsi" w:hAnsiTheme="majorHAnsi"/>
        </w:rPr>
        <w:t>seeks</w:t>
      </w:r>
      <w:r w:rsidRPr="00473EE5">
        <w:rPr>
          <w:rFonts w:asciiTheme="majorHAnsi" w:hAnsiTheme="majorHAnsi"/>
        </w:rPr>
        <w:t xml:space="preserve"> an </w:t>
      </w:r>
      <w:r w:rsidRPr="00473EE5">
        <w:rPr>
          <w:rFonts w:asciiTheme="majorHAnsi" w:hAnsiTheme="majorHAnsi"/>
          <w:b/>
          <w:color w:val="4F81BD" w:themeColor="accent1"/>
        </w:rPr>
        <w:t xml:space="preserve">evidence-based approach to </w:t>
      </w:r>
      <w:r w:rsidR="009075AA" w:rsidRPr="00473EE5">
        <w:rPr>
          <w:rFonts w:asciiTheme="majorHAnsi" w:hAnsiTheme="majorHAnsi"/>
          <w:b/>
          <w:color w:val="4F81BD" w:themeColor="accent1"/>
        </w:rPr>
        <w:t>conflict prevention</w:t>
      </w:r>
      <w:r w:rsidRPr="00473EE5">
        <w:rPr>
          <w:rFonts w:asciiTheme="majorHAnsi" w:hAnsiTheme="majorHAnsi"/>
        </w:rPr>
        <w:t xml:space="preserve">, </w:t>
      </w:r>
      <w:r w:rsidR="00A649BD" w:rsidRPr="00473EE5">
        <w:rPr>
          <w:rFonts w:asciiTheme="majorHAnsi" w:hAnsiTheme="majorHAnsi"/>
        </w:rPr>
        <w:t xml:space="preserve">noting the </w:t>
      </w:r>
      <w:r w:rsidR="00A649BD" w:rsidRPr="00473EE5">
        <w:rPr>
          <w:rFonts w:asciiTheme="majorHAnsi" w:hAnsiTheme="majorHAnsi"/>
          <w:b/>
          <w:color w:val="4F81BD" w:themeColor="accent1"/>
        </w:rPr>
        <w:t xml:space="preserve">need </w:t>
      </w:r>
      <w:r w:rsidR="00726524" w:rsidRPr="00473EE5">
        <w:rPr>
          <w:rFonts w:asciiTheme="majorHAnsi" w:hAnsiTheme="majorHAnsi"/>
          <w:b/>
          <w:color w:val="4F81BD" w:themeColor="accent1"/>
        </w:rPr>
        <w:t>for</w:t>
      </w:r>
      <w:r w:rsidR="00A649BD" w:rsidRPr="00473EE5">
        <w:rPr>
          <w:rFonts w:asciiTheme="majorHAnsi" w:hAnsiTheme="majorHAnsi"/>
          <w:b/>
          <w:color w:val="4F81BD" w:themeColor="accent1"/>
        </w:rPr>
        <w:t xml:space="preserve"> data</w:t>
      </w:r>
      <w:r w:rsidR="00A649BD" w:rsidRPr="00473EE5">
        <w:rPr>
          <w:rFonts w:asciiTheme="majorHAnsi" w:hAnsiTheme="majorHAnsi"/>
        </w:rPr>
        <w:t xml:space="preserve"> </w:t>
      </w:r>
      <w:r w:rsidR="00726524" w:rsidRPr="00473EE5">
        <w:rPr>
          <w:rFonts w:asciiTheme="majorHAnsi" w:hAnsiTheme="majorHAnsi"/>
        </w:rPr>
        <w:t xml:space="preserve">collection to </w:t>
      </w:r>
      <w:r w:rsidR="00A649BD" w:rsidRPr="00473EE5">
        <w:rPr>
          <w:rFonts w:asciiTheme="majorHAnsi" w:hAnsiTheme="majorHAnsi"/>
        </w:rPr>
        <w:t>address the impact of armed conflict on women and girls</w:t>
      </w:r>
      <w:r w:rsidR="00300A27" w:rsidRPr="00473EE5">
        <w:rPr>
          <w:rFonts w:asciiTheme="majorHAnsi" w:hAnsiTheme="majorHAnsi"/>
        </w:rPr>
        <w:t xml:space="preserve">, and requesting the Secretary-General </w:t>
      </w:r>
      <w:r w:rsidR="001E6AEC" w:rsidRPr="00473EE5">
        <w:rPr>
          <w:rFonts w:asciiTheme="majorHAnsi" w:hAnsiTheme="majorHAnsi"/>
        </w:rPr>
        <w:t>for</w:t>
      </w:r>
      <w:r w:rsidR="008D5488" w:rsidRPr="00473EE5">
        <w:rPr>
          <w:rFonts w:asciiTheme="majorHAnsi" w:hAnsiTheme="majorHAnsi"/>
        </w:rPr>
        <w:t xml:space="preserve"> </w:t>
      </w:r>
      <w:r w:rsidR="008D5488" w:rsidRPr="00473EE5">
        <w:rPr>
          <w:rFonts w:asciiTheme="majorHAnsi" w:hAnsiTheme="majorHAnsi"/>
          <w:b/>
          <w:color w:val="4F81BD" w:themeColor="accent1"/>
        </w:rPr>
        <w:t>gender-sensitive reporting</w:t>
      </w:r>
      <w:r w:rsidR="008D5488" w:rsidRPr="00473EE5">
        <w:rPr>
          <w:rFonts w:asciiTheme="majorHAnsi" w:hAnsiTheme="majorHAnsi"/>
        </w:rPr>
        <w:t xml:space="preserve"> on armed conflict (including women’s role in peace-building </w:t>
      </w:r>
      <w:r w:rsidR="008D5488" w:rsidRPr="00473EE5">
        <w:rPr>
          <w:rFonts w:asciiTheme="majorHAnsi" w:hAnsiTheme="majorHAnsi"/>
        </w:rPr>
        <w:lastRenderedPageBreak/>
        <w:t xml:space="preserve">and the gender dimensions of conflict resolution) and on </w:t>
      </w:r>
      <w:r w:rsidR="008D5488" w:rsidRPr="00473EE5">
        <w:rPr>
          <w:rFonts w:asciiTheme="majorHAnsi" w:hAnsiTheme="majorHAnsi"/>
          <w:b/>
          <w:color w:val="4F81BD" w:themeColor="accent1"/>
        </w:rPr>
        <w:t>gender-mainstreaming</w:t>
      </w:r>
      <w:r w:rsidR="008D5488" w:rsidRPr="00473EE5">
        <w:rPr>
          <w:rFonts w:asciiTheme="majorHAnsi" w:hAnsiTheme="majorHAnsi"/>
          <w:color w:val="4F81BD" w:themeColor="accent1"/>
        </w:rPr>
        <w:t xml:space="preserve"> </w:t>
      </w:r>
      <w:r w:rsidR="008D5488" w:rsidRPr="00473EE5">
        <w:rPr>
          <w:rFonts w:asciiTheme="majorHAnsi" w:hAnsiTheme="majorHAnsi"/>
          <w:b/>
          <w:color w:val="4F81BD" w:themeColor="accent1"/>
        </w:rPr>
        <w:t>in peacekeeping missions</w:t>
      </w:r>
      <w:r w:rsidRPr="00473EE5">
        <w:rPr>
          <w:rFonts w:asciiTheme="majorHAnsi" w:hAnsiTheme="majorHAnsi"/>
        </w:rPr>
        <w:t xml:space="preserve">. </w:t>
      </w:r>
      <w:r w:rsidR="00DD65C7" w:rsidRPr="00473EE5">
        <w:rPr>
          <w:rFonts w:asciiTheme="majorHAnsi" w:hAnsiTheme="majorHAnsi"/>
        </w:rPr>
        <w:t>This reflects:</w:t>
      </w:r>
      <w:r w:rsidR="00B42DB6" w:rsidRPr="00473EE5">
        <w:rPr>
          <w:rStyle w:val="FootnoteReference"/>
          <w:rFonts w:asciiTheme="majorHAnsi" w:hAnsiTheme="majorHAnsi"/>
        </w:rPr>
        <w:footnoteReference w:id="33"/>
      </w:r>
    </w:p>
    <w:p w14:paraId="1DAFDD8D" w14:textId="77777777" w:rsidR="00E4120D" w:rsidRPr="00473EE5" w:rsidRDefault="00E4120D" w:rsidP="00B55114">
      <w:pPr>
        <w:pStyle w:val="ListParagraph"/>
        <w:spacing w:line="360" w:lineRule="auto"/>
        <w:ind w:left="360"/>
        <w:jc w:val="both"/>
        <w:rPr>
          <w:rFonts w:asciiTheme="majorHAnsi" w:hAnsiTheme="majorHAnsi"/>
        </w:rPr>
      </w:pPr>
    </w:p>
    <w:p w14:paraId="1B54EEAE" w14:textId="77777777" w:rsidR="006E35CE" w:rsidRPr="00473EE5" w:rsidRDefault="00CD38B4" w:rsidP="00B55114">
      <w:pPr>
        <w:pStyle w:val="ListParagraph"/>
        <w:numPr>
          <w:ilvl w:val="0"/>
          <w:numId w:val="20"/>
        </w:numPr>
        <w:spacing w:line="360" w:lineRule="auto"/>
        <w:jc w:val="both"/>
        <w:rPr>
          <w:rFonts w:asciiTheme="majorHAnsi" w:hAnsiTheme="majorHAnsi"/>
        </w:rPr>
      </w:pPr>
      <w:r w:rsidRPr="00473EE5">
        <w:rPr>
          <w:rFonts w:asciiTheme="majorHAnsi" w:hAnsiTheme="majorHAnsi"/>
        </w:rPr>
        <w:t>Article 18 of CEDAW, which requires states to report on progress on eliminating discrimination against women every four years, and CEDAW GR No. 2</w:t>
      </w:r>
      <w:r w:rsidR="001E6AEC" w:rsidRPr="00473EE5">
        <w:rPr>
          <w:rFonts w:asciiTheme="majorHAnsi" w:hAnsiTheme="majorHAnsi"/>
        </w:rPr>
        <w:t>,</w:t>
      </w:r>
      <w:r w:rsidRPr="00473EE5">
        <w:rPr>
          <w:rFonts w:asciiTheme="majorHAnsi" w:hAnsiTheme="majorHAnsi"/>
        </w:rPr>
        <w:t xml:space="preserve"> which elaborates the process for states’ reporting. </w:t>
      </w:r>
    </w:p>
    <w:p w14:paraId="6E3D0F87" w14:textId="62C08713" w:rsidR="00DB5185" w:rsidRPr="00473EE5" w:rsidRDefault="00322930" w:rsidP="00B55114">
      <w:pPr>
        <w:pStyle w:val="ListParagraph"/>
        <w:numPr>
          <w:ilvl w:val="0"/>
          <w:numId w:val="20"/>
        </w:numPr>
        <w:spacing w:line="360" w:lineRule="auto"/>
        <w:jc w:val="both"/>
        <w:rPr>
          <w:rFonts w:asciiTheme="majorHAnsi" w:hAnsiTheme="majorHAnsi"/>
        </w:rPr>
      </w:pPr>
      <w:r w:rsidRPr="00473EE5">
        <w:rPr>
          <w:rFonts w:asciiTheme="majorHAnsi" w:hAnsiTheme="majorHAnsi"/>
        </w:rPr>
        <w:t xml:space="preserve">The </w:t>
      </w:r>
      <w:r w:rsidR="00F31EF8" w:rsidRPr="00473EE5">
        <w:rPr>
          <w:rFonts w:asciiTheme="majorHAnsi" w:hAnsiTheme="majorHAnsi"/>
        </w:rPr>
        <w:t>CEDAW</w:t>
      </w:r>
      <w:r w:rsidR="001D3060" w:rsidRPr="00473EE5">
        <w:rPr>
          <w:rFonts w:asciiTheme="majorHAnsi" w:hAnsiTheme="majorHAnsi"/>
        </w:rPr>
        <w:t xml:space="preserve"> GR</w:t>
      </w:r>
      <w:r w:rsidR="00FF4878" w:rsidRPr="00473EE5">
        <w:rPr>
          <w:rFonts w:asciiTheme="majorHAnsi" w:hAnsiTheme="majorHAnsi"/>
        </w:rPr>
        <w:t xml:space="preserve"> No. 9 on </w:t>
      </w:r>
      <w:r w:rsidR="00E96EEF" w:rsidRPr="00473EE5">
        <w:rPr>
          <w:rFonts w:asciiTheme="majorHAnsi" w:hAnsiTheme="majorHAnsi"/>
        </w:rPr>
        <w:t>statistical data co</w:t>
      </w:r>
      <w:r w:rsidR="00FF4878" w:rsidRPr="00473EE5">
        <w:rPr>
          <w:rFonts w:asciiTheme="majorHAnsi" w:hAnsiTheme="majorHAnsi"/>
        </w:rPr>
        <w:t xml:space="preserve">ncerning the situation of women, </w:t>
      </w:r>
      <w:r w:rsidR="00E96EEF" w:rsidRPr="00473EE5">
        <w:rPr>
          <w:rFonts w:asciiTheme="majorHAnsi" w:hAnsiTheme="majorHAnsi"/>
        </w:rPr>
        <w:t>which r</w:t>
      </w:r>
      <w:r w:rsidR="001E6AEC" w:rsidRPr="00473EE5">
        <w:rPr>
          <w:rFonts w:asciiTheme="majorHAnsi" w:hAnsiTheme="majorHAnsi"/>
        </w:rPr>
        <w:t xml:space="preserve">equires member states to make </w:t>
      </w:r>
      <w:r w:rsidR="00E96EEF" w:rsidRPr="00473EE5">
        <w:rPr>
          <w:rFonts w:asciiTheme="majorHAnsi" w:hAnsiTheme="majorHAnsi"/>
        </w:rPr>
        <w:t>every effort to provide ge</w:t>
      </w:r>
      <w:r w:rsidR="00FF4878" w:rsidRPr="00473EE5">
        <w:rPr>
          <w:rFonts w:asciiTheme="majorHAnsi" w:hAnsiTheme="majorHAnsi"/>
        </w:rPr>
        <w:t xml:space="preserve">nder-disaggregated data. </w:t>
      </w:r>
    </w:p>
    <w:p w14:paraId="0B1A84DF" w14:textId="77777777" w:rsidR="006E35CE" w:rsidRPr="00473EE5" w:rsidRDefault="00DD65C7" w:rsidP="00B55114">
      <w:pPr>
        <w:pStyle w:val="ListParagraph"/>
        <w:numPr>
          <w:ilvl w:val="0"/>
          <w:numId w:val="20"/>
        </w:numPr>
        <w:spacing w:line="360" w:lineRule="auto"/>
        <w:jc w:val="both"/>
        <w:rPr>
          <w:rFonts w:asciiTheme="majorHAnsi" w:hAnsiTheme="majorHAnsi"/>
        </w:rPr>
      </w:pPr>
      <w:r w:rsidRPr="00473EE5">
        <w:rPr>
          <w:rFonts w:asciiTheme="majorHAnsi" w:hAnsiTheme="majorHAnsi"/>
        </w:rPr>
        <w:t>The</w:t>
      </w:r>
      <w:r w:rsidR="001D3060" w:rsidRPr="00473EE5">
        <w:rPr>
          <w:rFonts w:asciiTheme="majorHAnsi" w:hAnsiTheme="majorHAnsi"/>
        </w:rPr>
        <w:t xml:space="preserve"> CEDAW GR</w:t>
      </w:r>
      <w:r w:rsidR="00726524" w:rsidRPr="00473EE5">
        <w:rPr>
          <w:rFonts w:asciiTheme="majorHAnsi" w:hAnsiTheme="majorHAnsi"/>
        </w:rPr>
        <w:t>s</w:t>
      </w:r>
      <w:r w:rsidR="001D3060" w:rsidRPr="00473EE5">
        <w:rPr>
          <w:rFonts w:asciiTheme="majorHAnsi" w:hAnsiTheme="majorHAnsi"/>
        </w:rPr>
        <w:t xml:space="preserve"> No.</w:t>
      </w:r>
      <w:r w:rsidR="00726524" w:rsidRPr="00473EE5">
        <w:rPr>
          <w:rFonts w:asciiTheme="majorHAnsi" w:hAnsiTheme="majorHAnsi"/>
        </w:rPr>
        <w:t xml:space="preserve"> 12 and</w:t>
      </w:r>
      <w:r w:rsidR="001D3060" w:rsidRPr="00473EE5">
        <w:rPr>
          <w:rFonts w:asciiTheme="majorHAnsi" w:hAnsiTheme="majorHAnsi"/>
        </w:rPr>
        <w:t xml:space="preserve"> </w:t>
      </w:r>
      <w:r w:rsidR="00D210B7" w:rsidRPr="00473EE5">
        <w:rPr>
          <w:rFonts w:asciiTheme="majorHAnsi" w:hAnsiTheme="majorHAnsi"/>
        </w:rPr>
        <w:t>19</w:t>
      </w:r>
      <w:r w:rsidR="00E96EEF" w:rsidRPr="00473EE5">
        <w:rPr>
          <w:rFonts w:asciiTheme="majorHAnsi" w:hAnsiTheme="majorHAnsi"/>
        </w:rPr>
        <w:t xml:space="preserve"> </w:t>
      </w:r>
      <w:r w:rsidR="001D3060" w:rsidRPr="00473EE5">
        <w:rPr>
          <w:rFonts w:asciiTheme="majorHAnsi" w:hAnsiTheme="majorHAnsi"/>
        </w:rPr>
        <w:t xml:space="preserve">on violence against women, </w:t>
      </w:r>
      <w:r w:rsidR="00726524" w:rsidRPr="00473EE5">
        <w:rPr>
          <w:rFonts w:asciiTheme="majorHAnsi" w:hAnsiTheme="majorHAnsi"/>
        </w:rPr>
        <w:t>which require</w:t>
      </w:r>
      <w:r w:rsidR="00D210B7" w:rsidRPr="00473EE5">
        <w:rPr>
          <w:rFonts w:asciiTheme="majorHAnsi" w:hAnsiTheme="majorHAnsi"/>
        </w:rPr>
        <w:t xml:space="preserve"> states to collect data on the extent, causes and effects of violence against women and the effective</w:t>
      </w:r>
      <w:r w:rsidR="005E4E28" w:rsidRPr="00473EE5">
        <w:rPr>
          <w:rFonts w:asciiTheme="majorHAnsi" w:hAnsiTheme="majorHAnsi"/>
        </w:rPr>
        <w:t>ness of anti-violence measures</w:t>
      </w:r>
      <w:r w:rsidR="00D210B7" w:rsidRPr="00473EE5">
        <w:rPr>
          <w:rFonts w:asciiTheme="majorHAnsi" w:hAnsiTheme="majorHAnsi"/>
        </w:rPr>
        <w:t xml:space="preserve">. </w:t>
      </w:r>
    </w:p>
    <w:p w14:paraId="4D9977C4" w14:textId="5C1A995A" w:rsidR="007125F7" w:rsidRPr="00473EE5" w:rsidRDefault="00541DBC" w:rsidP="00B55114">
      <w:pPr>
        <w:pStyle w:val="ListParagraph"/>
        <w:numPr>
          <w:ilvl w:val="0"/>
          <w:numId w:val="20"/>
        </w:numPr>
        <w:spacing w:line="360" w:lineRule="auto"/>
        <w:jc w:val="both"/>
        <w:rPr>
          <w:rFonts w:asciiTheme="majorHAnsi" w:hAnsiTheme="majorHAnsi"/>
        </w:rPr>
      </w:pPr>
      <w:r w:rsidRPr="00473EE5">
        <w:rPr>
          <w:rFonts w:asciiTheme="majorHAnsi" w:hAnsiTheme="majorHAnsi"/>
        </w:rPr>
        <w:t>The CEDAW GR No. 30</w:t>
      </w:r>
      <w:r w:rsidR="00A96B6F" w:rsidRPr="00473EE5">
        <w:rPr>
          <w:rFonts w:asciiTheme="majorHAnsi" w:hAnsiTheme="majorHAnsi"/>
        </w:rPr>
        <w:t>, which</w:t>
      </w:r>
      <w:r w:rsidRPr="00473EE5">
        <w:rPr>
          <w:rFonts w:asciiTheme="majorHAnsi" w:hAnsiTheme="majorHAnsi"/>
        </w:rPr>
        <w:t xml:space="preserve"> specifies that data collection on violence should focus on the incidence and prevalence of gender-based violence (GBV) especially sexual violence in different settings and against different categories of women</w:t>
      </w:r>
      <w:r w:rsidR="001E6AEC" w:rsidRPr="00473EE5">
        <w:rPr>
          <w:rFonts w:asciiTheme="majorHAnsi" w:hAnsiTheme="majorHAnsi"/>
        </w:rPr>
        <w:t xml:space="preserve">. The GR No. 30 also </w:t>
      </w:r>
      <w:r w:rsidR="00DD65C7" w:rsidRPr="00473EE5">
        <w:rPr>
          <w:rFonts w:asciiTheme="majorHAnsi" w:hAnsiTheme="majorHAnsi"/>
        </w:rPr>
        <w:t>has</w:t>
      </w:r>
      <w:r w:rsidR="001E6AEC" w:rsidRPr="00473EE5">
        <w:rPr>
          <w:rFonts w:asciiTheme="majorHAnsi" w:hAnsiTheme="majorHAnsi"/>
        </w:rPr>
        <w:t xml:space="preserve"> comprehensive recommendations on monitoring and reporting </w:t>
      </w:r>
      <w:r w:rsidR="00DB5185" w:rsidRPr="00473EE5">
        <w:rPr>
          <w:rFonts w:asciiTheme="majorHAnsi" w:hAnsiTheme="majorHAnsi"/>
        </w:rPr>
        <w:t>(see</w:t>
      </w:r>
      <w:r w:rsidR="001E6AEC" w:rsidRPr="00473EE5">
        <w:rPr>
          <w:rFonts w:asciiTheme="majorHAnsi" w:hAnsiTheme="majorHAnsi"/>
        </w:rPr>
        <w:t xml:space="preserve"> below).</w:t>
      </w:r>
    </w:p>
    <w:p w14:paraId="469A1AA7" w14:textId="77777777" w:rsidR="00EF479B" w:rsidRPr="00473EE5" w:rsidRDefault="00EF479B" w:rsidP="004E5EBC">
      <w:pPr>
        <w:jc w:val="both"/>
        <w:rPr>
          <w:rFonts w:asciiTheme="majorHAnsi" w:hAnsiTheme="majorHAnsi"/>
        </w:rPr>
      </w:pPr>
    </w:p>
    <w:p w14:paraId="3A35ADEE" w14:textId="43185787" w:rsidR="00A34B66" w:rsidRPr="00473EE5" w:rsidRDefault="004E5EBC" w:rsidP="00671735">
      <w:pPr>
        <w:pStyle w:val="ListParagraph"/>
        <w:numPr>
          <w:ilvl w:val="0"/>
          <w:numId w:val="2"/>
        </w:numPr>
        <w:jc w:val="both"/>
        <w:rPr>
          <w:rFonts w:asciiTheme="majorHAnsi" w:hAnsiTheme="majorHAnsi" w:cs="Times New Roman"/>
          <w:b/>
          <w:color w:val="1F497D" w:themeColor="text2"/>
          <w:u w:val="single"/>
        </w:rPr>
      </w:pPr>
      <w:r w:rsidRPr="00473EE5">
        <w:rPr>
          <w:rFonts w:asciiTheme="majorHAnsi" w:hAnsiTheme="majorHAnsi" w:cs="Times New Roman"/>
          <w:b/>
          <w:color w:val="1F497D" w:themeColor="text2"/>
          <w:u w:val="single"/>
        </w:rPr>
        <w:t>Participation</w:t>
      </w:r>
    </w:p>
    <w:p w14:paraId="6B09FC87" w14:textId="77777777" w:rsidR="007E1E7A" w:rsidRPr="00473EE5" w:rsidRDefault="007E1E7A" w:rsidP="00B42DB6">
      <w:pPr>
        <w:jc w:val="both"/>
        <w:rPr>
          <w:rFonts w:asciiTheme="majorHAnsi" w:hAnsiTheme="majorHAnsi" w:cs="Times New Roman"/>
        </w:rPr>
      </w:pPr>
    </w:p>
    <w:p w14:paraId="2A9B7AF7" w14:textId="75F73C31" w:rsidR="00DB5185" w:rsidRPr="00473EE5" w:rsidRDefault="00A34B66" w:rsidP="00B55114">
      <w:pPr>
        <w:pStyle w:val="ListParagraph"/>
        <w:numPr>
          <w:ilvl w:val="1"/>
          <w:numId w:val="2"/>
        </w:numPr>
        <w:spacing w:line="360" w:lineRule="auto"/>
        <w:jc w:val="both"/>
        <w:rPr>
          <w:rFonts w:asciiTheme="majorHAnsi" w:hAnsiTheme="majorHAnsi" w:cs="Times New Roman"/>
          <w:u w:val="single"/>
        </w:rPr>
      </w:pPr>
      <w:r w:rsidRPr="00473EE5">
        <w:rPr>
          <w:rFonts w:asciiTheme="majorHAnsi" w:hAnsiTheme="majorHAnsi" w:cs="Times New Roman"/>
        </w:rPr>
        <w:t xml:space="preserve">By urging </w:t>
      </w:r>
      <w:r w:rsidR="00414161" w:rsidRPr="00473EE5">
        <w:rPr>
          <w:rFonts w:asciiTheme="majorHAnsi" w:hAnsiTheme="majorHAnsi" w:cs="Times New Roman"/>
        </w:rPr>
        <w:t>Member States</w:t>
      </w:r>
      <w:r w:rsidRPr="00473EE5">
        <w:rPr>
          <w:rFonts w:asciiTheme="majorHAnsi" w:hAnsiTheme="majorHAnsi" w:cs="Times New Roman"/>
        </w:rPr>
        <w:t xml:space="preserve"> </w:t>
      </w:r>
      <w:r w:rsidR="005A1CE7" w:rsidRPr="00473EE5">
        <w:rPr>
          <w:rFonts w:asciiTheme="majorHAnsi" w:hAnsiTheme="majorHAnsi" w:cs="Times New Roman"/>
        </w:rPr>
        <w:t xml:space="preserve">to ensure </w:t>
      </w:r>
      <w:r w:rsidR="005A1CE7" w:rsidRPr="00473EE5">
        <w:rPr>
          <w:rFonts w:asciiTheme="majorHAnsi" w:hAnsiTheme="majorHAnsi" w:cs="Times New Roman"/>
          <w:b/>
          <w:color w:val="4F81BD" w:themeColor="accent1"/>
        </w:rPr>
        <w:t>women’s participation in all decision-making levels</w:t>
      </w:r>
      <w:r w:rsidR="005A1CE7" w:rsidRPr="00473EE5">
        <w:rPr>
          <w:rFonts w:asciiTheme="majorHAnsi" w:hAnsiTheme="majorHAnsi" w:cs="Times New Roman"/>
        </w:rPr>
        <w:t xml:space="preserve"> in </w:t>
      </w:r>
      <w:r w:rsidR="005A1CE7" w:rsidRPr="00473EE5">
        <w:rPr>
          <w:rFonts w:asciiTheme="majorHAnsi" w:hAnsiTheme="majorHAnsi" w:cs="Times New Roman"/>
          <w:b/>
          <w:color w:val="4F81BD" w:themeColor="accent1"/>
        </w:rPr>
        <w:t>national, regional and international institutions to prevent, manage and resolve conflict</w:t>
      </w:r>
      <w:r w:rsidRPr="00473EE5">
        <w:rPr>
          <w:rFonts w:asciiTheme="majorHAnsi" w:hAnsiTheme="majorHAnsi" w:cs="Times New Roman"/>
        </w:rPr>
        <w:t>, SCR 1325</w:t>
      </w:r>
      <w:r w:rsidR="005A1CE7" w:rsidRPr="00473EE5">
        <w:rPr>
          <w:rFonts w:asciiTheme="majorHAnsi" w:hAnsiTheme="majorHAnsi" w:cs="Times New Roman"/>
        </w:rPr>
        <w:t xml:space="preserve"> recalls</w:t>
      </w:r>
      <w:r w:rsidR="006E35CE" w:rsidRPr="00473EE5">
        <w:rPr>
          <w:rFonts w:asciiTheme="majorHAnsi" w:hAnsiTheme="majorHAnsi" w:cs="Times New Roman"/>
        </w:rPr>
        <w:t>:</w:t>
      </w:r>
      <w:r w:rsidR="00B42DB6" w:rsidRPr="00473EE5">
        <w:rPr>
          <w:rStyle w:val="FootnoteReference"/>
          <w:rFonts w:asciiTheme="majorHAnsi" w:hAnsiTheme="majorHAnsi" w:cs="Times New Roman"/>
        </w:rPr>
        <w:footnoteReference w:id="34"/>
      </w:r>
    </w:p>
    <w:p w14:paraId="7ED31FDE" w14:textId="77777777" w:rsidR="00E4120D" w:rsidRPr="00473EE5" w:rsidRDefault="00E4120D" w:rsidP="00B55114">
      <w:pPr>
        <w:pStyle w:val="ListParagraph"/>
        <w:spacing w:line="360" w:lineRule="auto"/>
        <w:ind w:left="360"/>
        <w:jc w:val="both"/>
        <w:rPr>
          <w:rFonts w:asciiTheme="majorHAnsi" w:hAnsiTheme="majorHAnsi" w:cs="Times New Roman"/>
          <w:u w:val="single"/>
        </w:rPr>
      </w:pPr>
    </w:p>
    <w:p w14:paraId="5ED437ED" w14:textId="35AE0AF6" w:rsidR="006E35CE" w:rsidRPr="00473EE5" w:rsidRDefault="006E35CE" w:rsidP="00B55114">
      <w:pPr>
        <w:pStyle w:val="ListParagraph"/>
        <w:numPr>
          <w:ilvl w:val="0"/>
          <w:numId w:val="21"/>
        </w:numPr>
        <w:spacing w:line="360" w:lineRule="auto"/>
        <w:jc w:val="both"/>
        <w:rPr>
          <w:rFonts w:asciiTheme="majorHAnsi" w:hAnsiTheme="majorHAnsi" w:cs="Times New Roman"/>
          <w:u w:val="single"/>
        </w:rPr>
      </w:pPr>
      <w:r w:rsidRPr="00473EE5">
        <w:rPr>
          <w:rFonts w:asciiTheme="majorHAnsi" w:hAnsiTheme="majorHAnsi" w:cs="Times New Roman"/>
        </w:rPr>
        <w:t>Articles and GRs/GCs of CEDAW and the ICCPR mentioned above in relation to Prevention under 1(a).</w:t>
      </w:r>
    </w:p>
    <w:p w14:paraId="1C7A4E45" w14:textId="3E20CE3C" w:rsidR="000F5A4E" w:rsidRPr="00473EE5" w:rsidRDefault="00BB0CEB" w:rsidP="00B55114">
      <w:pPr>
        <w:pStyle w:val="ListParagraph"/>
        <w:numPr>
          <w:ilvl w:val="0"/>
          <w:numId w:val="21"/>
        </w:numPr>
        <w:spacing w:line="360" w:lineRule="auto"/>
        <w:jc w:val="both"/>
        <w:rPr>
          <w:rFonts w:asciiTheme="majorHAnsi" w:hAnsiTheme="majorHAnsi" w:cs="Times New Roman"/>
          <w:u w:val="single"/>
        </w:rPr>
      </w:pPr>
      <w:r w:rsidRPr="00473EE5">
        <w:rPr>
          <w:rFonts w:asciiTheme="majorHAnsi" w:hAnsiTheme="majorHAnsi"/>
        </w:rPr>
        <w:t>The</w:t>
      </w:r>
      <w:r w:rsidR="00726524" w:rsidRPr="00473EE5">
        <w:rPr>
          <w:rFonts w:asciiTheme="majorHAnsi" w:hAnsiTheme="majorHAnsi"/>
        </w:rPr>
        <w:t xml:space="preserve"> CEDAW GR No. 30</w:t>
      </w:r>
      <w:r w:rsidR="00ED7691" w:rsidRPr="00473EE5">
        <w:rPr>
          <w:rFonts w:asciiTheme="majorHAnsi" w:hAnsiTheme="majorHAnsi"/>
        </w:rPr>
        <w:t>,</w:t>
      </w:r>
      <w:r w:rsidR="00785539" w:rsidRPr="00473EE5">
        <w:rPr>
          <w:rFonts w:asciiTheme="majorHAnsi" w:hAnsiTheme="majorHAnsi"/>
        </w:rPr>
        <w:t xml:space="preserve"> </w:t>
      </w:r>
      <w:r w:rsidR="00ED7691" w:rsidRPr="00473EE5">
        <w:rPr>
          <w:rFonts w:asciiTheme="majorHAnsi" w:hAnsiTheme="majorHAnsi"/>
        </w:rPr>
        <w:t>which</w:t>
      </w:r>
      <w:r w:rsidR="00726524" w:rsidRPr="00473EE5">
        <w:rPr>
          <w:rFonts w:asciiTheme="majorHAnsi" w:hAnsiTheme="majorHAnsi"/>
        </w:rPr>
        <w:t xml:space="preserve"> specifies the national institutions</w:t>
      </w:r>
      <w:r w:rsidR="00ED7691" w:rsidRPr="00473EE5">
        <w:rPr>
          <w:rFonts w:asciiTheme="majorHAnsi" w:hAnsiTheme="majorHAnsi"/>
        </w:rPr>
        <w:t xml:space="preserve"> dealing with conflict-related crimes</w:t>
      </w:r>
      <w:r w:rsidR="00726524" w:rsidRPr="00473EE5">
        <w:rPr>
          <w:rFonts w:asciiTheme="majorHAnsi" w:hAnsiTheme="majorHAnsi"/>
        </w:rPr>
        <w:t xml:space="preserve"> </w:t>
      </w:r>
      <w:r w:rsidR="00ED7691" w:rsidRPr="00473EE5">
        <w:rPr>
          <w:rFonts w:asciiTheme="majorHAnsi" w:hAnsiTheme="majorHAnsi"/>
        </w:rPr>
        <w:t>i</w:t>
      </w:r>
      <w:r w:rsidR="00726524" w:rsidRPr="00473EE5">
        <w:rPr>
          <w:rFonts w:asciiTheme="majorHAnsi" w:hAnsiTheme="majorHAnsi"/>
        </w:rPr>
        <w:t xml:space="preserve">ncluding </w:t>
      </w:r>
      <w:r w:rsidRPr="00473EE5">
        <w:rPr>
          <w:rFonts w:asciiTheme="majorHAnsi" w:hAnsiTheme="majorHAnsi"/>
        </w:rPr>
        <w:t>the armed forces, police, justice institutions and transitional justice mechanisms (judicial and non-j</w:t>
      </w:r>
      <w:r w:rsidR="00726524" w:rsidRPr="00473EE5">
        <w:rPr>
          <w:rFonts w:asciiTheme="majorHAnsi" w:hAnsiTheme="majorHAnsi"/>
        </w:rPr>
        <w:t>udicial)</w:t>
      </w:r>
      <w:r w:rsidRPr="00473EE5">
        <w:rPr>
          <w:rFonts w:asciiTheme="majorHAnsi" w:hAnsiTheme="majorHAnsi"/>
        </w:rPr>
        <w:t>.</w:t>
      </w:r>
      <w:r w:rsidR="00B93C71" w:rsidRPr="00473EE5">
        <w:rPr>
          <w:rFonts w:asciiTheme="majorHAnsi" w:hAnsiTheme="majorHAnsi"/>
        </w:rPr>
        <w:t xml:space="preserve"> </w:t>
      </w:r>
    </w:p>
    <w:p w14:paraId="6A1397DF" w14:textId="13A0D63B" w:rsidR="006E35CE" w:rsidRPr="00473EE5" w:rsidRDefault="00BB0CEB" w:rsidP="00B55114">
      <w:pPr>
        <w:pStyle w:val="ListParagraph"/>
        <w:numPr>
          <w:ilvl w:val="0"/>
          <w:numId w:val="21"/>
        </w:numPr>
        <w:spacing w:line="360" w:lineRule="auto"/>
        <w:jc w:val="both"/>
        <w:rPr>
          <w:rFonts w:asciiTheme="majorHAnsi" w:hAnsiTheme="majorHAnsi" w:cs="Times New Roman"/>
          <w:u w:val="single"/>
        </w:rPr>
      </w:pPr>
      <w:r w:rsidRPr="00473EE5">
        <w:rPr>
          <w:rFonts w:asciiTheme="majorHAnsi" w:hAnsiTheme="majorHAnsi"/>
        </w:rPr>
        <w:t xml:space="preserve">The </w:t>
      </w:r>
      <w:r w:rsidR="005E4E28" w:rsidRPr="00473EE5">
        <w:rPr>
          <w:rFonts w:asciiTheme="majorHAnsi" w:hAnsiTheme="majorHAnsi"/>
        </w:rPr>
        <w:t>CEDAW GR No. 23</w:t>
      </w:r>
      <w:r w:rsidR="00ED7691" w:rsidRPr="00473EE5">
        <w:rPr>
          <w:rFonts w:asciiTheme="majorHAnsi" w:hAnsiTheme="majorHAnsi"/>
        </w:rPr>
        <w:t>, which</w:t>
      </w:r>
      <w:r w:rsidR="005E4E28" w:rsidRPr="00473EE5">
        <w:rPr>
          <w:rFonts w:asciiTheme="majorHAnsi" w:hAnsiTheme="majorHAnsi"/>
        </w:rPr>
        <w:t xml:space="preserve"> </w:t>
      </w:r>
      <w:r w:rsidR="007125F7" w:rsidRPr="00473EE5">
        <w:rPr>
          <w:rFonts w:asciiTheme="majorHAnsi" w:hAnsiTheme="majorHAnsi"/>
        </w:rPr>
        <w:t>asks</w:t>
      </w:r>
      <w:r w:rsidR="005E4E28" w:rsidRPr="00473EE5">
        <w:rPr>
          <w:rFonts w:asciiTheme="majorHAnsi" w:hAnsiTheme="majorHAnsi"/>
        </w:rPr>
        <w:t xml:space="preserve"> states to collect data on women’s representation in the foreign service or international representation (including government delegations to conferences or nominations for peacekeeping</w:t>
      </w:r>
      <w:r w:rsidR="006E35CE" w:rsidRPr="00473EE5">
        <w:rPr>
          <w:rFonts w:asciiTheme="majorHAnsi" w:hAnsiTheme="majorHAnsi"/>
        </w:rPr>
        <w:t>/</w:t>
      </w:r>
      <w:r w:rsidR="005E4E28" w:rsidRPr="00473EE5">
        <w:rPr>
          <w:rFonts w:asciiTheme="majorHAnsi" w:hAnsiTheme="majorHAnsi"/>
        </w:rPr>
        <w:t xml:space="preserve"> conflict resolution roles) and seniority in the relevant sector. </w:t>
      </w:r>
    </w:p>
    <w:p w14:paraId="32C67924" w14:textId="1C4746E4" w:rsidR="005A1CE7" w:rsidRPr="00473EE5" w:rsidRDefault="005E4E28" w:rsidP="00B55114">
      <w:pPr>
        <w:pStyle w:val="ListParagraph"/>
        <w:numPr>
          <w:ilvl w:val="0"/>
          <w:numId w:val="21"/>
        </w:numPr>
        <w:spacing w:line="360" w:lineRule="auto"/>
        <w:jc w:val="both"/>
        <w:rPr>
          <w:rFonts w:asciiTheme="majorHAnsi" w:hAnsiTheme="majorHAnsi" w:cs="Times New Roman"/>
          <w:u w:val="single"/>
        </w:rPr>
      </w:pPr>
      <w:r w:rsidRPr="00473EE5">
        <w:rPr>
          <w:rFonts w:asciiTheme="majorHAnsi" w:hAnsiTheme="majorHAnsi"/>
        </w:rPr>
        <w:t>The ICCPR GC No. 28</w:t>
      </w:r>
      <w:r w:rsidR="00ED7691" w:rsidRPr="00473EE5">
        <w:rPr>
          <w:rFonts w:asciiTheme="majorHAnsi" w:hAnsiTheme="majorHAnsi"/>
        </w:rPr>
        <w:t>, which</w:t>
      </w:r>
      <w:r w:rsidRPr="00473EE5">
        <w:rPr>
          <w:rFonts w:asciiTheme="majorHAnsi" w:hAnsiTheme="majorHAnsi"/>
        </w:rPr>
        <w:t xml:space="preserve"> </w:t>
      </w:r>
      <w:r w:rsidR="00BB0CEB" w:rsidRPr="00473EE5">
        <w:rPr>
          <w:rFonts w:asciiTheme="majorHAnsi" w:hAnsiTheme="majorHAnsi"/>
        </w:rPr>
        <w:t>asks states</w:t>
      </w:r>
      <w:r w:rsidRPr="00473EE5">
        <w:rPr>
          <w:rFonts w:asciiTheme="majorHAnsi" w:hAnsiTheme="majorHAnsi"/>
        </w:rPr>
        <w:t xml:space="preserve"> to provide statistic</w:t>
      </w:r>
      <w:r w:rsidR="00BB0CEB" w:rsidRPr="00473EE5">
        <w:rPr>
          <w:rFonts w:asciiTheme="majorHAnsi" w:hAnsiTheme="majorHAnsi"/>
        </w:rPr>
        <w:t>s</w:t>
      </w:r>
      <w:r w:rsidRPr="00473EE5">
        <w:rPr>
          <w:rFonts w:asciiTheme="majorHAnsi" w:hAnsiTheme="majorHAnsi"/>
        </w:rPr>
        <w:t xml:space="preserve"> on women in publicly elected office, including the legislature, civil service and the judiciary.</w:t>
      </w:r>
      <w:r w:rsidR="00A34B66" w:rsidRPr="00473EE5">
        <w:rPr>
          <w:rFonts w:asciiTheme="majorHAnsi" w:hAnsiTheme="majorHAnsi" w:cs="Times New Roman"/>
        </w:rPr>
        <w:t xml:space="preserve"> </w:t>
      </w:r>
    </w:p>
    <w:p w14:paraId="777743CD" w14:textId="77777777" w:rsidR="0054600C" w:rsidRPr="00473EE5" w:rsidRDefault="0054600C" w:rsidP="0054600C">
      <w:pPr>
        <w:jc w:val="both"/>
        <w:rPr>
          <w:rFonts w:asciiTheme="majorHAnsi" w:hAnsiTheme="majorHAnsi" w:cs="Times New Roman"/>
          <w:u w:val="single"/>
        </w:rPr>
      </w:pPr>
    </w:p>
    <w:p w14:paraId="5F28B476" w14:textId="28CD122C" w:rsidR="000F5A4E" w:rsidRPr="00473EE5" w:rsidRDefault="00FA7CB0" w:rsidP="00785539">
      <w:pPr>
        <w:pStyle w:val="ListParagraph"/>
        <w:numPr>
          <w:ilvl w:val="1"/>
          <w:numId w:val="2"/>
        </w:numPr>
        <w:spacing w:line="360" w:lineRule="auto"/>
        <w:jc w:val="both"/>
        <w:rPr>
          <w:rFonts w:asciiTheme="majorHAnsi" w:hAnsiTheme="majorHAnsi" w:cs="Times New Roman"/>
          <w:u w:val="single"/>
        </w:rPr>
      </w:pPr>
      <w:r w:rsidRPr="00473EE5">
        <w:rPr>
          <w:rFonts w:asciiTheme="majorHAnsi" w:hAnsiTheme="majorHAnsi" w:cs="Times New Roman"/>
        </w:rPr>
        <w:t xml:space="preserve">By urging the </w:t>
      </w:r>
      <w:r w:rsidR="003B318B" w:rsidRPr="00473EE5">
        <w:rPr>
          <w:rFonts w:asciiTheme="majorHAnsi" w:hAnsiTheme="majorHAnsi" w:cs="Times New Roman"/>
          <w:b/>
          <w:color w:val="4F81BD" w:themeColor="accent1"/>
        </w:rPr>
        <w:t>S</w:t>
      </w:r>
      <w:r w:rsidR="00B03662" w:rsidRPr="00473EE5">
        <w:rPr>
          <w:rFonts w:asciiTheme="majorHAnsi" w:hAnsiTheme="majorHAnsi" w:cs="Times New Roman"/>
          <w:b/>
          <w:color w:val="4F81BD" w:themeColor="accent1"/>
        </w:rPr>
        <w:t>ecretary-</w:t>
      </w:r>
      <w:r w:rsidR="003B318B" w:rsidRPr="00473EE5">
        <w:rPr>
          <w:rFonts w:asciiTheme="majorHAnsi" w:hAnsiTheme="majorHAnsi" w:cs="Times New Roman"/>
          <w:b/>
          <w:color w:val="4F81BD" w:themeColor="accent1"/>
        </w:rPr>
        <w:t>G</w:t>
      </w:r>
      <w:r w:rsidR="00B03662" w:rsidRPr="00473EE5">
        <w:rPr>
          <w:rFonts w:asciiTheme="majorHAnsi" w:hAnsiTheme="majorHAnsi" w:cs="Times New Roman"/>
          <w:b/>
          <w:color w:val="4F81BD" w:themeColor="accent1"/>
        </w:rPr>
        <w:t>eneral</w:t>
      </w:r>
      <w:r w:rsidRPr="00473EE5">
        <w:rPr>
          <w:rFonts w:asciiTheme="majorHAnsi" w:hAnsiTheme="majorHAnsi" w:cs="Times New Roman"/>
        </w:rPr>
        <w:t xml:space="preserve"> </w:t>
      </w:r>
      <w:r w:rsidR="0054600C" w:rsidRPr="00473EE5">
        <w:rPr>
          <w:rFonts w:asciiTheme="majorHAnsi" w:hAnsiTheme="majorHAnsi" w:cs="Times New Roman"/>
        </w:rPr>
        <w:t xml:space="preserve">to </w:t>
      </w:r>
      <w:r w:rsidR="00F108EB" w:rsidRPr="00473EE5">
        <w:rPr>
          <w:rFonts w:asciiTheme="majorHAnsi" w:hAnsiTheme="majorHAnsi" w:cs="Times New Roman"/>
        </w:rPr>
        <w:t>appoint more female</w:t>
      </w:r>
      <w:r w:rsidR="0054600C" w:rsidRPr="00473EE5">
        <w:rPr>
          <w:rFonts w:asciiTheme="majorHAnsi" w:hAnsiTheme="majorHAnsi" w:cs="Times New Roman"/>
        </w:rPr>
        <w:t xml:space="preserve"> </w:t>
      </w:r>
      <w:r w:rsidR="0054600C" w:rsidRPr="00473EE5">
        <w:rPr>
          <w:rFonts w:asciiTheme="majorHAnsi" w:hAnsiTheme="majorHAnsi" w:cs="Times New Roman"/>
          <w:b/>
          <w:color w:val="4F81BD" w:themeColor="accent1"/>
        </w:rPr>
        <w:t>special representatives</w:t>
      </w:r>
      <w:r w:rsidR="003B318B" w:rsidRPr="00473EE5">
        <w:rPr>
          <w:rFonts w:asciiTheme="majorHAnsi" w:hAnsiTheme="majorHAnsi" w:cs="Times New Roman"/>
          <w:b/>
          <w:color w:val="4F81BD" w:themeColor="accent1"/>
        </w:rPr>
        <w:t>/</w:t>
      </w:r>
      <w:r w:rsidR="0054600C" w:rsidRPr="00473EE5">
        <w:rPr>
          <w:rFonts w:asciiTheme="majorHAnsi" w:hAnsiTheme="majorHAnsi" w:cs="Times New Roman"/>
          <w:b/>
          <w:color w:val="4F81BD" w:themeColor="accent1"/>
        </w:rPr>
        <w:t>envoys</w:t>
      </w:r>
      <w:r w:rsidR="0054600C" w:rsidRPr="00473EE5">
        <w:rPr>
          <w:rFonts w:asciiTheme="majorHAnsi" w:hAnsiTheme="majorHAnsi" w:cs="Times New Roman"/>
        </w:rPr>
        <w:t xml:space="preserve">, </w:t>
      </w:r>
      <w:r w:rsidRPr="00473EE5">
        <w:rPr>
          <w:rFonts w:asciiTheme="majorHAnsi" w:hAnsiTheme="majorHAnsi" w:cs="Times New Roman"/>
        </w:rPr>
        <w:t>and asking Member States to provide women candidates, SCR 1325</w:t>
      </w:r>
      <w:r w:rsidR="006E35CE" w:rsidRPr="00473EE5">
        <w:rPr>
          <w:rFonts w:asciiTheme="majorHAnsi" w:hAnsiTheme="majorHAnsi" w:cs="Times New Roman"/>
        </w:rPr>
        <w:t xml:space="preserve"> reflects</w:t>
      </w:r>
      <w:r w:rsidR="000F5A4E" w:rsidRPr="00473EE5">
        <w:rPr>
          <w:rFonts w:asciiTheme="majorHAnsi" w:hAnsiTheme="majorHAnsi" w:cs="Times New Roman"/>
        </w:rPr>
        <w:t>:</w:t>
      </w:r>
      <w:r w:rsidR="00B42DB6" w:rsidRPr="00473EE5">
        <w:rPr>
          <w:rStyle w:val="FootnoteReference"/>
          <w:rFonts w:asciiTheme="majorHAnsi" w:hAnsiTheme="majorHAnsi" w:cs="Times New Roman"/>
        </w:rPr>
        <w:footnoteReference w:id="35"/>
      </w:r>
    </w:p>
    <w:p w14:paraId="047A89F4" w14:textId="77777777" w:rsidR="00E4120D" w:rsidRPr="00473EE5" w:rsidRDefault="00E4120D" w:rsidP="00E4120D">
      <w:pPr>
        <w:pStyle w:val="ListParagraph"/>
        <w:ind w:left="360"/>
        <w:jc w:val="both"/>
        <w:rPr>
          <w:rFonts w:asciiTheme="majorHAnsi" w:hAnsiTheme="majorHAnsi" w:cs="Times New Roman"/>
          <w:u w:val="single"/>
        </w:rPr>
      </w:pPr>
    </w:p>
    <w:p w14:paraId="30F1B416" w14:textId="7C0AA5C4" w:rsidR="0003228C" w:rsidRPr="00473EE5" w:rsidRDefault="00830126" w:rsidP="00785539">
      <w:pPr>
        <w:pStyle w:val="ListParagraph"/>
        <w:numPr>
          <w:ilvl w:val="0"/>
          <w:numId w:val="26"/>
        </w:numPr>
        <w:spacing w:line="360" w:lineRule="auto"/>
        <w:jc w:val="both"/>
        <w:rPr>
          <w:rFonts w:asciiTheme="majorHAnsi" w:hAnsiTheme="majorHAnsi" w:cs="Times New Roman"/>
          <w:u w:val="single"/>
        </w:rPr>
      </w:pPr>
      <w:r w:rsidRPr="00473EE5">
        <w:rPr>
          <w:rFonts w:asciiTheme="majorHAnsi" w:hAnsiTheme="majorHAnsi" w:cs="Times New Roman"/>
        </w:rPr>
        <w:t xml:space="preserve">Article 8 of CEDAW and </w:t>
      </w:r>
      <w:r w:rsidR="00ED7691" w:rsidRPr="00473EE5">
        <w:rPr>
          <w:rFonts w:asciiTheme="majorHAnsi" w:hAnsiTheme="majorHAnsi" w:cs="Times New Roman"/>
        </w:rPr>
        <w:t xml:space="preserve">the CEDAW </w:t>
      </w:r>
      <w:r w:rsidR="00414161" w:rsidRPr="00473EE5">
        <w:rPr>
          <w:rFonts w:asciiTheme="majorHAnsi" w:hAnsiTheme="majorHAnsi" w:cs="Times New Roman"/>
        </w:rPr>
        <w:t>GR</w:t>
      </w:r>
      <w:r w:rsidRPr="00473EE5">
        <w:rPr>
          <w:rFonts w:asciiTheme="majorHAnsi" w:hAnsiTheme="majorHAnsi" w:cs="Times New Roman"/>
        </w:rPr>
        <w:t xml:space="preserve"> No. 23, as mentioned</w:t>
      </w:r>
      <w:r w:rsidR="000A0617" w:rsidRPr="00473EE5">
        <w:rPr>
          <w:rFonts w:asciiTheme="majorHAnsi" w:hAnsiTheme="majorHAnsi" w:cs="Times New Roman"/>
        </w:rPr>
        <w:t xml:space="preserve"> above</w:t>
      </w:r>
      <w:r w:rsidR="00FA7CB0" w:rsidRPr="00473EE5">
        <w:rPr>
          <w:rFonts w:asciiTheme="majorHAnsi" w:hAnsiTheme="majorHAnsi" w:cs="Times New Roman"/>
        </w:rPr>
        <w:t xml:space="preserve"> </w:t>
      </w:r>
      <w:r w:rsidR="000F5A4E" w:rsidRPr="00473EE5">
        <w:rPr>
          <w:rFonts w:asciiTheme="majorHAnsi" w:hAnsiTheme="majorHAnsi" w:cs="Times New Roman"/>
        </w:rPr>
        <w:t>under</w:t>
      </w:r>
      <w:r w:rsidR="00FA7CB0" w:rsidRPr="00473EE5">
        <w:rPr>
          <w:rFonts w:asciiTheme="majorHAnsi" w:hAnsiTheme="majorHAnsi" w:cs="Times New Roman"/>
        </w:rPr>
        <w:t xml:space="preserve"> 1(a). </w:t>
      </w:r>
      <w:r w:rsidR="006E35CE" w:rsidRPr="00473EE5">
        <w:rPr>
          <w:rFonts w:asciiTheme="majorHAnsi" w:hAnsiTheme="majorHAnsi" w:cs="Times New Roman"/>
        </w:rPr>
        <w:t xml:space="preserve">The </w:t>
      </w:r>
      <w:r w:rsidR="00ED7691" w:rsidRPr="00473EE5">
        <w:rPr>
          <w:rFonts w:asciiTheme="majorHAnsi" w:hAnsiTheme="majorHAnsi" w:cs="Times New Roman"/>
        </w:rPr>
        <w:t xml:space="preserve">CEDAW </w:t>
      </w:r>
      <w:r w:rsidR="00116BDF" w:rsidRPr="00473EE5">
        <w:rPr>
          <w:rFonts w:asciiTheme="majorHAnsi" w:hAnsiTheme="majorHAnsi" w:cs="Times New Roman"/>
        </w:rPr>
        <w:t xml:space="preserve">GR No. 23 asks </w:t>
      </w:r>
      <w:r w:rsidR="00414161" w:rsidRPr="00473EE5">
        <w:rPr>
          <w:rFonts w:asciiTheme="majorHAnsi" w:hAnsiTheme="majorHAnsi" w:cs="Times New Roman"/>
        </w:rPr>
        <w:t>states to</w:t>
      </w:r>
      <w:r w:rsidR="00517B20" w:rsidRPr="00473EE5">
        <w:rPr>
          <w:rFonts w:asciiTheme="majorHAnsi" w:hAnsiTheme="majorHAnsi" w:cs="Times New Roman"/>
        </w:rPr>
        <w:t xml:space="preserve"> identify, implement and monitor measures to ensure a </w:t>
      </w:r>
      <w:r w:rsidR="0003228C" w:rsidRPr="00473EE5">
        <w:rPr>
          <w:rFonts w:asciiTheme="majorHAnsi" w:hAnsiTheme="majorHAnsi" w:cs="Times New Roman"/>
        </w:rPr>
        <w:t>better gender balance in all UN bodies, i</w:t>
      </w:r>
      <w:r w:rsidR="00517B20" w:rsidRPr="00473EE5">
        <w:rPr>
          <w:rFonts w:asciiTheme="majorHAnsi" w:hAnsiTheme="majorHAnsi" w:cs="Times New Roman"/>
        </w:rPr>
        <w:t>ncluding</w:t>
      </w:r>
      <w:r w:rsidR="0003228C" w:rsidRPr="00473EE5">
        <w:rPr>
          <w:rFonts w:asciiTheme="majorHAnsi" w:hAnsiTheme="majorHAnsi" w:cs="Times New Roman"/>
        </w:rPr>
        <w:t xml:space="preserve"> committees, expert bodies and </w:t>
      </w:r>
      <w:r w:rsidR="00517B20" w:rsidRPr="00473EE5">
        <w:rPr>
          <w:rFonts w:asciiTheme="majorHAnsi" w:hAnsiTheme="majorHAnsi" w:cs="Times New Roman"/>
        </w:rPr>
        <w:t xml:space="preserve">treaty bodies, and appointments to independent working groups or as country and special rapporteurs. </w:t>
      </w:r>
    </w:p>
    <w:p w14:paraId="178E44B3" w14:textId="1B8B9CC7" w:rsidR="007E1E7A" w:rsidRPr="00473EE5" w:rsidRDefault="007E1E7A" w:rsidP="00785539">
      <w:pPr>
        <w:pStyle w:val="ListParagraph"/>
        <w:numPr>
          <w:ilvl w:val="0"/>
          <w:numId w:val="26"/>
        </w:numPr>
        <w:spacing w:line="360" w:lineRule="auto"/>
        <w:jc w:val="both"/>
        <w:rPr>
          <w:rFonts w:asciiTheme="majorHAnsi" w:hAnsiTheme="majorHAnsi" w:cs="Times New Roman"/>
          <w:u w:val="single"/>
        </w:rPr>
      </w:pPr>
      <w:r w:rsidRPr="00473EE5">
        <w:rPr>
          <w:rFonts w:asciiTheme="majorHAnsi" w:hAnsiTheme="majorHAnsi" w:cs="Times New Roman"/>
        </w:rPr>
        <w:t>Article 8 of the UN Charter</w:t>
      </w:r>
      <w:r w:rsidR="00ED7691" w:rsidRPr="00473EE5">
        <w:rPr>
          <w:rFonts w:asciiTheme="majorHAnsi" w:hAnsiTheme="majorHAnsi" w:cs="Times New Roman"/>
        </w:rPr>
        <w:t>, which</w:t>
      </w:r>
      <w:r w:rsidRPr="00473EE5">
        <w:rPr>
          <w:rFonts w:asciiTheme="majorHAnsi" w:hAnsiTheme="majorHAnsi" w:cs="Times New Roman"/>
        </w:rPr>
        <w:t xml:space="preserve"> states the UN cannot place any restrictions on the eligibility of men and women to participate in any capacity and under conditions of equality in its principal and subsidiary organs. </w:t>
      </w:r>
    </w:p>
    <w:p w14:paraId="43967441" w14:textId="77777777" w:rsidR="0003228C" w:rsidRPr="00473EE5" w:rsidRDefault="0003228C" w:rsidP="0054600C">
      <w:pPr>
        <w:jc w:val="both"/>
        <w:rPr>
          <w:rFonts w:asciiTheme="majorHAnsi" w:hAnsiTheme="majorHAnsi" w:cs="Times New Roman"/>
          <w:u w:val="single"/>
        </w:rPr>
      </w:pPr>
    </w:p>
    <w:p w14:paraId="1869A065" w14:textId="77777777" w:rsidR="000F5A4E" w:rsidRPr="00473EE5" w:rsidRDefault="0054600C" w:rsidP="00785539">
      <w:pPr>
        <w:pStyle w:val="ListParagraph"/>
        <w:numPr>
          <w:ilvl w:val="1"/>
          <w:numId w:val="2"/>
        </w:numPr>
        <w:spacing w:line="360" w:lineRule="auto"/>
        <w:jc w:val="both"/>
        <w:rPr>
          <w:rFonts w:asciiTheme="majorHAnsi" w:hAnsiTheme="majorHAnsi" w:cs="Times New Roman"/>
          <w:u w:val="single"/>
        </w:rPr>
      </w:pPr>
      <w:r w:rsidRPr="00473EE5">
        <w:rPr>
          <w:rFonts w:asciiTheme="majorHAnsi" w:hAnsiTheme="majorHAnsi" w:cs="Times New Roman"/>
        </w:rPr>
        <w:t xml:space="preserve">SCR 1325 </w:t>
      </w:r>
      <w:r w:rsidR="003B318B" w:rsidRPr="00473EE5">
        <w:rPr>
          <w:rFonts w:asciiTheme="majorHAnsi" w:hAnsiTheme="majorHAnsi" w:cs="Times New Roman"/>
        </w:rPr>
        <w:t xml:space="preserve">also </w:t>
      </w:r>
      <w:r w:rsidR="00633386" w:rsidRPr="00473EE5">
        <w:rPr>
          <w:rFonts w:asciiTheme="majorHAnsi" w:hAnsiTheme="majorHAnsi" w:cs="Times New Roman"/>
        </w:rPr>
        <w:t xml:space="preserve">urges the </w:t>
      </w:r>
      <w:r w:rsidR="003B318B" w:rsidRPr="00473EE5">
        <w:rPr>
          <w:rFonts w:asciiTheme="majorHAnsi" w:hAnsiTheme="majorHAnsi" w:cs="Times New Roman"/>
        </w:rPr>
        <w:t>S</w:t>
      </w:r>
      <w:r w:rsidR="00B03662" w:rsidRPr="00473EE5">
        <w:rPr>
          <w:rFonts w:asciiTheme="majorHAnsi" w:hAnsiTheme="majorHAnsi" w:cs="Times New Roman"/>
        </w:rPr>
        <w:t>ecretary-</w:t>
      </w:r>
      <w:r w:rsidR="003B318B" w:rsidRPr="00473EE5">
        <w:rPr>
          <w:rFonts w:asciiTheme="majorHAnsi" w:hAnsiTheme="majorHAnsi" w:cs="Times New Roman"/>
        </w:rPr>
        <w:t>G</w:t>
      </w:r>
      <w:r w:rsidR="00B03662" w:rsidRPr="00473EE5">
        <w:rPr>
          <w:rFonts w:asciiTheme="majorHAnsi" w:hAnsiTheme="majorHAnsi" w:cs="Times New Roman"/>
        </w:rPr>
        <w:t>eneral</w:t>
      </w:r>
      <w:r w:rsidR="00633386" w:rsidRPr="00473EE5">
        <w:rPr>
          <w:rFonts w:asciiTheme="majorHAnsi" w:hAnsiTheme="majorHAnsi" w:cs="Times New Roman"/>
        </w:rPr>
        <w:t xml:space="preserve"> to </w:t>
      </w:r>
      <w:r w:rsidR="00633386" w:rsidRPr="00473EE5">
        <w:rPr>
          <w:rFonts w:asciiTheme="majorHAnsi" w:hAnsiTheme="majorHAnsi" w:cs="Times New Roman"/>
          <w:b/>
          <w:color w:val="4F81BD" w:themeColor="accent1"/>
        </w:rPr>
        <w:t>expand women’s role and contribution in UN field-based</w:t>
      </w:r>
      <w:r w:rsidR="00633386" w:rsidRPr="00473EE5">
        <w:rPr>
          <w:rFonts w:asciiTheme="majorHAnsi" w:hAnsiTheme="majorHAnsi" w:cs="Times New Roman"/>
        </w:rPr>
        <w:t xml:space="preserve"> operations, especially among military observers, civilian police, human rights and humanitarian personnel, and expresses </w:t>
      </w:r>
      <w:r w:rsidR="00B03662" w:rsidRPr="00473EE5">
        <w:rPr>
          <w:rFonts w:asciiTheme="majorHAnsi" w:hAnsiTheme="majorHAnsi" w:cs="Times New Roman"/>
        </w:rPr>
        <w:t>the Council’s</w:t>
      </w:r>
      <w:r w:rsidR="00633386" w:rsidRPr="00473EE5">
        <w:rPr>
          <w:rFonts w:asciiTheme="majorHAnsi" w:hAnsiTheme="majorHAnsi" w:cs="Times New Roman"/>
        </w:rPr>
        <w:t xml:space="preserve"> willingness to incorporate a gender perspective, urging the Secretary-General to include a gender p</w:t>
      </w:r>
      <w:r w:rsidR="005E4E28" w:rsidRPr="00473EE5">
        <w:rPr>
          <w:rFonts w:asciiTheme="majorHAnsi" w:hAnsiTheme="majorHAnsi" w:cs="Times New Roman"/>
        </w:rPr>
        <w:t>erspective in field operations, where appropriate</w:t>
      </w:r>
      <w:r w:rsidR="00633386" w:rsidRPr="00473EE5">
        <w:rPr>
          <w:rFonts w:asciiTheme="majorHAnsi" w:hAnsiTheme="majorHAnsi" w:cs="Times New Roman"/>
        </w:rPr>
        <w:t xml:space="preserve">. </w:t>
      </w:r>
      <w:r w:rsidR="00633386" w:rsidRPr="00473EE5">
        <w:rPr>
          <w:rStyle w:val="FootnoteReference"/>
          <w:rFonts w:asciiTheme="majorHAnsi" w:hAnsiTheme="majorHAnsi" w:cs="Times New Roman"/>
        </w:rPr>
        <w:footnoteReference w:id="36"/>
      </w:r>
      <w:r w:rsidR="00DF6CBA" w:rsidRPr="00473EE5">
        <w:rPr>
          <w:rFonts w:asciiTheme="majorHAnsi" w:hAnsiTheme="majorHAnsi" w:cs="Times New Roman"/>
        </w:rPr>
        <w:t xml:space="preserve"> </w:t>
      </w:r>
    </w:p>
    <w:p w14:paraId="6C0B0452" w14:textId="77777777" w:rsidR="00E4120D" w:rsidRPr="00473EE5" w:rsidRDefault="00E4120D" w:rsidP="00E4120D">
      <w:pPr>
        <w:pStyle w:val="ListParagraph"/>
        <w:ind w:left="360"/>
        <w:jc w:val="both"/>
        <w:rPr>
          <w:rFonts w:asciiTheme="majorHAnsi" w:hAnsiTheme="majorHAnsi" w:cs="Times New Roman"/>
          <w:u w:val="single"/>
        </w:rPr>
      </w:pPr>
    </w:p>
    <w:p w14:paraId="765BE4C5" w14:textId="2A342EB7" w:rsidR="0054600C" w:rsidRPr="00473EE5" w:rsidRDefault="00DF6CBA" w:rsidP="00785539">
      <w:pPr>
        <w:pStyle w:val="ListParagraph"/>
        <w:numPr>
          <w:ilvl w:val="0"/>
          <w:numId w:val="27"/>
        </w:numPr>
        <w:spacing w:line="360" w:lineRule="auto"/>
        <w:jc w:val="both"/>
        <w:rPr>
          <w:rFonts w:asciiTheme="majorHAnsi" w:hAnsiTheme="majorHAnsi" w:cs="Times New Roman"/>
          <w:u w:val="single"/>
        </w:rPr>
      </w:pPr>
      <w:r w:rsidRPr="00473EE5">
        <w:rPr>
          <w:rFonts w:asciiTheme="majorHAnsi" w:hAnsiTheme="majorHAnsi" w:cs="Times New Roman"/>
        </w:rPr>
        <w:t xml:space="preserve">CEDAW </w:t>
      </w:r>
      <w:r w:rsidR="00F3615E" w:rsidRPr="00473EE5">
        <w:rPr>
          <w:rFonts w:asciiTheme="majorHAnsi" w:hAnsiTheme="majorHAnsi" w:cs="Times New Roman"/>
        </w:rPr>
        <w:t>extends</w:t>
      </w:r>
      <w:r w:rsidR="00116BDF" w:rsidRPr="00473EE5">
        <w:rPr>
          <w:rFonts w:asciiTheme="majorHAnsi" w:hAnsiTheme="majorHAnsi" w:cs="Times New Roman"/>
        </w:rPr>
        <w:t xml:space="preserve"> this provision,</w:t>
      </w:r>
      <w:r w:rsidRPr="00473EE5">
        <w:rPr>
          <w:rFonts w:asciiTheme="majorHAnsi" w:hAnsiTheme="majorHAnsi" w:cs="Times New Roman"/>
        </w:rPr>
        <w:t xml:space="preserve"> </w:t>
      </w:r>
      <w:r w:rsidR="005E4E28" w:rsidRPr="00473EE5">
        <w:rPr>
          <w:rFonts w:asciiTheme="majorHAnsi" w:hAnsiTheme="majorHAnsi" w:cs="Times New Roman"/>
        </w:rPr>
        <w:t>confirming</w:t>
      </w:r>
      <w:r w:rsidRPr="00473EE5">
        <w:rPr>
          <w:rFonts w:asciiTheme="majorHAnsi" w:hAnsiTheme="majorHAnsi" w:cs="Times New Roman"/>
        </w:rPr>
        <w:t xml:space="preserve"> </w:t>
      </w:r>
      <w:r w:rsidR="00116BDF" w:rsidRPr="00473EE5">
        <w:rPr>
          <w:rFonts w:asciiTheme="majorHAnsi" w:hAnsiTheme="majorHAnsi" w:cs="Times New Roman"/>
        </w:rPr>
        <w:t xml:space="preserve">a gender perspective as </w:t>
      </w:r>
      <w:r w:rsidRPr="00473EE5">
        <w:rPr>
          <w:rFonts w:asciiTheme="majorHAnsi" w:hAnsiTheme="majorHAnsi" w:cs="Times New Roman"/>
        </w:rPr>
        <w:t xml:space="preserve">mandatory and not optional. </w:t>
      </w:r>
      <w:r w:rsidR="00A27E5A" w:rsidRPr="00473EE5">
        <w:rPr>
          <w:rFonts w:asciiTheme="majorHAnsi" w:hAnsiTheme="majorHAnsi" w:cs="Times New Roman"/>
        </w:rPr>
        <w:t xml:space="preserve">As the CEDAW </w:t>
      </w:r>
      <w:r w:rsidR="00DB3942" w:rsidRPr="00473EE5">
        <w:rPr>
          <w:rFonts w:asciiTheme="majorHAnsi" w:hAnsiTheme="majorHAnsi" w:cs="Times New Roman"/>
        </w:rPr>
        <w:t>Committee observes in</w:t>
      </w:r>
      <w:r w:rsidR="00ED7691" w:rsidRPr="00473EE5">
        <w:rPr>
          <w:rFonts w:asciiTheme="majorHAnsi" w:hAnsiTheme="majorHAnsi" w:cs="Times New Roman"/>
        </w:rPr>
        <w:t xml:space="preserve"> its</w:t>
      </w:r>
      <w:r w:rsidR="00DB3942" w:rsidRPr="00473EE5">
        <w:rPr>
          <w:rFonts w:asciiTheme="majorHAnsi" w:hAnsiTheme="majorHAnsi" w:cs="Times New Roman"/>
        </w:rPr>
        <w:t xml:space="preserve"> GR No. 23</w:t>
      </w:r>
      <w:r w:rsidR="00A27E5A" w:rsidRPr="00473EE5">
        <w:rPr>
          <w:rFonts w:asciiTheme="majorHAnsi" w:hAnsiTheme="majorHAnsi" w:cs="Times New Roman"/>
        </w:rPr>
        <w:t xml:space="preserve"> and reiterates in GR No. 30, “the inclusion of a critical mass of women in international negotiations, peacekeeping activities, all levels of preventive diplomacy, mediation, humanitarian assistance, social reconciliation, peace negotiations and the international criminal justice system will make a difference. In addressing armed or other conflicts, a gender perspective and analysis is </w:t>
      </w:r>
      <w:r w:rsidR="00A27E5A" w:rsidRPr="00473EE5">
        <w:rPr>
          <w:rFonts w:asciiTheme="majorHAnsi" w:hAnsiTheme="majorHAnsi" w:cs="Times New Roman"/>
          <w:b/>
          <w:i/>
          <w:color w:val="4F81BD" w:themeColor="accent1"/>
        </w:rPr>
        <w:t>necessary</w:t>
      </w:r>
      <w:r w:rsidR="00A27E5A" w:rsidRPr="00473EE5">
        <w:rPr>
          <w:rFonts w:asciiTheme="majorHAnsi" w:hAnsiTheme="majorHAnsi" w:cs="Times New Roman"/>
          <w:b/>
          <w:i/>
        </w:rPr>
        <w:t xml:space="preserve"> </w:t>
      </w:r>
      <w:r w:rsidR="00A27E5A" w:rsidRPr="00473EE5">
        <w:rPr>
          <w:rFonts w:asciiTheme="majorHAnsi" w:hAnsiTheme="majorHAnsi" w:cs="Times New Roman"/>
        </w:rPr>
        <w:t>to understanding their differing effects on women and men”</w:t>
      </w:r>
      <w:r w:rsidR="00DB3942" w:rsidRPr="00473EE5">
        <w:rPr>
          <w:rFonts w:asciiTheme="majorHAnsi" w:hAnsiTheme="majorHAnsi" w:cs="Times New Roman"/>
        </w:rPr>
        <w:t xml:space="preserve"> (emphasis added)</w:t>
      </w:r>
      <w:r w:rsidR="00A27E5A" w:rsidRPr="00473EE5">
        <w:rPr>
          <w:rFonts w:asciiTheme="majorHAnsi" w:hAnsiTheme="majorHAnsi" w:cs="Times New Roman"/>
        </w:rPr>
        <w:t>.</w:t>
      </w:r>
      <w:r w:rsidR="00A27E5A" w:rsidRPr="00473EE5">
        <w:rPr>
          <w:rStyle w:val="FootnoteReference"/>
          <w:rFonts w:asciiTheme="majorHAnsi" w:hAnsiTheme="majorHAnsi" w:cs="Times New Roman"/>
        </w:rPr>
        <w:t xml:space="preserve"> </w:t>
      </w:r>
    </w:p>
    <w:p w14:paraId="77789581" w14:textId="77777777" w:rsidR="00A27E5A" w:rsidRPr="00473EE5" w:rsidRDefault="00A27E5A" w:rsidP="00A27E5A">
      <w:pPr>
        <w:jc w:val="both"/>
        <w:rPr>
          <w:rFonts w:asciiTheme="majorHAnsi" w:hAnsiTheme="majorHAnsi" w:cs="Times New Roman"/>
          <w:u w:val="single"/>
        </w:rPr>
      </w:pPr>
    </w:p>
    <w:p w14:paraId="4849EE39" w14:textId="2A4AD9E2" w:rsidR="000F5A4E" w:rsidRPr="00473EE5" w:rsidRDefault="00A27E5A" w:rsidP="00785539">
      <w:pPr>
        <w:pStyle w:val="ListParagraph"/>
        <w:numPr>
          <w:ilvl w:val="1"/>
          <w:numId w:val="2"/>
        </w:numPr>
        <w:spacing w:line="360" w:lineRule="auto"/>
        <w:jc w:val="both"/>
        <w:rPr>
          <w:rFonts w:asciiTheme="majorHAnsi" w:hAnsiTheme="majorHAnsi" w:cs="Times New Roman"/>
          <w:u w:val="single"/>
        </w:rPr>
      </w:pPr>
      <w:r w:rsidRPr="00473EE5">
        <w:rPr>
          <w:rFonts w:asciiTheme="majorHAnsi" w:hAnsiTheme="majorHAnsi" w:cs="Times New Roman"/>
        </w:rPr>
        <w:t xml:space="preserve">By calling on all involved in </w:t>
      </w:r>
      <w:r w:rsidRPr="00473EE5">
        <w:rPr>
          <w:rFonts w:asciiTheme="majorHAnsi" w:hAnsiTheme="majorHAnsi" w:cs="Times New Roman"/>
          <w:b/>
          <w:color w:val="4F81BD" w:themeColor="accent1"/>
        </w:rPr>
        <w:t xml:space="preserve">negotiating and </w:t>
      </w:r>
      <w:r w:rsidR="003B318B" w:rsidRPr="00473EE5">
        <w:rPr>
          <w:rFonts w:asciiTheme="majorHAnsi" w:hAnsiTheme="majorHAnsi" w:cs="Times New Roman"/>
          <w:b/>
          <w:color w:val="4F81BD" w:themeColor="accent1"/>
        </w:rPr>
        <w:t xml:space="preserve">enforcing </w:t>
      </w:r>
      <w:r w:rsidR="00F65876" w:rsidRPr="00473EE5">
        <w:rPr>
          <w:rFonts w:asciiTheme="majorHAnsi" w:hAnsiTheme="majorHAnsi" w:cs="Times New Roman"/>
          <w:b/>
          <w:color w:val="4F81BD" w:themeColor="accent1"/>
        </w:rPr>
        <w:t>peace agreements to adopt a gender</w:t>
      </w:r>
      <w:r w:rsidR="00F65876" w:rsidRPr="00473EE5">
        <w:rPr>
          <w:rFonts w:asciiTheme="majorHAnsi" w:hAnsiTheme="majorHAnsi" w:cs="Times New Roman"/>
          <w:color w:val="4F81BD" w:themeColor="accent1"/>
        </w:rPr>
        <w:t xml:space="preserve"> </w:t>
      </w:r>
      <w:r w:rsidR="00F65876" w:rsidRPr="00473EE5">
        <w:rPr>
          <w:rFonts w:asciiTheme="majorHAnsi" w:hAnsiTheme="majorHAnsi" w:cs="Times New Roman"/>
          <w:b/>
          <w:color w:val="4F81BD" w:themeColor="accent1"/>
        </w:rPr>
        <w:t>perspective</w:t>
      </w:r>
      <w:r w:rsidR="00F65876" w:rsidRPr="00473EE5">
        <w:rPr>
          <w:rFonts w:asciiTheme="majorHAnsi" w:hAnsiTheme="majorHAnsi" w:cs="Times New Roman"/>
        </w:rPr>
        <w:t xml:space="preserve">, including measures that support local women’s peace initiatives and indigenous processes for conflict resolution, and that involve women in </w:t>
      </w:r>
      <w:r w:rsidR="004D3EBC" w:rsidRPr="00473EE5">
        <w:rPr>
          <w:rFonts w:asciiTheme="majorHAnsi" w:hAnsiTheme="majorHAnsi" w:cs="Times New Roman"/>
        </w:rPr>
        <w:t>implementing</w:t>
      </w:r>
      <w:r w:rsidR="00F65876" w:rsidRPr="00473EE5">
        <w:rPr>
          <w:rFonts w:asciiTheme="majorHAnsi" w:hAnsiTheme="majorHAnsi" w:cs="Times New Roman"/>
        </w:rPr>
        <w:t xml:space="preserve"> peace agreements, SCR 1325 </w:t>
      </w:r>
      <w:r w:rsidR="00DD65C7" w:rsidRPr="00473EE5">
        <w:rPr>
          <w:rFonts w:asciiTheme="majorHAnsi" w:hAnsiTheme="majorHAnsi" w:cs="Times New Roman"/>
        </w:rPr>
        <w:t>reflects:</w:t>
      </w:r>
      <w:r w:rsidR="006E35CE" w:rsidRPr="00473EE5">
        <w:rPr>
          <w:rStyle w:val="FootnoteReference"/>
          <w:rFonts w:asciiTheme="majorHAnsi" w:hAnsiTheme="majorHAnsi" w:cs="Times New Roman"/>
        </w:rPr>
        <w:footnoteReference w:id="37"/>
      </w:r>
    </w:p>
    <w:p w14:paraId="7DB19DD8" w14:textId="77777777" w:rsidR="00E4120D" w:rsidRPr="00473EE5" w:rsidRDefault="00E4120D" w:rsidP="00E4120D">
      <w:pPr>
        <w:pStyle w:val="ListParagraph"/>
        <w:ind w:left="360"/>
        <w:jc w:val="both"/>
        <w:rPr>
          <w:rFonts w:asciiTheme="majorHAnsi" w:hAnsiTheme="majorHAnsi" w:cs="Times New Roman"/>
          <w:u w:val="single"/>
        </w:rPr>
      </w:pPr>
    </w:p>
    <w:p w14:paraId="1A3CF9A1" w14:textId="03B8F36C" w:rsidR="000F5A4E" w:rsidRPr="00473EE5" w:rsidRDefault="00DD65C7" w:rsidP="00785539">
      <w:pPr>
        <w:pStyle w:val="ListParagraph"/>
        <w:numPr>
          <w:ilvl w:val="0"/>
          <w:numId w:val="22"/>
        </w:numPr>
        <w:spacing w:line="360" w:lineRule="auto"/>
        <w:jc w:val="both"/>
        <w:rPr>
          <w:rFonts w:asciiTheme="majorHAnsi" w:hAnsiTheme="majorHAnsi" w:cs="Times New Roman"/>
          <w:u w:val="single"/>
        </w:rPr>
      </w:pPr>
      <w:r w:rsidRPr="00473EE5">
        <w:rPr>
          <w:rFonts w:asciiTheme="majorHAnsi" w:hAnsiTheme="majorHAnsi" w:cs="Times New Roman"/>
        </w:rPr>
        <w:lastRenderedPageBreak/>
        <w:t xml:space="preserve">Articles 7 and 8 of CEDAW. </w:t>
      </w:r>
      <w:r w:rsidR="00F068BF" w:rsidRPr="00473EE5">
        <w:rPr>
          <w:rFonts w:asciiTheme="majorHAnsi" w:hAnsiTheme="majorHAnsi" w:cs="Times New Roman"/>
        </w:rPr>
        <w:t>The SCR 1325</w:t>
      </w:r>
      <w:r w:rsidR="001369EE" w:rsidRPr="00473EE5">
        <w:rPr>
          <w:rFonts w:asciiTheme="majorHAnsi" w:hAnsiTheme="majorHAnsi" w:cs="Times New Roman"/>
        </w:rPr>
        <w:t xml:space="preserve"> also </w:t>
      </w:r>
      <w:r w:rsidR="00F65876" w:rsidRPr="00473EE5">
        <w:rPr>
          <w:rFonts w:asciiTheme="majorHAnsi" w:hAnsiTheme="majorHAnsi" w:cs="Times New Roman"/>
        </w:rPr>
        <w:t xml:space="preserve">reflects </w:t>
      </w:r>
      <w:r w:rsidR="004F1CA3" w:rsidRPr="00473EE5">
        <w:rPr>
          <w:rFonts w:asciiTheme="majorHAnsi" w:hAnsiTheme="majorHAnsi" w:cs="Times New Roman"/>
        </w:rPr>
        <w:t xml:space="preserve">the language of </w:t>
      </w:r>
      <w:r w:rsidR="00F65876" w:rsidRPr="00473EE5">
        <w:rPr>
          <w:rFonts w:asciiTheme="majorHAnsi" w:hAnsiTheme="majorHAnsi" w:cs="Times New Roman"/>
        </w:rPr>
        <w:t>CEDAW</w:t>
      </w:r>
      <w:r w:rsidR="005E4E28" w:rsidRPr="00473EE5">
        <w:rPr>
          <w:rFonts w:asciiTheme="majorHAnsi" w:hAnsiTheme="majorHAnsi" w:cs="Times New Roman"/>
        </w:rPr>
        <w:t xml:space="preserve"> </w:t>
      </w:r>
      <w:r w:rsidR="00F65876" w:rsidRPr="00473EE5">
        <w:rPr>
          <w:rFonts w:asciiTheme="majorHAnsi" w:hAnsiTheme="majorHAnsi" w:cs="Times New Roman"/>
        </w:rPr>
        <w:t>GR No. 30</w:t>
      </w:r>
      <w:r w:rsidR="008F77DB" w:rsidRPr="00473EE5">
        <w:rPr>
          <w:rFonts w:asciiTheme="majorHAnsi" w:hAnsiTheme="majorHAnsi" w:cs="Times New Roman"/>
        </w:rPr>
        <w:t>, which</w:t>
      </w:r>
      <w:r w:rsidR="004F1CA3" w:rsidRPr="00473EE5">
        <w:rPr>
          <w:rFonts w:asciiTheme="majorHAnsi" w:hAnsiTheme="majorHAnsi" w:cs="Times New Roman"/>
        </w:rPr>
        <w:t xml:space="preserve"> extends these protections by</w:t>
      </w:r>
      <w:r w:rsidR="004D3EBC" w:rsidRPr="00473EE5">
        <w:rPr>
          <w:rFonts w:asciiTheme="majorHAnsi" w:hAnsiTheme="majorHAnsi" w:cs="Times New Roman"/>
        </w:rPr>
        <w:t xml:space="preserve"> requiring states to build women’s capacity </w:t>
      </w:r>
      <w:r w:rsidR="00B03662" w:rsidRPr="00473EE5">
        <w:rPr>
          <w:rFonts w:asciiTheme="majorHAnsi" w:hAnsiTheme="majorHAnsi" w:cs="Times New Roman"/>
        </w:rPr>
        <w:t>so that they can take part in these</w:t>
      </w:r>
      <w:r w:rsidR="004D3EBC" w:rsidRPr="00473EE5">
        <w:rPr>
          <w:rFonts w:asciiTheme="majorHAnsi" w:hAnsiTheme="majorHAnsi" w:cs="Times New Roman"/>
        </w:rPr>
        <w:t xml:space="preserve"> activities. </w:t>
      </w:r>
      <w:r w:rsidR="00F068BF" w:rsidRPr="00473EE5">
        <w:rPr>
          <w:rFonts w:asciiTheme="majorHAnsi" w:hAnsiTheme="majorHAnsi" w:cs="Times New Roman"/>
        </w:rPr>
        <w:t>The CEDAW GR No. 30 asks</w:t>
      </w:r>
      <w:r w:rsidR="004F1CA3" w:rsidRPr="00473EE5">
        <w:rPr>
          <w:rFonts w:asciiTheme="majorHAnsi" w:hAnsiTheme="majorHAnsi" w:cs="Times New Roman"/>
        </w:rPr>
        <w:t xml:space="preserve"> states to</w:t>
      </w:r>
      <w:r w:rsidR="005E4E28" w:rsidRPr="00473EE5">
        <w:rPr>
          <w:rFonts w:asciiTheme="majorHAnsi" w:hAnsiTheme="majorHAnsi" w:cs="Times New Roman"/>
        </w:rPr>
        <w:t xml:space="preserve"> </w:t>
      </w:r>
      <w:r w:rsidR="004F1CA3" w:rsidRPr="00473EE5">
        <w:rPr>
          <w:rFonts w:asciiTheme="majorHAnsi" w:hAnsiTheme="majorHAnsi" w:cs="Times New Roman"/>
        </w:rPr>
        <w:t xml:space="preserve">ensure that women and </w:t>
      </w:r>
      <w:r w:rsidR="00083D64" w:rsidRPr="00473EE5">
        <w:rPr>
          <w:rFonts w:asciiTheme="majorHAnsi" w:hAnsiTheme="majorHAnsi" w:cs="Times New Roman"/>
        </w:rPr>
        <w:t>women’s</w:t>
      </w:r>
      <w:r w:rsidR="004F1CA3" w:rsidRPr="00473EE5">
        <w:rPr>
          <w:rFonts w:asciiTheme="majorHAnsi" w:hAnsiTheme="majorHAnsi" w:cs="Times New Roman"/>
        </w:rPr>
        <w:t xml:space="preserve"> or</w:t>
      </w:r>
      <w:r w:rsidR="005E4E28" w:rsidRPr="00473EE5">
        <w:rPr>
          <w:rFonts w:asciiTheme="majorHAnsi" w:hAnsiTheme="majorHAnsi" w:cs="Times New Roman"/>
        </w:rPr>
        <w:t xml:space="preserve">ganizations </w:t>
      </w:r>
      <w:r w:rsidR="004F1CA3" w:rsidRPr="00473EE5">
        <w:rPr>
          <w:rFonts w:asciiTheme="majorHAnsi" w:hAnsiTheme="majorHAnsi" w:cs="Times New Roman"/>
        </w:rPr>
        <w:t>are included equally in peace negotiations and post-conflict rebuil</w:t>
      </w:r>
      <w:r w:rsidR="005E4E28" w:rsidRPr="00473EE5">
        <w:rPr>
          <w:rFonts w:asciiTheme="majorHAnsi" w:hAnsiTheme="majorHAnsi" w:cs="Times New Roman"/>
        </w:rPr>
        <w:t>ding and reconstruction, and</w:t>
      </w:r>
      <w:r w:rsidR="004D3EBC" w:rsidRPr="00473EE5">
        <w:rPr>
          <w:rFonts w:asciiTheme="majorHAnsi" w:hAnsiTheme="majorHAnsi" w:cs="Times New Roman"/>
        </w:rPr>
        <w:t xml:space="preserve"> to</w:t>
      </w:r>
      <w:r w:rsidR="005E4E28" w:rsidRPr="00473EE5">
        <w:rPr>
          <w:rFonts w:asciiTheme="majorHAnsi" w:hAnsiTheme="majorHAnsi" w:cs="Times New Roman"/>
        </w:rPr>
        <w:t xml:space="preserve"> </w:t>
      </w:r>
      <w:r w:rsidR="004F1CA3" w:rsidRPr="00473EE5">
        <w:rPr>
          <w:rFonts w:asciiTheme="majorHAnsi" w:hAnsiTheme="majorHAnsi" w:cs="Times New Roman"/>
        </w:rPr>
        <w:t xml:space="preserve">provide leadership training </w:t>
      </w:r>
      <w:r w:rsidR="005E4E28" w:rsidRPr="00473EE5">
        <w:rPr>
          <w:rFonts w:asciiTheme="majorHAnsi" w:hAnsiTheme="majorHAnsi" w:cs="Times New Roman"/>
        </w:rPr>
        <w:t>for women’s</w:t>
      </w:r>
      <w:r w:rsidR="004F1CA3" w:rsidRPr="00473EE5">
        <w:rPr>
          <w:rFonts w:asciiTheme="majorHAnsi" w:hAnsiTheme="majorHAnsi" w:cs="Times New Roman"/>
        </w:rPr>
        <w:t xml:space="preserve"> effective participation in post-conflict</w:t>
      </w:r>
      <w:r w:rsidR="004D3EBC" w:rsidRPr="00473EE5">
        <w:rPr>
          <w:rFonts w:asciiTheme="majorHAnsi" w:hAnsiTheme="majorHAnsi" w:cs="Times New Roman"/>
        </w:rPr>
        <w:t xml:space="preserve"> processes</w:t>
      </w:r>
      <w:r w:rsidR="000F5A4E" w:rsidRPr="00473EE5">
        <w:rPr>
          <w:rFonts w:asciiTheme="majorHAnsi" w:hAnsiTheme="majorHAnsi" w:cs="Times New Roman"/>
        </w:rPr>
        <w:t>.</w:t>
      </w:r>
    </w:p>
    <w:p w14:paraId="552B6B4C" w14:textId="695F3865" w:rsidR="000F5A4E" w:rsidRPr="00473EE5" w:rsidRDefault="00DD65C7" w:rsidP="00785539">
      <w:pPr>
        <w:pStyle w:val="ListParagraph"/>
        <w:numPr>
          <w:ilvl w:val="0"/>
          <w:numId w:val="22"/>
        </w:numPr>
        <w:spacing w:line="360" w:lineRule="auto"/>
        <w:jc w:val="both"/>
        <w:rPr>
          <w:rFonts w:asciiTheme="majorHAnsi" w:hAnsiTheme="majorHAnsi" w:cs="Times New Roman"/>
          <w:u w:val="single"/>
        </w:rPr>
      </w:pPr>
      <w:r w:rsidRPr="00473EE5">
        <w:rPr>
          <w:rFonts w:asciiTheme="majorHAnsi" w:hAnsiTheme="majorHAnsi" w:cs="Times New Roman"/>
        </w:rPr>
        <w:t>The obligation under CEDAW GR No. 30 for t</w:t>
      </w:r>
      <w:r w:rsidR="00195976" w:rsidRPr="00473EE5">
        <w:rPr>
          <w:rFonts w:asciiTheme="majorHAnsi" w:hAnsiTheme="majorHAnsi" w:cs="Times New Roman"/>
        </w:rPr>
        <w:t xml:space="preserve">hird party states participating in post-conflict processes (individually or as part of international organizations) </w:t>
      </w:r>
      <w:r w:rsidR="008F77DB" w:rsidRPr="00473EE5">
        <w:rPr>
          <w:rFonts w:asciiTheme="majorHAnsi" w:hAnsiTheme="majorHAnsi" w:cs="Times New Roman"/>
        </w:rPr>
        <w:t>to</w:t>
      </w:r>
      <w:r w:rsidR="00195976" w:rsidRPr="00473EE5">
        <w:rPr>
          <w:rFonts w:asciiTheme="majorHAnsi" w:hAnsiTheme="majorHAnsi" w:cs="Times New Roman"/>
        </w:rPr>
        <w:t xml:space="preserve"> include women in negotiation and mediation as delegates, including at senior levels, and provide technical assistance to post-conflict states to promote women’s participation</w:t>
      </w:r>
      <w:r w:rsidR="005E4E28" w:rsidRPr="00473EE5">
        <w:rPr>
          <w:rFonts w:asciiTheme="majorHAnsi" w:hAnsiTheme="majorHAnsi" w:cs="Times New Roman"/>
        </w:rPr>
        <w:t>.</w:t>
      </w:r>
      <w:r w:rsidR="00F80406" w:rsidRPr="00473EE5">
        <w:rPr>
          <w:rFonts w:asciiTheme="majorHAnsi" w:hAnsiTheme="majorHAnsi" w:cs="Times New Roman"/>
        </w:rPr>
        <w:t xml:space="preserve"> </w:t>
      </w:r>
    </w:p>
    <w:p w14:paraId="79AE8127" w14:textId="2F456629" w:rsidR="00F80406" w:rsidRPr="00473EE5" w:rsidRDefault="00DD65C7" w:rsidP="00785539">
      <w:pPr>
        <w:pStyle w:val="ListParagraph"/>
        <w:numPr>
          <w:ilvl w:val="0"/>
          <w:numId w:val="22"/>
        </w:numPr>
        <w:spacing w:line="360" w:lineRule="auto"/>
        <w:jc w:val="both"/>
        <w:rPr>
          <w:rFonts w:asciiTheme="majorHAnsi" w:hAnsiTheme="majorHAnsi" w:cs="Times New Roman"/>
          <w:u w:val="single"/>
        </w:rPr>
      </w:pPr>
      <w:r w:rsidRPr="00473EE5">
        <w:rPr>
          <w:rFonts w:asciiTheme="majorHAnsi" w:hAnsiTheme="majorHAnsi" w:cs="Times New Roman"/>
        </w:rPr>
        <w:t>The</w:t>
      </w:r>
      <w:r w:rsidR="00F80406" w:rsidRPr="00473EE5">
        <w:rPr>
          <w:rFonts w:asciiTheme="majorHAnsi" w:hAnsiTheme="majorHAnsi" w:cs="Times New Roman"/>
        </w:rPr>
        <w:t xml:space="preserve"> UN Declaration on the Rights of Indigenous Peoples, which protects indigenous peoples’ right to access and prompt decision via fair and just procedures to resolve conflicts and disputes with states/other parties, and effective remedies for rights violations.</w:t>
      </w:r>
      <w:r w:rsidR="00F80406" w:rsidRPr="00473EE5">
        <w:rPr>
          <w:rStyle w:val="FootnoteReference"/>
          <w:rFonts w:asciiTheme="majorHAnsi" w:hAnsiTheme="majorHAnsi" w:cs="Times New Roman"/>
        </w:rPr>
        <w:t xml:space="preserve"> </w:t>
      </w:r>
    </w:p>
    <w:p w14:paraId="1809F6A3" w14:textId="77777777" w:rsidR="004E5EBC" w:rsidRPr="00473EE5" w:rsidRDefault="004E5EBC" w:rsidP="004E5EBC">
      <w:pPr>
        <w:jc w:val="both"/>
        <w:rPr>
          <w:rFonts w:asciiTheme="majorHAnsi" w:hAnsiTheme="majorHAnsi"/>
        </w:rPr>
      </w:pPr>
    </w:p>
    <w:p w14:paraId="526B6686" w14:textId="49E0328C" w:rsidR="00195976" w:rsidRPr="00473EE5" w:rsidRDefault="004E5EBC" w:rsidP="00671735">
      <w:pPr>
        <w:pStyle w:val="ListParagraph"/>
        <w:numPr>
          <w:ilvl w:val="0"/>
          <w:numId w:val="2"/>
        </w:numPr>
        <w:jc w:val="both"/>
        <w:rPr>
          <w:rFonts w:asciiTheme="majorHAnsi" w:hAnsiTheme="majorHAnsi" w:cs="Times New Roman"/>
          <w:b/>
          <w:color w:val="1F497D" w:themeColor="text2"/>
          <w:u w:val="single"/>
        </w:rPr>
      </w:pPr>
      <w:r w:rsidRPr="00473EE5">
        <w:rPr>
          <w:rFonts w:asciiTheme="majorHAnsi" w:hAnsiTheme="majorHAnsi" w:cs="Times New Roman"/>
          <w:b/>
          <w:color w:val="1F497D" w:themeColor="text2"/>
          <w:u w:val="single"/>
        </w:rPr>
        <w:t>Protection</w:t>
      </w:r>
    </w:p>
    <w:p w14:paraId="42845749" w14:textId="77777777" w:rsidR="00B42DB6" w:rsidRPr="00473EE5" w:rsidRDefault="00B42DB6" w:rsidP="00B42DB6">
      <w:pPr>
        <w:jc w:val="both"/>
        <w:rPr>
          <w:rFonts w:asciiTheme="majorHAnsi" w:hAnsiTheme="majorHAnsi" w:cs="Times New Roman"/>
          <w:b/>
          <w:u w:val="single"/>
        </w:rPr>
      </w:pPr>
    </w:p>
    <w:p w14:paraId="069A6836" w14:textId="35410CAA" w:rsidR="000F5A4E" w:rsidRPr="00473EE5" w:rsidRDefault="0056786F" w:rsidP="00785539">
      <w:pPr>
        <w:pStyle w:val="ListParagraph"/>
        <w:numPr>
          <w:ilvl w:val="1"/>
          <w:numId w:val="2"/>
        </w:numPr>
        <w:spacing w:line="360" w:lineRule="auto"/>
        <w:jc w:val="both"/>
        <w:rPr>
          <w:rFonts w:asciiTheme="majorHAnsi" w:hAnsiTheme="majorHAnsi"/>
        </w:rPr>
      </w:pPr>
      <w:r w:rsidRPr="00473EE5">
        <w:rPr>
          <w:rFonts w:asciiTheme="majorHAnsi" w:hAnsiTheme="majorHAnsi"/>
        </w:rPr>
        <w:t xml:space="preserve">SCR 1325 </w:t>
      </w:r>
      <w:r w:rsidR="00875FEE" w:rsidRPr="00473EE5">
        <w:rPr>
          <w:rFonts w:asciiTheme="majorHAnsi" w:hAnsiTheme="majorHAnsi"/>
        </w:rPr>
        <w:t xml:space="preserve">asks Member States to protect the </w:t>
      </w:r>
      <w:r w:rsidR="00875FEE" w:rsidRPr="00473EE5">
        <w:rPr>
          <w:rFonts w:asciiTheme="majorHAnsi" w:hAnsiTheme="majorHAnsi"/>
          <w:b/>
          <w:color w:val="4F81BD" w:themeColor="accent1"/>
        </w:rPr>
        <w:t>human rights of</w:t>
      </w:r>
      <w:r w:rsidR="004E5EBC" w:rsidRPr="00473EE5">
        <w:rPr>
          <w:rFonts w:asciiTheme="majorHAnsi" w:hAnsiTheme="majorHAnsi"/>
          <w:b/>
          <w:color w:val="4F81BD" w:themeColor="accent1"/>
        </w:rPr>
        <w:t xml:space="preserve"> women and girls</w:t>
      </w:r>
      <w:r w:rsidR="004E5EBC" w:rsidRPr="00473EE5">
        <w:rPr>
          <w:rFonts w:asciiTheme="majorHAnsi" w:hAnsiTheme="majorHAnsi"/>
          <w:b/>
        </w:rPr>
        <w:t xml:space="preserve"> </w:t>
      </w:r>
      <w:r w:rsidR="004E5EBC" w:rsidRPr="00473EE5">
        <w:rPr>
          <w:rFonts w:asciiTheme="majorHAnsi" w:hAnsiTheme="majorHAnsi"/>
        </w:rPr>
        <w:t xml:space="preserve">especially in relation to the </w:t>
      </w:r>
      <w:r w:rsidR="004E5EBC" w:rsidRPr="00473EE5">
        <w:rPr>
          <w:rFonts w:asciiTheme="majorHAnsi" w:hAnsiTheme="majorHAnsi"/>
          <w:b/>
          <w:color w:val="4F81BD" w:themeColor="accent1"/>
        </w:rPr>
        <w:t>constitution,</w:t>
      </w:r>
      <w:r w:rsidR="004E5EBC" w:rsidRPr="00473EE5">
        <w:rPr>
          <w:rFonts w:asciiTheme="majorHAnsi" w:hAnsiTheme="majorHAnsi"/>
          <w:b/>
        </w:rPr>
        <w:t xml:space="preserve"> </w:t>
      </w:r>
      <w:r w:rsidR="004E5EBC" w:rsidRPr="00473EE5">
        <w:rPr>
          <w:rFonts w:asciiTheme="majorHAnsi" w:hAnsiTheme="majorHAnsi"/>
          <w:b/>
          <w:color w:val="4F81BD" w:themeColor="accent1"/>
        </w:rPr>
        <w:t>the electoral system, the police and the judiciary</w:t>
      </w:r>
      <w:r w:rsidR="004E5EBC" w:rsidRPr="00473EE5">
        <w:rPr>
          <w:rFonts w:asciiTheme="majorHAnsi" w:hAnsiTheme="majorHAnsi"/>
        </w:rPr>
        <w:t>.</w:t>
      </w:r>
      <w:r w:rsidR="00875FEE" w:rsidRPr="00473EE5">
        <w:rPr>
          <w:rFonts w:asciiTheme="majorHAnsi" w:hAnsiTheme="majorHAnsi"/>
        </w:rPr>
        <w:t xml:space="preserve"> </w:t>
      </w:r>
      <w:r w:rsidR="00DD65C7" w:rsidRPr="00473EE5">
        <w:rPr>
          <w:rFonts w:asciiTheme="majorHAnsi" w:hAnsiTheme="majorHAnsi"/>
        </w:rPr>
        <w:t>It reflects:</w:t>
      </w:r>
      <w:r w:rsidR="006E35CE" w:rsidRPr="00473EE5">
        <w:rPr>
          <w:rStyle w:val="FootnoteReference"/>
          <w:rFonts w:asciiTheme="majorHAnsi" w:hAnsiTheme="majorHAnsi"/>
        </w:rPr>
        <w:footnoteReference w:id="38"/>
      </w:r>
      <w:r w:rsidR="006E35CE" w:rsidRPr="00473EE5">
        <w:rPr>
          <w:rFonts w:asciiTheme="majorHAnsi" w:hAnsiTheme="majorHAnsi"/>
        </w:rPr>
        <w:t xml:space="preserve">  </w:t>
      </w:r>
    </w:p>
    <w:p w14:paraId="2201626E" w14:textId="77777777" w:rsidR="00E4120D" w:rsidRPr="00473EE5" w:rsidRDefault="00E4120D" w:rsidP="00E4120D">
      <w:pPr>
        <w:pStyle w:val="ListParagraph"/>
        <w:ind w:left="360"/>
        <w:jc w:val="both"/>
        <w:rPr>
          <w:rFonts w:asciiTheme="majorHAnsi" w:hAnsiTheme="majorHAnsi"/>
        </w:rPr>
      </w:pPr>
    </w:p>
    <w:p w14:paraId="4DC57CD0" w14:textId="2FF44FBA" w:rsidR="000F5A4E" w:rsidRPr="00473EE5" w:rsidRDefault="00E6303C" w:rsidP="00945E71">
      <w:pPr>
        <w:pStyle w:val="ListParagraph"/>
        <w:numPr>
          <w:ilvl w:val="0"/>
          <w:numId w:val="28"/>
        </w:numPr>
        <w:spacing w:line="360" w:lineRule="auto"/>
        <w:jc w:val="both"/>
        <w:rPr>
          <w:rFonts w:asciiTheme="majorHAnsi" w:hAnsiTheme="majorHAnsi"/>
        </w:rPr>
      </w:pPr>
      <w:r w:rsidRPr="00473EE5">
        <w:rPr>
          <w:rFonts w:asciiTheme="majorHAnsi" w:hAnsiTheme="majorHAnsi"/>
        </w:rPr>
        <w:t>Th</w:t>
      </w:r>
      <w:r w:rsidR="001369EE" w:rsidRPr="00473EE5">
        <w:rPr>
          <w:rFonts w:asciiTheme="majorHAnsi" w:hAnsiTheme="majorHAnsi"/>
        </w:rPr>
        <w:t>e</w:t>
      </w:r>
      <w:r w:rsidR="008F77DB" w:rsidRPr="00473EE5">
        <w:rPr>
          <w:rFonts w:asciiTheme="majorHAnsi" w:hAnsiTheme="majorHAnsi"/>
        </w:rPr>
        <w:t xml:space="preserve"> right to equal protection according to humanitarian norms during international or internal armed conflict</w:t>
      </w:r>
      <w:r w:rsidR="00DD65C7" w:rsidRPr="00473EE5">
        <w:rPr>
          <w:rFonts w:asciiTheme="majorHAnsi" w:hAnsiTheme="majorHAnsi"/>
        </w:rPr>
        <w:t>, which</w:t>
      </w:r>
      <w:r w:rsidR="008F77DB" w:rsidRPr="00473EE5">
        <w:rPr>
          <w:rFonts w:asciiTheme="majorHAnsi" w:hAnsiTheme="majorHAnsi"/>
        </w:rPr>
        <w:t xml:space="preserve"> is a </w:t>
      </w:r>
      <w:r w:rsidR="0086330F" w:rsidRPr="00473EE5">
        <w:rPr>
          <w:rFonts w:asciiTheme="majorHAnsi" w:hAnsiTheme="majorHAnsi"/>
        </w:rPr>
        <w:t>human right</w:t>
      </w:r>
      <w:r w:rsidR="008F77DB" w:rsidRPr="00473EE5">
        <w:rPr>
          <w:rFonts w:asciiTheme="majorHAnsi" w:hAnsiTheme="majorHAnsi"/>
        </w:rPr>
        <w:t xml:space="preserve"> under general international law</w:t>
      </w:r>
      <w:r w:rsidR="00875FEE" w:rsidRPr="00473EE5">
        <w:rPr>
          <w:rFonts w:asciiTheme="majorHAnsi" w:hAnsiTheme="majorHAnsi"/>
        </w:rPr>
        <w:t>.</w:t>
      </w:r>
      <w:r w:rsidR="00817818" w:rsidRPr="00473EE5">
        <w:rPr>
          <w:rFonts w:asciiTheme="majorHAnsi" w:hAnsiTheme="majorHAnsi"/>
        </w:rPr>
        <w:t xml:space="preserve"> </w:t>
      </w:r>
      <w:r w:rsidR="000E25B2" w:rsidRPr="00473EE5">
        <w:rPr>
          <w:rFonts w:asciiTheme="majorHAnsi" w:hAnsiTheme="majorHAnsi"/>
        </w:rPr>
        <w:t>The SCR 1325 also reflects</w:t>
      </w:r>
      <w:r w:rsidR="00DD65C7" w:rsidRPr="00473EE5">
        <w:rPr>
          <w:rFonts w:asciiTheme="majorHAnsi" w:hAnsiTheme="majorHAnsi"/>
        </w:rPr>
        <w:t xml:space="preserve"> </w:t>
      </w:r>
      <w:r w:rsidR="000E25B2" w:rsidRPr="00473EE5">
        <w:rPr>
          <w:rFonts w:asciiTheme="majorHAnsi" w:hAnsiTheme="majorHAnsi"/>
        </w:rPr>
        <w:t>customary IHL rules on</w:t>
      </w:r>
      <w:r w:rsidR="00817818" w:rsidRPr="00473EE5">
        <w:rPr>
          <w:rFonts w:asciiTheme="majorHAnsi" w:hAnsiTheme="majorHAnsi"/>
        </w:rPr>
        <w:t xml:space="preserve"> the specific protection, health and assistance needs of women and children affected by armed conflict</w:t>
      </w:r>
      <w:r w:rsidR="00F56490" w:rsidRPr="00473EE5">
        <w:rPr>
          <w:rFonts w:asciiTheme="majorHAnsi" w:hAnsiTheme="majorHAnsi"/>
        </w:rPr>
        <w:t xml:space="preserve"> (including child soldiers)</w:t>
      </w:r>
      <w:r w:rsidR="00817818" w:rsidRPr="00473EE5">
        <w:rPr>
          <w:rFonts w:asciiTheme="majorHAnsi" w:hAnsiTheme="majorHAnsi"/>
        </w:rPr>
        <w:t xml:space="preserve">. </w:t>
      </w:r>
      <w:r w:rsidR="00875FEE" w:rsidRPr="00473EE5">
        <w:rPr>
          <w:rFonts w:asciiTheme="majorHAnsi" w:hAnsiTheme="majorHAnsi"/>
        </w:rPr>
        <w:t xml:space="preserve"> </w:t>
      </w:r>
    </w:p>
    <w:p w14:paraId="475E7DA3" w14:textId="46FD7069" w:rsidR="006E35CE" w:rsidRPr="00473EE5" w:rsidRDefault="001369EE" w:rsidP="00945E71">
      <w:pPr>
        <w:pStyle w:val="ListParagraph"/>
        <w:numPr>
          <w:ilvl w:val="0"/>
          <w:numId w:val="23"/>
        </w:numPr>
        <w:spacing w:line="360" w:lineRule="auto"/>
        <w:jc w:val="both"/>
        <w:rPr>
          <w:rFonts w:asciiTheme="majorHAnsi" w:hAnsiTheme="majorHAnsi"/>
        </w:rPr>
      </w:pPr>
      <w:r w:rsidRPr="00473EE5">
        <w:rPr>
          <w:rFonts w:asciiTheme="majorHAnsi" w:hAnsiTheme="majorHAnsi"/>
        </w:rPr>
        <w:t>Article</w:t>
      </w:r>
      <w:r w:rsidR="00B35F4E" w:rsidRPr="00473EE5">
        <w:rPr>
          <w:rFonts w:asciiTheme="majorHAnsi" w:hAnsiTheme="majorHAnsi"/>
        </w:rPr>
        <w:t>s</w:t>
      </w:r>
      <w:r w:rsidRPr="00473EE5">
        <w:rPr>
          <w:rFonts w:asciiTheme="majorHAnsi" w:hAnsiTheme="majorHAnsi"/>
        </w:rPr>
        <w:t xml:space="preserve"> 3</w:t>
      </w:r>
      <w:r w:rsidR="00B35F4E" w:rsidRPr="00473EE5">
        <w:rPr>
          <w:rFonts w:asciiTheme="majorHAnsi" w:hAnsiTheme="majorHAnsi"/>
        </w:rPr>
        <w:t xml:space="preserve"> and 15</w:t>
      </w:r>
      <w:r w:rsidRPr="00473EE5">
        <w:rPr>
          <w:rFonts w:asciiTheme="majorHAnsi" w:hAnsiTheme="majorHAnsi"/>
        </w:rPr>
        <w:t xml:space="preserve"> of CEDAW, which</w:t>
      </w:r>
      <w:r w:rsidR="00B35F4E" w:rsidRPr="00473EE5">
        <w:rPr>
          <w:rFonts w:asciiTheme="majorHAnsi" w:hAnsiTheme="majorHAnsi"/>
        </w:rPr>
        <w:t xml:space="preserve"> oblige</w:t>
      </w:r>
      <w:r w:rsidRPr="00473EE5">
        <w:rPr>
          <w:rFonts w:asciiTheme="majorHAnsi" w:hAnsiTheme="majorHAnsi"/>
        </w:rPr>
        <w:t xml:space="preserve"> states to</w:t>
      </w:r>
      <w:r w:rsidR="00B35F4E" w:rsidRPr="00473EE5">
        <w:rPr>
          <w:rFonts w:asciiTheme="majorHAnsi" w:hAnsiTheme="majorHAnsi"/>
        </w:rPr>
        <w:t>:</w:t>
      </w:r>
      <w:r w:rsidRPr="00473EE5">
        <w:rPr>
          <w:rFonts w:asciiTheme="majorHAnsi" w:hAnsiTheme="majorHAnsi"/>
        </w:rPr>
        <w:t xml:space="preserve"> take appropriate measures in all fields </w:t>
      </w:r>
      <w:r w:rsidR="00BE7662" w:rsidRPr="00473EE5">
        <w:rPr>
          <w:rFonts w:asciiTheme="majorHAnsi" w:hAnsiTheme="majorHAnsi"/>
        </w:rPr>
        <w:t xml:space="preserve">(political, </w:t>
      </w:r>
      <w:r w:rsidRPr="00473EE5">
        <w:rPr>
          <w:rFonts w:asciiTheme="majorHAnsi" w:hAnsiTheme="majorHAnsi"/>
        </w:rPr>
        <w:t>social</w:t>
      </w:r>
      <w:r w:rsidR="00BE7662" w:rsidRPr="00473EE5">
        <w:rPr>
          <w:rFonts w:asciiTheme="majorHAnsi" w:hAnsiTheme="majorHAnsi"/>
        </w:rPr>
        <w:t xml:space="preserve">, </w:t>
      </w:r>
      <w:r w:rsidRPr="00473EE5">
        <w:rPr>
          <w:rFonts w:asciiTheme="majorHAnsi" w:hAnsiTheme="majorHAnsi"/>
        </w:rPr>
        <w:t>cultural and economic) including legislation, to ensure women’s f</w:t>
      </w:r>
      <w:r w:rsidR="00826B2D" w:rsidRPr="00473EE5">
        <w:rPr>
          <w:rFonts w:asciiTheme="majorHAnsi" w:hAnsiTheme="majorHAnsi"/>
        </w:rPr>
        <w:t>ull development and advancement</w:t>
      </w:r>
      <w:r w:rsidRPr="00473EE5">
        <w:rPr>
          <w:rFonts w:asciiTheme="majorHAnsi" w:hAnsiTheme="majorHAnsi"/>
        </w:rPr>
        <w:t xml:space="preserve"> and </w:t>
      </w:r>
      <w:r w:rsidR="00166E4C" w:rsidRPr="00473EE5">
        <w:rPr>
          <w:rFonts w:asciiTheme="majorHAnsi" w:hAnsiTheme="majorHAnsi"/>
        </w:rPr>
        <w:t>guarantee their human rights</w:t>
      </w:r>
      <w:r w:rsidR="00B35F4E" w:rsidRPr="00473EE5">
        <w:rPr>
          <w:rFonts w:asciiTheme="majorHAnsi" w:hAnsiTheme="majorHAnsi"/>
        </w:rPr>
        <w:t>; and guarantee equality between women and men, respectively.</w:t>
      </w:r>
      <w:r w:rsidR="006F06B3" w:rsidRPr="00473EE5">
        <w:rPr>
          <w:rFonts w:asciiTheme="majorHAnsi" w:hAnsiTheme="majorHAnsi"/>
        </w:rPr>
        <w:t xml:space="preserve"> Article 6 requires states to take all appropriate measures, including legislation, to suppress all forms of traffic in women and exploitation of prostitution of women. </w:t>
      </w:r>
      <w:r w:rsidR="00BE7662" w:rsidRPr="00473EE5">
        <w:rPr>
          <w:rFonts w:asciiTheme="majorHAnsi" w:hAnsiTheme="majorHAnsi"/>
        </w:rPr>
        <w:t xml:space="preserve"> The SCR 1325</w:t>
      </w:r>
      <w:r w:rsidR="00B35F4E" w:rsidRPr="00473EE5">
        <w:rPr>
          <w:rFonts w:asciiTheme="majorHAnsi" w:hAnsiTheme="majorHAnsi"/>
        </w:rPr>
        <w:t xml:space="preserve"> also reflects Articles 1 (</w:t>
      </w:r>
      <w:r w:rsidR="00BE7662" w:rsidRPr="00473EE5">
        <w:rPr>
          <w:rFonts w:asciiTheme="majorHAnsi" w:hAnsiTheme="majorHAnsi"/>
        </w:rPr>
        <w:t xml:space="preserve">which defines </w:t>
      </w:r>
      <w:r w:rsidR="00B35F4E" w:rsidRPr="00473EE5">
        <w:rPr>
          <w:rFonts w:asciiTheme="majorHAnsi" w:hAnsiTheme="majorHAnsi"/>
        </w:rPr>
        <w:t>discrimination); 2 (</w:t>
      </w:r>
      <w:r w:rsidR="00784768" w:rsidRPr="00473EE5">
        <w:rPr>
          <w:rFonts w:asciiTheme="majorHAnsi" w:hAnsiTheme="majorHAnsi"/>
        </w:rPr>
        <w:t>states’</w:t>
      </w:r>
      <w:r w:rsidR="00B35F4E" w:rsidRPr="00473EE5">
        <w:rPr>
          <w:rFonts w:asciiTheme="majorHAnsi" w:hAnsiTheme="majorHAnsi"/>
        </w:rPr>
        <w:t xml:space="preserve"> positive obligations to eliminate discrimination) 4(1) </w:t>
      </w:r>
      <w:r w:rsidR="006E35CE" w:rsidRPr="00473EE5">
        <w:rPr>
          <w:rFonts w:asciiTheme="majorHAnsi" w:hAnsiTheme="majorHAnsi"/>
        </w:rPr>
        <w:t xml:space="preserve">and </w:t>
      </w:r>
      <w:r w:rsidR="00B35F4E" w:rsidRPr="00473EE5">
        <w:rPr>
          <w:rFonts w:asciiTheme="majorHAnsi" w:hAnsiTheme="majorHAnsi"/>
        </w:rPr>
        <w:t>5(a) (measures to modify gender stereotypes) and 7 of CEDAW</w:t>
      </w:r>
      <w:r w:rsidRPr="00473EE5">
        <w:rPr>
          <w:rFonts w:asciiTheme="majorHAnsi" w:hAnsiTheme="majorHAnsi"/>
        </w:rPr>
        <w:t xml:space="preserve">. </w:t>
      </w:r>
    </w:p>
    <w:p w14:paraId="110C9EB2" w14:textId="75C6205B" w:rsidR="006E35CE" w:rsidRPr="00473EE5" w:rsidRDefault="00BE7662" w:rsidP="00945E71">
      <w:pPr>
        <w:pStyle w:val="ListParagraph"/>
        <w:numPr>
          <w:ilvl w:val="0"/>
          <w:numId w:val="23"/>
        </w:numPr>
        <w:spacing w:line="360" w:lineRule="auto"/>
        <w:jc w:val="both"/>
        <w:rPr>
          <w:rFonts w:asciiTheme="majorHAnsi" w:hAnsiTheme="majorHAnsi"/>
        </w:rPr>
      </w:pPr>
      <w:r w:rsidRPr="00473EE5">
        <w:rPr>
          <w:rFonts w:asciiTheme="majorHAnsi" w:hAnsiTheme="majorHAnsi"/>
        </w:rPr>
        <w:lastRenderedPageBreak/>
        <w:t xml:space="preserve">The </w:t>
      </w:r>
      <w:r w:rsidR="00826B2D" w:rsidRPr="00473EE5">
        <w:rPr>
          <w:rFonts w:asciiTheme="majorHAnsi" w:hAnsiTheme="majorHAnsi"/>
        </w:rPr>
        <w:t>CEDAW GR No. 28</w:t>
      </w:r>
      <w:r w:rsidR="00DD65C7" w:rsidRPr="00473EE5">
        <w:rPr>
          <w:rFonts w:asciiTheme="majorHAnsi" w:hAnsiTheme="majorHAnsi"/>
        </w:rPr>
        <w:t>, which</w:t>
      </w:r>
      <w:r w:rsidR="00826B2D" w:rsidRPr="00473EE5">
        <w:rPr>
          <w:rFonts w:asciiTheme="majorHAnsi" w:hAnsiTheme="majorHAnsi"/>
        </w:rPr>
        <w:t xml:space="preserve"> emphasises </w:t>
      </w:r>
      <w:r w:rsidR="00541F2C" w:rsidRPr="00473EE5">
        <w:rPr>
          <w:rFonts w:asciiTheme="majorHAnsi" w:hAnsiTheme="majorHAnsi"/>
        </w:rPr>
        <w:t xml:space="preserve">that </w:t>
      </w:r>
      <w:r w:rsidR="00826B2D" w:rsidRPr="00473EE5">
        <w:rPr>
          <w:rFonts w:asciiTheme="majorHAnsi" w:hAnsiTheme="majorHAnsi"/>
        </w:rPr>
        <w:t>states’ positive obligations to end discrimination do not cease during armed conflict or in states of emergency, and that recommendation to adopt strategies and measures to meet women’s particular needs in such situations</w:t>
      </w:r>
      <w:r w:rsidR="00541F2C" w:rsidRPr="00473EE5">
        <w:rPr>
          <w:rFonts w:asciiTheme="majorHAnsi" w:hAnsiTheme="majorHAnsi"/>
        </w:rPr>
        <w:t xml:space="preserve">. </w:t>
      </w:r>
    </w:p>
    <w:p w14:paraId="6137CFF7" w14:textId="78C06FFA" w:rsidR="00A46D3E" w:rsidRPr="00473EE5" w:rsidRDefault="00541F2C" w:rsidP="00945E71">
      <w:pPr>
        <w:pStyle w:val="ListParagraph"/>
        <w:numPr>
          <w:ilvl w:val="0"/>
          <w:numId w:val="23"/>
        </w:numPr>
        <w:spacing w:line="360" w:lineRule="auto"/>
        <w:jc w:val="both"/>
        <w:rPr>
          <w:rFonts w:asciiTheme="majorHAnsi" w:hAnsiTheme="majorHAnsi"/>
        </w:rPr>
      </w:pPr>
      <w:r w:rsidRPr="00473EE5">
        <w:rPr>
          <w:rFonts w:asciiTheme="majorHAnsi" w:hAnsiTheme="majorHAnsi"/>
        </w:rPr>
        <w:t xml:space="preserve">The </w:t>
      </w:r>
      <w:r w:rsidR="00826B2D" w:rsidRPr="00473EE5">
        <w:rPr>
          <w:rFonts w:asciiTheme="majorHAnsi" w:hAnsiTheme="majorHAnsi"/>
        </w:rPr>
        <w:t>CEDAW GR No. 30</w:t>
      </w:r>
      <w:r w:rsidR="00BE7662" w:rsidRPr="00473EE5">
        <w:rPr>
          <w:rFonts w:asciiTheme="majorHAnsi" w:hAnsiTheme="majorHAnsi"/>
        </w:rPr>
        <w:t>, which</w:t>
      </w:r>
      <w:r w:rsidR="00826B2D" w:rsidRPr="00473EE5">
        <w:rPr>
          <w:rFonts w:asciiTheme="majorHAnsi" w:hAnsiTheme="majorHAnsi"/>
        </w:rPr>
        <w:t xml:space="preserve"> extends this provision by protecting the human rights and women and girls during constitutional and electoral reforms</w:t>
      </w:r>
      <w:r w:rsidR="008F77DB" w:rsidRPr="00473EE5">
        <w:rPr>
          <w:rFonts w:asciiTheme="majorHAnsi" w:hAnsiTheme="majorHAnsi"/>
        </w:rPr>
        <w:t xml:space="preserve">. </w:t>
      </w:r>
    </w:p>
    <w:p w14:paraId="2885030E" w14:textId="3D761310" w:rsidR="00BE7662" w:rsidRPr="00473EE5" w:rsidRDefault="00BE7662" w:rsidP="00945E71">
      <w:pPr>
        <w:pStyle w:val="ListParagraph"/>
        <w:numPr>
          <w:ilvl w:val="0"/>
          <w:numId w:val="23"/>
        </w:numPr>
        <w:spacing w:line="360" w:lineRule="auto"/>
        <w:jc w:val="both"/>
        <w:rPr>
          <w:rFonts w:asciiTheme="majorHAnsi" w:hAnsiTheme="majorHAnsi"/>
        </w:rPr>
      </w:pPr>
      <w:r w:rsidRPr="00473EE5">
        <w:rPr>
          <w:rFonts w:asciiTheme="majorHAnsi" w:hAnsiTheme="majorHAnsi"/>
        </w:rPr>
        <w:t xml:space="preserve">The CEDAW and ICCPR Articles and GCs/GRs discussed under 1(a). </w:t>
      </w:r>
    </w:p>
    <w:p w14:paraId="6055D8CF" w14:textId="77777777" w:rsidR="00A46D3E" w:rsidRPr="00473EE5" w:rsidRDefault="00A46D3E" w:rsidP="00A46D3E">
      <w:pPr>
        <w:jc w:val="both"/>
        <w:rPr>
          <w:rFonts w:asciiTheme="majorHAnsi" w:hAnsiTheme="majorHAnsi"/>
        </w:rPr>
      </w:pPr>
    </w:p>
    <w:p w14:paraId="5D45D01A" w14:textId="7C6FDDAF" w:rsidR="000F5A4E" w:rsidRPr="00473EE5" w:rsidRDefault="00FA7CB0" w:rsidP="00945E71">
      <w:pPr>
        <w:pStyle w:val="ListParagraph"/>
        <w:numPr>
          <w:ilvl w:val="1"/>
          <w:numId w:val="2"/>
        </w:numPr>
        <w:spacing w:line="360" w:lineRule="auto"/>
        <w:jc w:val="both"/>
        <w:rPr>
          <w:rFonts w:asciiTheme="majorHAnsi" w:hAnsiTheme="majorHAnsi"/>
        </w:rPr>
      </w:pPr>
      <w:r w:rsidRPr="00473EE5">
        <w:rPr>
          <w:rFonts w:asciiTheme="majorHAnsi" w:hAnsiTheme="majorHAnsi"/>
        </w:rPr>
        <w:t xml:space="preserve">SCR 1325 urges Member States to conduct </w:t>
      </w:r>
      <w:r w:rsidRPr="00473EE5">
        <w:rPr>
          <w:rFonts w:asciiTheme="majorHAnsi" w:hAnsiTheme="majorHAnsi"/>
          <w:b/>
          <w:color w:val="4F81BD" w:themeColor="accent1"/>
        </w:rPr>
        <w:t>gender-sensitive training</w:t>
      </w:r>
      <w:r w:rsidRPr="00473EE5">
        <w:rPr>
          <w:rFonts w:asciiTheme="majorHAnsi" w:hAnsiTheme="majorHAnsi"/>
          <w:color w:val="4F81BD" w:themeColor="accent1"/>
        </w:rPr>
        <w:t xml:space="preserve"> </w:t>
      </w:r>
      <w:r w:rsidRPr="00473EE5">
        <w:rPr>
          <w:rFonts w:asciiTheme="majorHAnsi" w:hAnsiTheme="majorHAnsi"/>
        </w:rPr>
        <w:t xml:space="preserve">efforts on the protection, rights and particular needs of women. Governments are encouraged to incorporate these elements as well as </w:t>
      </w:r>
      <w:r w:rsidRPr="00473EE5">
        <w:rPr>
          <w:rFonts w:asciiTheme="majorHAnsi" w:hAnsiTheme="majorHAnsi"/>
          <w:b/>
          <w:color w:val="4F81BD" w:themeColor="accent1"/>
        </w:rPr>
        <w:t>HIV/AIDS awareness training</w:t>
      </w:r>
      <w:r w:rsidRPr="00473EE5">
        <w:rPr>
          <w:rFonts w:asciiTheme="majorHAnsi" w:hAnsiTheme="majorHAnsi"/>
        </w:rPr>
        <w:t xml:space="preserve"> into their national training programmes for their military and civilian police personnel, in cooperation with the Secretary-General who is requested to provide appropriate tr</w:t>
      </w:r>
      <w:r w:rsidR="00E93ADE" w:rsidRPr="00473EE5">
        <w:rPr>
          <w:rFonts w:asciiTheme="majorHAnsi" w:hAnsiTheme="majorHAnsi"/>
        </w:rPr>
        <w:t>aining guidelines and materials.</w:t>
      </w:r>
      <w:r w:rsidRPr="00473EE5">
        <w:rPr>
          <w:rFonts w:asciiTheme="majorHAnsi" w:hAnsiTheme="majorHAnsi"/>
        </w:rPr>
        <w:t xml:space="preserve"> </w:t>
      </w:r>
      <w:r w:rsidR="003925C2" w:rsidRPr="00473EE5">
        <w:rPr>
          <w:rFonts w:asciiTheme="majorHAnsi" w:hAnsiTheme="majorHAnsi"/>
        </w:rPr>
        <w:t>SCR 1325</w:t>
      </w:r>
      <w:r w:rsidRPr="00473EE5">
        <w:rPr>
          <w:rFonts w:asciiTheme="majorHAnsi" w:hAnsiTheme="majorHAnsi"/>
        </w:rPr>
        <w:t xml:space="preserve"> urges Member States to increase their voluntary financial, technical and logistical support for gender-sensitive training</w:t>
      </w:r>
      <w:r w:rsidR="003925C2" w:rsidRPr="00473EE5">
        <w:rPr>
          <w:rFonts w:asciiTheme="majorHAnsi" w:hAnsiTheme="majorHAnsi"/>
        </w:rPr>
        <w:t xml:space="preserve"> efforts at the UN</w:t>
      </w:r>
      <w:r w:rsidRPr="00473EE5">
        <w:rPr>
          <w:rFonts w:asciiTheme="majorHAnsi" w:hAnsiTheme="majorHAnsi"/>
        </w:rPr>
        <w:t>.</w:t>
      </w:r>
      <w:r w:rsidR="00ED42D8" w:rsidRPr="00473EE5">
        <w:rPr>
          <w:rFonts w:asciiTheme="majorHAnsi" w:hAnsiTheme="majorHAnsi"/>
        </w:rPr>
        <w:t xml:space="preserve"> </w:t>
      </w:r>
      <w:r w:rsidR="006E35CE" w:rsidRPr="00473EE5">
        <w:rPr>
          <w:rFonts w:asciiTheme="majorHAnsi" w:hAnsiTheme="majorHAnsi"/>
        </w:rPr>
        <w:t>This reflects:</w:t>
      </w:r>
      <w:r w:rsidR="006E35CE" w:rsidRPr="00473EE5">
        <w:rPr>
          <w:rStyle w:val="FootnoteReference"/>
          <w:rFonts w:asciiTheme="majorHAnsi" w:hAnsiTheme="majorHAnsi"/>
        </w:rPr>
        <w:footnoteReference w:id="39"/>
      </w:r>
    </w:p>
    <w:p w14:paraId="2A29CC49" w14:textId="77777777" w:rsidR="00E4120D" w:rsidRPr="00473EE5" w:rsidRDefault="00E4120D" w:rsidP="00E4120D">
      <w:pPr>
        <w:pStyle w:val="ListParagraph"/>
        <w:ind w:left="360"/>
        <w:jc w:val="both"/>
        <w:rPr>
          <w:rFonts w:asciiTheme="majorHAnsi" w:hAnsiTheme="majorHAnsi"/>
        </w:rPr>
      </w:pPr>
    </w:p>
    <w:p w14:paraId="59984438" w14:textId="00CD36D4" w:rsidR="000F5A4E" w:rsidRPr="00473EE5" w:rsidRDefault="001D4F71" w:rsidP="00945E71">
      <w:pPr>
        <w:pStyle w:val="ListParagraph"/>
        <w:numPr>
          <w:ilvl w:val="0"/>
          <w:numId w:val="24"/>
        </w:numPr>
        <w:spacing w:line="360" w:lineRule="auto"/>
        <w:jc w:val="both"/>
        <w:rPr>
          <w:rFonts w:asciiTheme="majorHAnsi" w:hAnsiTheme="majorHAnsi"/>
        </w:rPr>
      </w:pPr>
      <w:r w:rsidRPr="00473EE5">
        <w:rPr>
          <w:rFonts w:asciiTheme="majorHAnsi" w:hAnsiTheme="majorHAnsi"/>
        </w:rPr>
        <w:t xml:space="preserve">Articles </w:t>
      </w:r>
      <w:r w:rsidR="00ED42D8" w:rsidRPr="00473EE5">
        <w:rPr>
          <w:rFonts w:asciiTheme="majorHAnsi" w:hAnsiTheme="majorHAnsi"/>
        </w:rPr>
        <w:t>1-</w:t>
      </w:r>
      <w:r w:rsidR="00AE5EE1" w:rsidRPr="00473EE5">
        <w:rPr>
          <w:rFonts w:asciiTheme="majorHAnsi" w:hAnsiTheme="majorHAnsi"/>
        </w:rPr>
        <w:t xml:space="preserve">3, 4(1) and </w:t>
      </w:r>
      <w:r w:rsidR="00ED42D8" w:rsidRPr="00473EE5">
        <w:rPr>
          <w:rFonts w:asciiTheme="majorHAnsi" w:hAnsiTheme="majorHAnsi"/>
        </w:rPr>
        <w:t>5</w:t>
      </w:r>
      <w:r w:rsidRPr="00473EE5">
        <w:rPr>
          <w:rFonts w:asciiTheme="majorHAnsi" w:hAnsiTheme="majorHAnsi"/>
        </w:rPr>
        <w:t>(a)</w:t>
      </w:r>
      <w:r w:rsidR="00ED42D8" w:rsidRPr="00473EE5">
        <w:rPr>
          <w:rFonts w:asciiTheme="majorHAnsi" w:hAnsiTheme="majorHAnsi"/>
        </w:rPr>
        <w:t xml:space="preserve"> of CEDAW</w:t>
      </w:r>
      <w:r w:rsidR="003925C2" w:rsidRPr="00473EE5">
        <w:rPr>
          <w:rFonts w:asciiTheme="majorHAnsi" w:hAnsiTheme="majorHAnsi"/>
        </w:rPr>
        <w:t>, and</w:t>
      </w:r>
      <w:r w:rsidR="00ED42D8" w:rsidRPr="00473EE5">
        <w:rPr>
          <w:rFonts w:asciiTheme="majorHAnsi" w:hAnsiTheme="majorHAnsi"/>
        </w:rPr>
        <w:t xml:space="preserve"> </w:t>
      </w:r>
      <w:r w:rsidR="00BE7662" w:rsidRPr="00473EE5">
        <w:rPr>
          <w:rFonts w:asciiTheme="majorHAnsi" w:hAnsiTheme="majorHAnsi"/>
        </w:rPr>
        <w:t>GRs</w:t>
      </w:r>
      <w:r w:rsidR="00FA7CB0" w:rsidRPr="00473EE5">
        <w:rPr>
          <w:rFonts w:asciiTheme="majorHAnsi" w:hAnsiTheme="majorHAnsi"/>
        </w:rPr>
        <w:t xml:space="preserve"> No. 15 </w:t>
      </w:r>
      <w:r w:rsidR="004672C3" w:rsidRPr="00473EE5">
        <w:rPr>
          <w:rFonts w:asciiTheme="majorHAnsi" w:hAnsiTheme="majorHAnsi"/>
        </w:rPr>
        <w:t>(women and HIV/AIDS)</w:t>
      </w:r>
      <w:r w:rsidR="00ED42D8" w:rsidRPr="00473EE5">
        <w:rPr>
          <w:rFonts w:asciiTheme="majorHAnsi" w:hAnsiTheme="majorHAnsi"/>
        </w:rPr>
        <w:t xml:space="preserve"> 19,</w:t>
      </w:r>
      <w:r w:rsidR="003925C2" w:rsidRPr="00473EE5">
        <w:rPr>
          <w:rFonts w:asciiTheme="majorHAnsi" w:hAnsiTheme="majorHAnsi"/>
        </w:rPr>
        <w:t xml:space="preserve"> </w:t>
      </w:r>
      <w:r w:rsidR="00FA7CB0" w:rsidRPr="00473EE5">
        <w:rPr>
          <w:rFonts w:asciiTheme="majorHAnsi" w:hAnsiTheme="majorHAnsi"/>
        </w:rPr>
        <w:t xml:space="preserve">24 </w:t>
      </w:r>
      <w:r w:rsidR="004672C3" w:rsidRPr="00473EE5">
        <w:rPr>
          <w:rFonts w:asciiTheme="majorHAnsi" w:hAnsiTheme="majorHAnsi"/>
        </w:rPr>
        <w:t>(</w:t>
      </w:r>
      <w:r w:rsidR="00FA7CB0" w:rsidRPr="00473EE5">
        <w:rPr>
          <w:rFonts w:asciiTheme="majorHAnsi" w:hAnsiTheme="majorHAnsi"/>
        </w:rPr>
        <w:t>women and health</w:t>
      </w:r>
      <w:r w:rsidR="004672C3" w:rsidRPr="00473EE5">
        <w:rPr>
          <w:rFonts w:asciiTheme="majorHAnsi" w:hAnsiTheme="majorHAnsi"/>
        </w:rPr>
        <w:t>) and</w:t>
      </w:r>
      <w:r w:rsidR="00FA7CB0" w:rsidRPr="00473EE5">
        <w:rPr>
          <w:rFonts w:asciiTheme="majorHAnsi" w:hAnsiTheme="majorHAnsi"/>
        </w:rPr>
        <w:t xml:space="preserve"> 30.</w:t>
      </w:r>
      <w:r w:rsidR="004672C3" w:rsidRPr="00473EE5">
        <w:rPr>
          <w:rFonts w:asciiTheme="majorHAnsi" w:hAnsiTheme="majorHAnsi"/>
        </w:rPr>
        <w:t xml:space="preserve"> As discussed below, </w:t>
      </w:r>
      <w:r w:rsidR="00BE7662" w:rsidRPr="00473EE5">
        <w:rPr>
          <w:rFonts w:asciiTheme="majorHAnsi" w:hAnsiTheme="majorHAnsi"/>
        </w:rPr>
        <w:t xml:space="preserve">the </w:t>
      </w:r>
      <w:r w:rsidR="004672C3" w:rsidRPr="00473EE5">
        <w:rPr>
          <w:rFonts w:asciiTheme="majorHAnsi" w:hAnsiTheme="majorHAnsi"/>
        </w:rPr>
        <w:t xml:space="preserve">CEDAW GR No. 30 </w:t>
      </w:r>
      <w:r w:rsidR="003925C2" w:rsidRPr="00473EE5">
        <w:rPr>
          <w:rFonts w:asciiTheme="majorHAnsi" w:hAnsiTheme="majorHAnsi"/>
        </w:rPr>
        <w:t>substantively protects</w:t>
      </w:r>
      <w:r w:rsidR="004672C3" w:rsidRPr="00473EE5">
        <w:rPr>
          <w:rFonts w:asciiTheme="majorHAnsi" w:hAnsiTheme="majorHAnsi"/>
        </w:rPr>
        <w:t xml:space="preserve"> women and girls regarding sexual and reproductive health (SRH) including HIV/AIDS</w:t>
      </w:r>
      <w:r w:rsidR="00E93ADE" w:rsidRPr="00473EE5">
        <w:rPr>
          <w:rFonts w:asciiTheme="majorHAnsi" w:hAnsiTheme="majorHAnsi"/>
        </w:rPr>
        <w:t xml:space="preserve">. </w:t>
      </w:r>
    </w:p>
    <w:p w14:paraId="1C0AD559" w14:textId="5BBD0DE0" w:rsidR="000F5A4E" w:rsidRPr="00473EE5" w:rsidRDefault="00E93ADE" w:rsidP="00945E71">
      <w:pPr>
        <w:pStyle w:val="ListParagraph"/>
        <w:numPr>
          <w:ilvl w:val="0"/>
          <w:numId w:val="24"/>
        </w:numPr>
        <w:spacing w:line="360" w:lineRule="auto"/>
        <w:jc w:val="both"/>
        <w:rPr>
          <w:rFonts w:asciiTheme="majorHAnsi" w:hAnsiTheme="majorHAnsi"/>
        </w:rPr>
      </w:pPr>
      <w:r w:rsidRPr="00473EE5">
        <w:rPr>
          <w:rFonts w:asciiTheme="majorHAnsi" w:hAnsiTheme="majorHAnsi"/>
        </w:rPr>
        <w:t>The CEDAW GR No. 15</w:t>
      </w:r>
      <w:r w:rsidR="00DD65C7" w:rsidRPr="00473EE5">
        <w:rPr>
          <w:rFonts w:asciiTheme="majorHAnsi" w:hAnsiTheme="majorHAnsi"/>
        </w:rPr>
        <w:t>, which extends this</w:t>
      </w:r>
      <w:r w:rsidRPr="00473EE5">
        <w:rPr>
          <w:rFonts w:asciiTheme="majorHAnsi" w:hAnsiTheme="majorHAnsi"/>
        </w:rPr>
        <w:t xml:space="preserve"> protection in SCR 1325 by recommending that states intensify efforts to disseminate information to increase public awareness of HIV/AIDS, especially its effects on women and children, and </w:t>
      </w:r>
      <w:r w:rsidR="00BE7662" w:rsidRPr="00473EE5">
        <w:rPr>
          <w:rFonts w:asciiTheme="majorHAnsi" w:hAnsiTheme="majorHAnsi"/>
        </w:rPr>
        <w:t xml:space="preserve">by </w:t>
      </w:r>
      <w:r w:rsidR="003925C2" w:rsidRPr="00473EE5">
        <w:rPr>
          <w:rFonts w:asciiTheme="majorHAnsi" w:hAnsiTheme="majorHAnsi"/>
        </w:rPr>
        <w:t>requiring</w:t>
      </w:r>
      <w:r w:rsidRPr="00473EE5">
        <w:rPr>
          <w:rFonts w:asciiTheme="majorHAnsi" w:hAnsiTheme="majorHAnsi"/>
        </w:rPr>
        <w:t xml:space="preserve"> that programmes to combat AIDS give special attention to women and children. </w:t>
      </w:r>
    </w:p>
    <w:p w14:paraId="54FF7278" w14:textId="52BAE108" w:rsidR="00A46D3E" w:rsidRPr="00473EE5" w:rsidRDefault="00E93ADE" w:rsidP="00945E71">
      <w:pPr>
        <w:pStyle w:val="ListParagraph"/>
        <w:numPr>
          <w:ilvl w:val="0"/>
          <w:numId w:val="24"/>
        </w:numPr>
        <w:spacing w:line="360" w:lineRule="auto"/>
        <w:jc w:val="both"/>
        <w:rPr>
          <w:rFonts w:asciiTheme="majorHAnsi" w:hAnsiTheme="majorHAnsi"/>
        </w:rPr>
      </w:pPr>
      <w:r w:rsidRPr="00473EE5">
        <w:rPr>
          <w:rFonts w:asciiTheme="majorHAnsi" w:hAnsiTheme="majorHAnsi"/>
        </w:rPr>
        <w:t>The CEDAW GR No. 24</w:t>
      </w:r>
      <w:r w:rsidR="00DD65C7" w:rsidRPr="00473EE5">
        <w:rPr>
          <w:rFonts w:asciiTheme="majorHAnsi" w:hAnsiTheme="majorHAnsi"/>
        </w:rPr>
        <w:t>, which</w:t>
      </w:r>
      <w:r w:rsidRPr="00473EE5">
        <w:rPr>
          <w:rFonts w:asciiTheme="majorHAnsi" w:hAnsiTheme="majorHAnsi"/>
        </w:rPr>
        <w:t xml:space="preserve"> </w:t>
      </w:r>
      <w:r w:rsidR="003925C2" w:rsidRPr="00473EE5">
        <w:rPr>
          <w:rFonts w:asciiTheme="majorHAnsi" w:hAnsiTheme="majorHAnsi"/>
        </w:rPr>
        <w:t>asks</w:t>
      </w:r>
      <w:r w:rsidRPr="00473EE5">
        <w:rPr>
          <w:rFonts w:asciiTheme="majorHAnsi" w:hAnsiTheme="majorHAnsi"/>
        </w:rPr>
        <w:t xml:space="preserve"> states </w:t>
      </w:r>
      <w:r w:rsidR="003925C2" w:rsidRPr="00473EE5">
        <w:rPr>
          <w:rFonts w:asciiTheme="majorHAnsi" w:hAnsiTheme="majorHAnsi"/>
        </w:rPr>
        <w:t xml:space="preserve">to </w:t>
      </w:r>
      <w:r w:rsidRPr="00473EE5">
        <w:rPr>
          <w:rFonts w:asciiTheme="majorHAnsi" w:hAnsiTheme="majorHAnsi"/>
        </w:rPr>
        <w:t xml:space="preserve">remove all barriers on women’s access to health services, education and information, including </w:t>
      </w:r>
      <w:r w:rsidR="003925C2" w:rsidRPr="00473EE5">
        <w:rPr>
          <w:rFonts w:asciiTheme="majorHAnsi" w:hAnsiTheme="majorHAnsi"/>
        </w:rPr>
        <w:t>regarding</w:t>
      </w:r>
      <w:r w:rsidRPr="00473EE5">
        <w:rPr>
          <w:rFonts w:asciiTheme="majorHAnsi" w:hAnsiTheme="majorHAnsi"/>
        </w:rPr>
        <w:t xml:space="preserve"> </w:t>
      </w:r>
      <w:r w:rsidR="00BE7662" w:rsidRPr="00473EE5">
        <w:rPr>
          <w:rFonts w:asciiTheme="majorHAnsi" w:hAnsiTheme="majorHAnsi"/>
        </w:rPr>
        <w:t>sexual and reproductive health</w:t>
      </w:r>
      <w:r w:rsidRPr="00473EE5">
        <w:rPr>
          <w:rFonts w:asciiTheme="majorHAnsi" w:hAnsiTheme="majorHAnsi"/>
        </w:rPr>
        <w:t xml:space="preserve">, and </w:t>
      </w:r>
      <w:r w:rsidR="00BE7662" w:rsidRPr="00473EE5">
        <w:rPr>
          <w:rFonts w:asciiTheme="majorHAnsi" w:hAnsiTheme="majorHAnsi"/>
        </w:rPr>
        <w:t xml:space="preserve">to </w:t>
      </w:r>
      <w:r w:rsidRPr="00473EE5">
        <w:rPr>
          <w:rFonts w:asciiTheme="majorHAnsi" w:hAnsiTheme="majorHAnsi"/>
        </w:rPr>
        <w:t>allocate resources for programmes for adolescents to prevent and treat sexually transmitted diseases, including HIV/AIDS.</w:t>
      </w:r>
      <w:r w:rsidR="00ED42D8" w:rsidRPr="00473EE5">
        <w:rPr>
          <w:rFonts w:asciiTheme="majorHAnsi" w:hAnsiTheme="majorHAnsi"/>
        </w:rPr>
        <w:t xml:space="preserve"> </w:t>
      </w:r>
    </w:p>
    <w:p w14:paraId="097F85A8" w14:textId="66D736BD" w:rsidR="00A46D3E" w:rsidRPr="00473EE5" w:rsidRDefault="00FA7CB0" w:rsidP="00A46D3E">
      <w:pPr>
        <w:jc w:val="both"/>
        <w:rPr>
          <w:rFonts w:asciiTheme="majorHAnsi" w:hAnsiTheme="majorHAnsi"/>
        </w:rPr>
      </w:pPr>
      <w:r w:rsidRPr="00473EE5">
        <w:rPr>
          <w:rFonts w:asciiTheme="majorHAnsi" w:hAnsiTheme="majorHAnsi"/>
        </w:rPr>
        <w:t xml:space="preserve"> </w:t>
      </w:r>
    </w:p>
    <w:p w14:paraId="3F745BFA" w14:textId="5891E59F" w:rsidR="000F5A4E" w:rsidRPr="00473EE5" w:rsidRDefault="00A46D3E" w:rsidP="00945E71">
      <w:pPr>
        <w:pStyle w:val="ListParagraph"/>
        <w:numPr>
          <w:ilvl w:val="0"/>
          <w:numId w:val="16"/>
        </w:numPr>
        <w:spacing w:line="360" w:lineRule="auto"/>
        <w:jc w:val="both"/>
        <w:rPr>
          <w:rFonts w:asciiTheme="majorHAnsi" w:hAnsiTheme="majorHAnsi"/>
        </w:rPr>
      </w:pPr>
      <w:r w:rsidRPr="00473EE5">
        <w:rPr>
          <w:rFonts w:asciiTheme="majorHAnsi" w:hAnsiTheme="majorHAnsi"/>
        </w:rPr>
        <w:t xml:space="preserve">The Resolution calls on all parties to armed conflict to take special measures to protect women and girls from </w:t>
      </w:r>
      <w:r w:rsidRPr="00473EE5">
        <w:rPr>
          <w:rFonts w:asciiTheme="majorHAnsi" w:hAnsiTheme="majorHAnsi"/>
          <w:b/>
          <w:color w:val="4F81BD" w:themeColor="accent1"/>
        </w:rPr>
        <w:t>gender-based violence (GBV)</w:t>
      </w:r>
      <w:r w:rsidRPr="00473EE5">
        <w:rPr>
          <w:rFonts w:asciiTheme="majorHAnsi" w:hAnsiTheme="majorHAnsi"/>
        </w:rPr>
        <w:t xml:space="preserve"> especially </w:t>
      </w:r>
      <w:r w:rsidRPr="00473EE5">
        <w:rPr>
          <w:rFonts w:asciiTheme="majorHAnsi" w:hAnsiTheme="majorHAnsi"/>
          <w:b/>
          <w:color w:val="4F81BD" w:themeColor="accent1"/>
        </w:rPr>
        <w:t>rape and other forms of sexual abuse</w:t>
      </w:r>
      <w:r w:rsidRPr="00473EE5">
        <w:rPr>
          <w:rFonts w:asciiTheme="majorHAnsi" w:hAnsiTheme="majorHAnsi"/>
        </w:rPr>
        <w:t xml:space="preserve">, and all other forms of violence in armed conflict settings. </w:t>
      </w:r>
      <w:r w:rsidR="00DD65C7" w:rsidRPr="00473EE5">
        <w:rPr>
          <w:rFonts w:asciiTheme="majorHAnsi" w:hAnsiTheme="majorHAnsi"/>
        </w:rPr>
        <w:t>This reflects:</w:t>
      </w:r>
      <w:r w:rsidR="006E35CE" w:rsidRPr="00473EE5">
        <w:rPr>
          <w:rStyle w:val="FootnoteReference"/>
          <w:rFonts w:asciiTheme="majorHAnsi" w:hAnsiTheme="majorHAnsi"/>
        </w:rPr>
        <w:footnoteReference w:id="40"/>
      </w:r>
    </w:p>
    <w:p w14:paraId="208EDA72" w14:textId="77777777" w:rsidR="00E4120D" w:rsidRPr="00473EE5" w:rsidRDefault="00E4120D" w:rsidP="00E4120D">
      <w:pPr>
        <w:pStyle w:val="ListParagraph"/>
        <w:ind w:left="360"/>
        <w:jc w:val="both"/>
        <w:rPr>
          <w:rFonts w:asciiTheme="majorHAnsi" w:hAnsiTheme="majorHAnsi"/>
        </w:rPr>
      </w:pPr>
    </w:p>
    <w:p w14:paraId="04726640" w14:textId="500E2CE2" w:rsidR="000F5A4E" w:rsidRPr="00473EE5" w:rsidRDefault="00B42DB6" w:rsidP="00945E71">
      <w:pPr>
        <w:pStyle w:val="ListParagraph"/>
        <w:numPr>
          <w:ilvl w:val="0"/>
          <w:numId w:val="25"/>
        </w:numPr>
        <w:spacing w:line="360" w:lineRule="auto"/>
        <w:jc w:val="both"/>
        <w:rPr>
          <w:rFonts w:asciiTheme="majorHAnsi" w:hAnsiTheme="majorHAnsi"/>
        </w:rPr>
      </w:pPr>
      <w:r w:rsidRPr="00473EE5">
        <w:rPr>
          <w:rFonts w:asciiTheme="majorHAnsi" w:hAnsiTheme="majorHAnsi"/>
        </w:rPr>
        <w:lastRenderedPageBreak/>
        <w:t xml:space="preserve">Articles 1-3, 4(1), </w:t>
      </w:r>
      <w:r w:rsidR="00A46D3E" w:rsidRPr="00473EE5">
        <w:rPr>
          <w:rFonts w:asciiTheme="majorHAnsi" w:hAnsiTheme="majorHAnsi"/>
        </w:rPr>
        <w:t xml:space="preserve">5(a) </w:t>
      </w:r>
      <w:r w:rsidRPr="00473EE5">
        <w:rPr>
          <w:rFonts w:asciiTheme="majorHAnsi" w:hAnsiTheme="majorHAnsi"/>
        </w:rPr>
        <w:t xml:space="preserve">and 6 </w:t>
      </w:r>
      <w:r w:rsidR="00A46D3E" w:rsidRPr="00473EE5">
        <w:rPr>
          <w:rFonts w:asciiTheme="majorHAnsi" w:hAnsiTheme="majorHAnsi"/>
        </w:rPr>
        <w:t>of CEDAW.</w:t>
      </w:r>
      <w:r w:rsidRPr="00473EE5">
        <w:rPr>
          <w:rFonts w:asciiTheme="majorHAnsi" w:hAnsiTheme="majorHAnsi"/>
        </w:rPr>
        <w:t xml:space="preserve"> </w:t>
      </w:r>
      <w:r w:rsidR="000F5A4E" w:rsidRPr="00473EE5">
        <w:rPr>
          <w:rFonts w:asciiTheme="majorHAnsi" w:hAnsiTheme="majorHAnsi"/>
        </w:rPr>
        <w:t>The CEDAW GR No. 19 recognises gender-based violence (GBV) as a form of discrimination, and mandate</w:t>
      </w:r>
      <w:r w:rsidR="008A2310" w:rsidRPr="00473EE5">
        <w:rPr>
          <w:rFonts w:asciiTheme="majorHAnsi" w:hAnsiTheme="majorHAnsi"/>
        </w:rPr>
        <w:t>s</w:t>
      </w:r>
      <w:r w:rsidR="000F5A4E" w:rsidRPr="00473EE5">
        <w:rPr>
          <w:rFonts w:asciiTheme="majorHAnsi" w:hAnsiTheme="majorHAnsi"/>
        </w:rPr>
        <w:t xml:space="preserve"> that states take appropriate and effective measures to overcome all forms of GBV, public or private.</w:t>
      </w:r>
    </w:p>
    <w:p w14:paraId="5F7ECF2E" w14:textId="18C9E7DE" w:rsidR="00B42DB6" w:rsidRPr="00473EE5" w:rsidRDefault="00A46D3E" w:rsidP="00945E71">
      <w:pPr>
        <w:pStyle w:val="ListParagraph"/>
        <w:numPr>
          <w:ilvl w:val="0"/>
          <w:numId w:val="25"/>
        </w:numPr>
        <w:spacing w:line="360" w:lineRule="auto"/>
        <w:jc w:val="both"/>
        <w:rPr>
          <w:rFonts w:asciiTheme="majorHAnsi" w:hAnsiTheme="majorHAnsi"/>
        </w:rPr>
      </w:pPr>
      <w:r w:rsidRPr="00473EE5">
        <w:rPr>
          <w:rFonts w:asciiTheme="majorHAnsi" w:hAnsiTheme="majorHAnsi"/>
        </w:rPr>
        <w:t>The CEDAW GR No. 30</w:t>
      </w:r>
      <w:r w:rsidR="00DD65C7" w:rsidRPr="00473EE5">
        <w:rPr>
          <w:rFonts w:asciiTheme="majorHAnsi" w:hAnsiTheme="majorHAnsi"/>
        </w:rPr>
        <w:t>, which</w:t>
      </w:r>
      <w:r w:rsidRPr="00473EE5">
        <w:rPr>
          <w:rFonts w:asciiTheme="majorHAnsi" w:hAnsiTheme="majorHAnsi"/>
        </w:rPr>
        <w:t xml:space="preserve"> expands on states’ protection obligations and d</w:t>
      </w:r>
      <w:r w:rsidR="00DD65C7" w:rsidRPr="00473EE5">
        <w:rPr>
          <w:rFonts w:asciiTheme="majorHAnsi" w:hAnsiTheme="majorHAnsi"/>
        </w:rPr>
        <w:t>iverges</w:t>
      </w:r>
      <w:r w:rsidRPr="00473EE5">
        <w:rPr>
          <w:rFonts w:asciiTheme="majorHAnsi" w:hAnsiTheme="majorHAnsi"/>
        </w:rPr>
        <w:t xml:space="preserve"> from SCR 1325 by encouraging non-state actors to protect women. It specifies measures concerning violence against vulnerable women and girls, including: those living with HIV/AIDS; internally displaced, refugee and trafficked women; female combatants (in state and non-state groups); and women campaigning for public office or exercising their right to vote. It places obligations throughout the conflict cycle, including establishing early warning systems and gender-specific security measures to prevent the escalation of GBV and other rights violations. </w:t>
      </w:r>
      <w:r w:rsidR="00213B17" w:rsidRPr="00473EE5">
        <w:rPr>
          <w:rFonts w:asciiTheme="majorHAnsi" w:hAnsiTheme="majorHAnsi"/>
        </w:rPr>
        <w:t xml:space="preserve">The </w:t>
      </w:r>
      <w:r w:rsidRPr="00473EE5">
        <w:rPr>
          <w:rFonts w:asciiTheme="majorHAnsi" w:hAnsiTheme="majorHAnsi"/>
        </w:rPr>
        <w:t>measures to prevent, ad</w:t>
      </w:r>
      <w:r w:rsidR="00F844D8" w:rsidRPr="00473EE5">
        <w:rPr>
          <w:rFonts w:asciiTheme="majorHAnsi" w:hAnsiTheme="majorHAnsi"/>
        </w:rPr>
        <w:t xml:space="preserve">dress and end impunity for GBV </w:t>
      </w:r>
      <w:r w:rsidR="00213B17" w:rsidRPr="00473EE5">
        <w:rPr>
          <w:rFonts w:asciiTheme="majorHAnsi" w:hAnsiTheme="majorHAnsi"/>
        </w:rPr>
        <w:t xml:space="preserve">of the CEDAW GR No. 30 that </w:t>
      </w:r>
      <w:r w:rsidRPr="00473EE5">
        <w:rPr>
          <w:rFonts w:asciiTheme="majorHAnsi" w:hAnsiTheme="majorHAnsi"/>
        </w:rPr>
        <w:t>go b</w:t>
      </w:r>
      <w:r w:rsidR="00213B17" w:rsidRPr="00473EE5">
        <w:rPr>
          <w:rFonts w:asciiTheme="majorHAnsi" w:hAnsiTheme="majorHAnsi"/>
        </w:rPr>
        <w:t>eyond the language of SCR 1325,</w:t>
      </w:r>
      <w:r w:rsidR="00F844D8" w:rsidRPr="00473EE5">
        <w:rPr>
          <w:rFonts w:asciiTheme="majorHAnsi" w:hAnsiTheme="majorHAnsi"/>
        </w:rPr>
        <w:t xml:space="preserve"> are</w:t>
      </w:r>
      <w:r w:rsidRPr="00473EE5">
        <w:rPr>
          <w:rFonts w:asciiTheme="majorHAnsi" w:hAnsiTheme="majorHAnsi"/>
        </w:rPr>
        <w:t xml:space="preserve"> discussed below. </w:t>
      </w:r>
    </w:p>
    <w:p w14:paraId="20FD5B80" w14:textId="0EB9BA01" w:rsidR="00EF479B" w:rsidRPr="00473EE5" w:rsidRDefault="00213B17" w:rsidP="00945E71">
      <w:pPr>
        <w:pStyle w:val="ListParagraph"/>
        <w:numPr>
          <w:ilvl w:val="0"/>
          <w:numId w:val="25"/>
        </w:numPr>
        <w:spacing w:line="360" w:lineRule="auto"/>
        <w:jc w:val="both"/>
        <w:rPr>
          <w:rFonts w:asciiTheme="majorHAnsi" w:hAnsiTheme="majorHAnsi"/>
        </w:rPr>
      </w:pPr>
      <w:r w:rsidRPr="00473EE5">
        <w:rPr>
          <w:rFonts w:asciiTheme="majorHAnsi" w:hAnsiTheme="majorHAnsi"/>
        </w:rPr>
        <w:t xml:space="preserve">Article 34 of the Convention on the Rights of The Child (CRC) which requires states to protect children from all forms of sexual exploitation and sexual abuse, and the CRC General Comment No. 13 on children’s right to freedom from all forms of violence, recognises the gender dimensions of violence against girls and boys, acknowledges that children in armed conflict are especially vulnerable to violence, and calls for cross-border cooperation regarding children affected by conflict. </w:t>
      </w:r>
    </w:p>
    <w:p w14:paraId="32AC0761" w14:textId="77777777" w:rsidR="00EF479B" w:rsidRPr="00473EE5" w:rsidRDefault="00EF479B" w:rsidP="006E35CE">
      <w:pPr>
        <w:ind w:left="360"/>
        <w:jc w:val="both"/>
        <w:rPr>
          <w:rFonts w:asciiTheme="majorHAnsi" w:hAnsiTheme="majorHAnsi"/>
        </w:rPr>
      </w:pPr>
    </w:p>
    <w:p w14:paraId="73428F40" w14:textId="7EC262C1" w:rsidR="00F84D2C" w:rsidRPr="00473EE5" w:rsidRDefault="004E5EBC" w:rsidP="00671735">
      <w:pPr>
        <w:pStyle w:val="ListParagraph"/>
        <w:numPr>
          <w:ilvl w:val="0"/>
          <w:numId w:val="2"/>
        </w:numPr>
        <w:jc w:val="both"/>
        <w:rPr>
          <w:rFonts w:asciiTheme="majorHAnsi" w:hAnsiTheme="majorHAnsi" w:cs="Times New Roman"/>
          <w:b/>
          <w:color w:val="1F497D" w:themeColor="text2"/>
          <w:u w:val="single"/>
        </w:rPr>
      </w:pPr>
      <w:r w:rsidRPr="00473EE5">
        <w:rPr>
          <w:rFonts w:asciiTheme="majorHAnsi" w:hAnsiTheme="majorHAnsi" w:cs="Times New Roman"/>
          <w:b/>
          <w:color w:val="1F497D" w:themeColor="text2"/>
          <w:u w:val="single"/>
        </w:rPr>
        <w:t xml:space="preserve">Relief and Recovery </w:t>
      </w:r>
    </w:p>
    <w:p w14:paraId="52147DD2" w14:textId="77777777" w:rsidR="00B42DB6" w:rsidRPr="00473EE5" w:rsidRDefault="00B42DB6" w:rsidP="00B42DB6">
      <w:pPr>
        <w:jc w:val="both"/>
        <w:rPr>
          <w:rFonts w:asciiTheme="majorHAnsi" w:hAnsiTheme="majorHAnsi" w:cs="Times New Roman"/>
          <w:b/>
          <w:u w:val="single"/>
        </w:rPr>
      </w:pPr>
    </w:p>
    <w:p w14:paraId="7CC728C8" w14:textId="6A1A1BC4" w:rsidR="000F5A4E" w:rsidRPr="00473EE5" w:rsidRDefault="0080220E" w:rsidP="00945E71">
      <w:pPr>
        <w:pStyle w:val="ListParagraph"/>
        <w:numPr>
          <w:ilvl w:val="0"/>
          <w:numId w:val="17"/>
        </w:numPr>
        <w:spacing w:line="360" w:lineRule="auto"/>
        <w:jc w:val="both"/>
        <w:rPr>
          <w:rFonts w:asciiTheme="majorHAnsi" w:hAnsiTheme="majorHAnsi"/>
        </w:rPr>
      </w:pPr>
      <w:r w:rsidRPr="00473EE5">
        <w:rPr>
          <w:rFonts w:asciiTheme="majorHAnsi" w:hAnsiTheme="majorHAnsi"/>
        </w:rPr>
        <w:t xml:space="preserve">SCR 1325 emphasizes the responsibility of all States to </w:t>
      </w:r>
      <w:r w:rsidRPr="00473EE5">
        <w:rPr>
          <w:rFonts w:asciiTheme="majorHAnsi" w:hAnsiTheme="majorHAnsi"/>
          <w:b/>
          <w:color w:val="4F81BD" w:themeColor="accent1"/>
        </w:rPr>
        <w:t>end impunity</w:t>
      </w:r>
      <w:r w:rsidRPr="00473EE5">
        <w:rPr>
          <w:rFonts w:asciiTheme="majorHAnsi" w:hAnsiTheme="majorHAnsi"/>
        </w:rPr>
        <w:t xml:space="preserve"> </w:t>
      </w:r>
      <w:r w:rsidR="00F84D2C" w:rsidRPr="00473EE5">
        <w:rPr>
          <w:rFonts w:asciiTheme="majorHAnsi" w:hAnsiTheme="majorHAnsi"/>
        </w:rPr>
        <w:t xml:space="preserve">and prosecute those responsible for </w:t>
      </w:r>
      <w:r w:rsidR="00F84D2C" w:rsidRPr="00473EE5">
        <w:rPr>
          <w:rFonts w:asciiTheme="majorHAnsi" w:hAnsiTheme="majorHAnsi"/>
          <w:b/>
          <w:color w:val="4F81BD" w:themeColor="accent1"/>
        </w:rPr>
        <w:t>genocide, crimes against humanity and war crimes</w:t>
      </w:r>
      <w:r w:rsidR="00F84D2C" w:rsidRPr="00473EE5">
        <w:rPr>
          <w:rFonts w:asciiTheme="majorHAnsi" w:hAnsiTheme="majorHAnsi"/>
        </w:rPr>
        <w:t xml:space="preserve">, including those relating to </w:t>
      </w:r>
      <w:r w:rsidR="00F84D2C" w:rsidRPr="00473EE5">
        <w:rPr>
          <w:rFonts w:asciiTheme="majorHAnsi" w:hAnsiTheme="majorHAnsi"/>
          <w:b/>
          <w:color w:val="4F81BD" w:themeColor="accent1"/>
        </w:rPr>
        <w:t>sexual and other violence</w:t>
      </w:r>
      <w:r w:rsidR="00F84D2C" w:rsidRPr="00473EE5">
        <w:rPr>
          <w:rFonts w:asciiTheme="majorHAnsi" w:hAnsiTheme="majorHAnsi"/>
          <w:color w:val="4F81BD" w:themeColor="accent1"/>
        </w:rPr>
        <w:t xml:space="preserve"> </w:t>
      </w:r>
      <w:r w:rsidR="00F84D2C" w:rsidRPr="00473EE5">
        <w:rPr>
          <w:rFonts w:asciiTheme="majorHAnsi" w:hAnsiTheme="majorHAnsi"/>
        </w:rPr>
        <w:t>against women and girls. It stresses the need to exclude these crimes from amnesty provisions (where feasible).</w:t>
      </w:r>
      <w:r w:rsidR="00A46D3E" w:rsidRPr="00473EE5">
        <w:rPr>
          <w:rFonts w:asciiTheme="majorHAnsi" w:hAnsiTheme="majorHAnsi"/>
        </w:rPr>
        <w:t xml:space="preserve"> </w:t>
      </w:r>
      <w:r w:rsidR="00DD65C7" w:rsidRPr="00473EE5">
        <w:rPr>
          <w:rFonts w:asciiTheme="majorHAnsi" w:hAnsiTheme="majorHAnsi"/>
        </w:rPr>
        <w:t>This reflects</w:t>
      </w:r>
      <w:r w:rsidR="006E35CE" w:rsidRPr="00473EE5">
        <w:rPr>
          <w:rFonts w:asciiTheme="majorHAnsi" w:hAnsiTheme="majorHAnsi"/>
        </w:rPr>
        <w:t xml:space="preserve"> states’ obligations under c</w:t>
      </w:r>
      <w:r w:rsidR="0037328A" w:rsidRPr="00473EE5">
        <w:rPr>
          <w:rFonts w:asciiTheme="majorHAnsi" w:hAnsiTheme="majorHAnsi"/>
        </w:rPr>
        <w:t>ustomary IHL and treaties. The latter</w:t>
      </w:r>
      <w:r w:rsidR="006E35CE" w:rsidRPr="00473EE5">
        <w:rPr>
          <w:rFonts w:asciiTheme="majorHAnsi" w:hAnsiTheme="majorHAnsi"/>
        </w:rPr>
        <w:t xml:space="preserve"> include</w:t>
      </w:r>
      <w:r w:rsidR="0037328A" w:rsidRPr="00473EE5">
        <w:rPr>
          <w:rFonts w:asciiTheme="majorHAnsi" w:hAnsiTheme="majorHAnsi"/>
        </w:rPr>
        <w:t>s</w:t>
      </w:r>
      <w:r w:rsidR="00DD65C7" w:rsidRPr="00473EE5">
        <w:rPr>
          <w:rFonts w:asciiTheme="majorHAnsi" w:hAnsiTheme="majorHAnsi"/>
        </w:rPr>
        <w:t xml:space="preserve">: </w:t>
      </w:r>
      <w:r w:rsidR="00B42DB6" w:rsidRPr="00473EE5">
        <w:rPr>
          <w:rStyle w:val="FootnoteReference"/>
          <w:rFonts w:asciiTheme="majorHAnsi" w:hAnsiTheme="majorHAnsi"/>
        </w:rPr>
        <w:footnoteReference w:id="41"/>
      </w:r>
    </w:p>
    <w:p w14:paraId="235F1DA9" w14:textId="77777777" w:rsidR="00E4120D" w:rsidRPr="00473EE5" w:rsidRDefault="00E4120D" w:rsidP="00E4120D">
      <w:pPr>
        <w:pStyle w:val="ListParagraph"/>
        <w:ind w:left="360"/>
        <w:jc w:val="both"/>
        <w:rPr>
          <w:rFonts w:asciiTheme="majorHAnsi" w:hAnsiTheme="majorHAnsi"/>
        </w:rPr>
      </w:pPr>
    </w:p>
    <w:p w14:paraId="49398439" w14:textId="30212C35" w:rsidR="00A4217A" w:rsidRPr="00473EE5" w:rsidRDefault="00A4217A" w:rsidP="00945E71">
      <w:pPr>
        <w:pStyle w:val="ListParagraph"/>
        <w:numPr>
          <w:ilvl w:val="0"/>
          <w:numId w:val="29"/>
        </w:numPr>
        <w:spacing w:line="360" w:lineRule="auto"/>
        <w:jc w:val="both"/>
        <w:rPr>
          <w:rFonts w:asciiTheme="majorHAnsi" w:hAnsiTheme="majorHAnsi"/>
        </w:rPr>
      </w:pPr>
      <w:r w:rsidRPr="00473EE5">
        <w:rPr>
          <w:rFonts w:asciiTheme="majorHAnsi" w:hAnsiTheme="majorHAnsi"/>
        </w:rPr>
        <w:t xml:space="preserve">Articles 1-3, 5(a) and 15 of CEDAW, and recommendations on access to justice in the CEDAW GR No. 30. As discussed below, the CEDAW GR No. 30 expands on the language in SCR 1325 to guarantee substantive </w:t>
      </w:r>
      <w:r w:rsidR="00213B17" w:rsidRPr="00473EE5">
        <w:rPr>
          <w:rFonts w:asciiTheme="majorHAnsi" w:hAnsiTheme="majorHAnsi"/>
        </w:rPr>
        <w:t>and</w:t>
      </w:r>
      <w:r w:rsidRPr="00473EE5">
        <w:rPr>
          <w:rFonts w:asciiTheme="majorHAnsi" w:hAnsiTheme="majorHAnsi"/>
        </w:rPr>
        <w:t xml:space="preserve"> transformative equality. </w:t>
      </w:r>
    </w:p>
    <w:p w14:paraId="5F6858C2" w14:textId="217BCA16" w:rsidR="006E35CE" w:rsidRPr="00473EE5" w:rsidRDefault="006E35CE" w:rsidP="00945E71">
      <w:pPr>
        <w:pStyle w:val="ListParagraph"/>
        <w:numPr>
          <w:ilvl w:val="0"/>
          <w:numId w:val="29"/>
        </w:numPr>
        <w:spacing w:line="360" w:lineRule="auto"/>
        <w:jc w:val="both"/>
        <w:rPr>
          <w:rFonts w:asciiTheme="majorHAnsi" w:hAnsiTheme="majorHAnsi"/>
        </w:rPr>
      </w:pPr>
      <w:r w:rsidRPr="00473EE5">
        <w:rPr>
          <w:rFonts w:asciiTheme="majorHAnsi" w:hAnsiTheme="majorHAnsi"/>
        </w:rPr>
        <w:lastRenderedPageBreak/>
        <w:t>The</w:t>
      </w:r>
      <w:r w:rsidR="00933E3D" w:rsidRPr="00473EE5">
        <w:rPr>
          <w:rFonts w:asciiTheme="majorHAnsi" w:hAnsiTheme="majorHAnsi"/>
        </w:rPr>
        <w:t xml:space="preserve"> Rome Statute</w:t>
      </w:r>
      <w:r w:rsidR="00ED0031" w:rsidRPr="00473EE5">
        <w:rPr>
          <w:rFonts w:asciiTheme="majorHAnsi" w:hAnsiTheme="majorHAnsi"/>
        </w:rPr>
        <w:t>, which aims to e</w:t>
      </w:r>
      <w:r w:rsidR="00213B17" w:rsidRPr="00473EE5">
        <w:rPr>
          <w:rFonts w:asciiTheme="majorHAnsi" w:hAnsiTheme="majorHAnsi"/>
        </w:rPr>
        <w:t xml:space="preserve">nd impunity and recognizes </w:t>
      </w:r>
      <w:r w:rsidR="00ED0031" w:rsidRPr="00473EE5">
        <w:rPr>
          <w:rFonts w:asciiTheme="majorHAnsi" w:hAnsiTheme="majorHAnsi"/>
        </w:rPr>
        <w:t>rape</w:t>
      </w:r>
      <w:r w:rsidR="00EB6A44" w:rsidRPr="00473EE5">
        <w:rPr>
          <w:rFonts w:asciiTheme="majorHAnsi" w:hAnsiTheme="majorHAnsi"/>
        </w:rPr>
        <w:t xml:space="preserve"> </w:t>
      </w:r>
      <w:r w:rsidR="00ED0031" w:rsidRPr="00473EE5">
        <w:rPr>
          <w:rFonts w:asciiTheme="majorHAnsi" w:hAnsiTheme="majorHAnsi"/>
        </w:rPr>
        <w:t xml:space="preserve">and sexual violence </w:t>
      </w:r>
      <w:r w:rsidR="00F01120" w:rsidRPr="00473EE5">
        <w:rPr>
          <w:rFonts w:asciiTheme="majorHAnsi" w:hAnsiTheme="majorHAnsi"/>
        </w:rPr>
        <w:t>as crimes against humanity and war crimes in</w:t>
      </w:r>
      <w:r w:rsidR="00E859F8" w:rsidRPr="00473EE5">
        <w:rPr>
          <w:rFonts w:asciiTheme="majorHAnsi" w:hAnsiTheme="majorHAnsi"/>
        </w:rPr>
        <w:t xml:space="preserve"> Articles 7(g) and 8</w:t>
      </w:r>
      <w:r w:rsidR="00F01120" w:rsidRPr="00473EE5">
        <w:rPr>
          <w:rFonts w:asciiTheme="majorHAnsi" w:hAnsiTheme="majorHAnsi"/>
        </w:rPr>
        <w:t>(2)</w:t>
      </w:r>
      <w:r w:rsidR="00E859F8" w:rsidRPr="00473EE5">
        <w:rPr>
          <w:rFonts w:asciiTheme="majorHAnsi" w:hAnsiTheme="majorHAnsi"/>
        </w:rPr>
        <w:t>(b)(xxiii)</w:t>
      </w:r>
      <w:r w:rsidR="00F01120" w:rsidRPr="00473EE5">
        <w:rPr>
          <w:rFonts w:asciiTheme="majorHAnsi" w:hAnsiTheme="majorHAnsi"/>
        </w:rPr>
        <w:t xml:space="preserve"> respectively</w:t>
      </w:r>
      <w:r w:rsidR="00ED0031" w:rsidRPr="00473EE5">
        <w:rPr>
          <w:rFonts w:asciiTheme="majorHAnsi" w:hAnsiTheme="majorHAnsi"/>
        </w:rPr>
        <w:t>.</w:t>
      </w:r>
      <w:r w:rsidR="006A4747" w:rsidRPr="00473EE5">
        <w:rPr>
          <w:rFonts w:asciiTheme="majorHAnsi" w:hAnsiTheme="majorHAnsi"/>
        </w:rPr>
        <w:t xml:space="preserve"> </w:t>
      </w:r>
    </w:p>
    <w:p w14:paraId="456B6E87" w14:textId="095B94E0" w:rsidR="000F5A4E" w:rsidRPr="00473EE5" w:rsidRDefault="006E35CE" w:rsidP="00945E71">
      <w:pPr>
        <w:pStyle w:val="ListParagraph"/>
        <w:numPr>
          <w:ilvl w:val="0"/>
          <w:numId w:val="29"/>
        </w:numPr>
        <w:spacing w:line="360" w:lineRule="auto"/>
        <w:jc w:val="both"/>
        <w:rPr>
          <w:rFonts w:asciiTheme="majorHAnsi" w:hAnsiTheme="majorHAnsi"/>
        </w:rPr>
      </w:pPr>
      <w:r w:rsidRPr="00473EE5">
        <w:rPr>
          <w:rFonts w:asciiTheme="majorHAnsi" w:hAnsiTheme="majorHAnsi"/>
        </w:rPr>
        <w:t>Common</w:t>
      </w:r>
      <w:r w:rsidR="00E859F8" w:rsidRPr="00473EE5">
        <w:rPr>
          <w:rFonts w:asciiTheme="majorHAnsi" w:hAnsiTheme="majorHAnsi"/>
        </w:rPr>
        <w:t xml:space="preserve"> Article 3 of </w:t>
      </w:r>
      <w:r w:rsidR="00ED0031" w:rsidRPr="00473EE5">
        <w:rPr>
          <w:rFonts w:asciiTheme="majorHAnsi" w:hAnsiTheme="majorHAnsi"/>
        </w:rPr>
        <w:t>the Geneva Conventions, which recognize rape and sexual violence as grave breaches of</w:t>
      </w:r>
      <w:r w:rsidR="00E859F8" w:rsidRPr="00473EE5">
        <w:rPr>
          <w:rFonts w:asciiTheme="majorHAnsi" w:hAnsiTheme="majorHAnsi"/>
        </w:rPr>
        <w:t xml:space="preserve"> international humanitarian law, as well as Articles 75(2) and 4(</w:t>
      </w:r>
      <w:r w:rsidR="00821A24" w:rsidRPr="00473EE5">
        <w:rPr>
          <w:rFonts w:asciiTheme="majorHAnsi" w:hAnsiTheme="majorHAnsi"/>
        </w:rPr>
        <w:t>2) of the Additional Protocols I and II</w:t>
      </w:r>
      <w:r w:rsidR="00E859F8" w:rsidRPr="00473EE5">
        <w:rPr>
          <w:rFonts w:asciiTheme="majorHAnsi" w:hAnsiTheme="majorHAnsi"/>
        </w:rPr>
        <w:t xml:space="preserve"> respectively, which include rape, enforced prostitution or any other form of indecent assault under the prohibition of outrages upon personal dignity. Articles 27(2) of the Fourth Geneva Convention an</w:t>
      </w:r>
      <w:r w:rsidR="00821A24" w:rsidRPr="00473EE5">
        <w:rPr>
          <w:rFonts w:asciiTheme="majorHAnsi" w:hAnsiTheme="majorHAnsi"/>
        </w:rPr>
        <w:t>d 76-77 of Additional Protocol I</w:t>
      </w:r>
      <w:r w:rsidR="00E859F8" w:rsidRPr="00473EE5">
        <w:rPr>
          <w:rFonts w:asciiTheme="majorHAnsi" w:hAnsiTheme="majorHAnsi"/>
        </w:rPr>
        <w:t xml:space="preserve"> require protection for women and</w:t>
      </w:r>
      <w:r w:rsidR="000F5A4E" w:rsidRPr="00473EE5">
        <w:rPr>
          <w:rFonts w:asciiTheme="majorHAnsi" w:hAnsiTheme="majorHAnsi"/>
        </w:rPr>
        <w:t xml:space="preserve"> children against these crimes.</w:t>
      </w:r>
    </w:p>
    <w:p w14:paraId="4515F69D" w14:textId="62E5752B" w:rsidR="000F5A4E" w:rsidRPr="00473EE5" w:rsidRDefault="00E859F8" w:rsidP="00945E71">
      <w:pPr>
        <w:pStyle w:val="ListParagraph"/>
        <w:numPr>
          <w:ilvl w:val="0"/>
          <w:numId w:val="29"/>
        </w:numPr>
        <w:spacing w:line="360" w:lineRule="auto"/>
        <w:jc w:val="both"/>
        <w:rPr>
          <w:rFonts w:asciiTheme="majorHAnsi" w:hAnsiTheme="majorHAnsi"/>
        </w:rPr>
      </w:pPr>
      <w:r w:rsidRPr="00473EE5">
        <w:rPr>
          <w:rFonts w:asciiTheme="majorHAnsi" w:hAnsiTheme="majorHAnsi"/>
        </w:rPr>
        <w:t xml:space="preserve">The Statutes of the International Criminal </w:t>
      </w:r>
      <w:r w:rsidR="00F01120" w:rsidRPr="00473EE5">
        <w:rPr>
          <w:rFonts w:asciiTheme="majorHAnsi" w:hAnsiTheme="majorHAnsi"/>
        </w:rPr>
        <w:t>Tribunals for the former Rwanda and Sierra Leone and Yugoslavia</w:t>
      </w:r>
      <w:r w:rsidR="006E35CE" w:rsidRPr="00473EE5">
        <w:rPr>
          <w:rFonts w:asciiTheme="majorHAnsi" w:hAnsiTheme="majorHAnsi"/>
        </w:rPr>
        <w:t>, which</w:t>
      </w:r>
      <w:r w:rsidR="00F01120" w:rsidRPr="00473EE5">
        <w:rPr>
          <w:rFonts w:asciiTheme="majorHAnsi" w:hAnsiTheme="majorHAnsi"/>
        </w:rPr>
        <w:t xml:space="preserve"> also recognise </w:t>
      </w:r>
      <w:r w:rsidR="00EF49A3" w:rsidRPr="00473EE5">
        <w:rPr>
          <w:rFonts w:asciiTheme="majorHAnsi" w:hAnsiTheme="majorHAnsi"/>
        </w:rPr>
        <w:t>rape and/or sexual violence as war crimes and/or crimes against humanity</w:t>
      </w:r>
      <w:r w:rsidR="00F01120" w:rsidRPr="00473EE5">
        <w:rPr>
          <w:rFonts w:asciiTheme="majorHAnsi" w:hAnsiTheme="majorHAnsi"/>
        </w:rPr>
        <w:t xml:space="preserve">. </w:t>
      </w:r>
    </w:p>
    <w:p w14:paraId="5788BF73" w14:textId="77777777" w:rsidR="00B42DB6" w:rsidRPr="00473EE5" w:rsidRDefault="00B42DB6" w:rsidP="00B42DB6">
      <w:pPr>
        <w:ind w:left="360"/>
        <w:jc w:val="both"/>
        <w:rPr>
          <w:rFonts w:asciiTheme="majorHAnsi" w:hAnsiTheme="majorHAnsi"/>
        </w:rPr>
      </w:pPr>
    </w:p>
    <w:p w14:paraId="5EF9CC98" w14:textId="2B471DAB" w:rsidR="000F5A4E" w:rsidRPr="00473EE5" w:rsidRDefault="00C4646F" w:rsidP="00945E71">
      <w:pPr>
        <w:pStyle w:val="ListParagraph"/>
        <w:numPr>
          <w:ilvl w:val="0"/>
          <w:numId w:val="17"/>
        </w:numPr>
        <w:spacing w:line="360" w:lineRule="auto"/>
        <w:jc w:val="both"/>
        <w:rPr>
          <w:rFonts w:asciiTheme="majorHAnsi" w:hAnsiTheme="majorHAnsi"/>
        </w:rPr>
      </w:pPr>
      <w:r w:rsidRPr="00473EE5">
        <w:rPr>
          <w:rFonts w:asciiTheme="majorHAnsi" w:hAnsiTheme="majorHAnsi"/>
        </w:rPr>
        <w:t>The Resolution calls all parties to armed conflict to respect the</w:t>
      </w:r>
      <w:r w:rsidRPr="00473EE5">
        <w:rPr>
          <w:rFonts w:asciiTheme="majorHAnsi" w:hAnsiTheme="majorHAnsi"/>
          <w:color w:val="4F81BD" w:themeColor="accent1"/>
        </w:rPr>
        <w:t xml:space="preserve"> </w:t>
      </w:r>
      <w:r w:rsidRPr="00473EE5">
        <w:rPr>
          <w:rFonts w:asciiTheme="majorHAnsi" w:hAnsiTheme="majorHAnsi"/>
          <w:b/>
          <w:color w:val="4F81BD" w:themeColor="accent1"/>
        </w:rPr>
        <w:t>civilian and humanitarian character of refugee camps and settlements</w:t>
      </w:r>
      <w:r w:rsidR="00F84D2C" w:rsidRPr="00473EE5">
        <w:rPr>
          <w:rFonts w:asciiTheme="majorHAnsi" w:hAnsiTheme="majorHAnsi"/>
        </w:rPr>
        <w:t>, and to take into account</w:t>
      </w:r>
      <w:r w:rsidR="00F84D2C" w:rsidRPr="00473EE5">
        <w:rPr>
          <w:rFonts w:asciiTheme="majorHAnsi" w:hAnsiTheme="majorHAnsi"/>
          <w:color w:val="4F81BD" w:themeColor="accent1"/>
        </w:rPr>
        <w:t xml:space="preserve"> </w:t>
      </w:r>
      <w:r w:rsidR="00F84D2C" w:rsidRPr="00473EE5">
        <w:rPr>
          <w:rFonts w:asciiTheme="majorHAnsi" w:hAnsiTheme="majorHAnsi"/>
          <w:b/>
          <w:color w:val="4F81BD" w:themeColor="accent1"/>
        </w:rPr>
        <w:t>women and girls’</w:t>
      </w:r>
      <w:r w:rsidR="00F84D2C" w:rsidRPr="00473EE5">
        <w:rPr>
          <w:rFonts w:asciiTheme="majorHAnsi" w:hAnsiTheme="majorHAnsi"/>
          <w:color w:val="4F81BD" w:themeColor="accent1"/>
        </w:rPr>
        <w:t xml:space="preserve"> </w:t>
      </w:r>
      <w:r w:rsidR="00F84D2C" w:rsidRPr="00473EE5">
        <w:rPr>
          <w:rFonts w:asciiTheme="majorHAnsi" w:hAnsiTheme="majorHAnsi"/>
        </w:rPr>
        <w:t xml:space="preserve">particular needs, including in designing these camps and settlements. </w:t>
      </w:r>
      <w:r w:rsidR="00DD65C7" w:rsidRPr="00473EE5">
        <w:rPr>
          <w:rFonts w:asciiTheme="majorHAnsi" w:hAnsiTheme="majorHAnsi"/>
        </w:rPr>
        <w:t xml:space="preserve">This reflects: </w:t>
      </w:r>
      <w:r w:rsidR="006E35CE" w:rsidRPr="00473EE5">
        <w:rPr>
          <w:rStyle w:val="FootnoteReference"/>
          <w:rFonts w:asciiTheme="majorHAnsi" w:hAnsiTheme="majorHAnsi"/>
        </w:rPr>
        <w:footnoteReference w:id="42"/>
      </w:r>
    </w:p>
    <w:p w14:paraId="062168FF" w14:textId="77777777" w:rsidR="00945E71" w:rsidRPr="00473EE5" w:rsidRDefault="00945E71" w:rsidP="00945E71">
      <w:pPr>
        <w:pStyle w:val="ListParagraph"/>
        <w:ind w:left="360"/>
        <w:jc w:val="both"/>
        <w:rPr>
          <w:rFonts w:asciiTheme="majorHAnsi" w:hAnsiTheme="majorHAnsi"/>
        </w:rPr>
      </w:pPr>
    </w:p>
    <w:p w14:paraId="71DDFAF7" w14:textId="2F70CA88" w:rsidR="00A1614F" w:rsidRPr="00473EE5" w:rsidRDefault="00A1614F" w:rsidP="00945E71">
      <w:pPr>
        <w:pStyle w:val="ListParagraph"/>
        <w:numPr>
          <w:ilvl w:val="0"/>
          <w:numId w:val="30"/>
        </w:numPr>
        <w:spacing w:line="360" w:lineRule="auto"/>
        <w:jc w:val="both"/>
        <w:rPr>
          <w:rFonts w:asciiTheme="majorHAnsi" w:hAnsiTheme="majorHAnsi"/>
        </w:rPr>
      </w:pPr>
      <w:r w:rsidRPr="00473EE5">
        <w:rPr>
          <w:rFonts w:asciiTheme="majorHAnsi" w:hAnsiTheme="majorHAnsi"/>
        </w:rPr>
        <w:t>Article</w:t>
      </w:r>
      <w:r w:rsidR="00821A24" w:rsidRPr="00473EE5">
        <w:rPr>
          <w:rFonts w:asciiTheme="majorHAnsi" w:hAnsiTheme="majorHAnsi"/>
        </w:rPr>
        <w:t>s</w:t>
      </w:r>
      <w:r w:rsidRPr="00473EE5">
        <w:rPr>
          <w:rFonts w:asciiTheme="majorHAnsi" w:hAnsiTheme="majorHAnsi"/>
        </w:rPr>
        <w:t xml:space="preserve"> 1-3 and 15 of CEDAW, and the </w:t>
      </w:r>
      <w:r w:rsidR="00821A24" w:rsidRPr="00473EE5">
        <w:rPr>
          <w:rFonts w:asciiTheme="majorHAnsi" w:hAnsiTheme="majorHAnsi"/>
        </w:rPr>
        <w:t xml:space="preserve">CEDAW </w:t>
      </w:r>
      <w:r w:rsidRPr="00473EE5">
        <w:rPr>
          <w:rFonts w:asciiTheme="majorHAnsi" w:hAnsiTheme="majorHAnsi"/>
        </w:rPr>
        <w:t>GR No. 30, which provides specific guidance on refugee camps and settlements that expands the protections in SCR 1325 in relation to trafficked, refugee, migrant, IDP and stateless women and girls (see below).</w:t>
      </w:r>
    </w:p>
    <w:p w14:paraId="016CE952" w14:textId="516E4656" w:rsidR="000F5A4E" w:rsidRPr="00473EE5" w:rsidRDefault="00DD65C7" w:rsidP="00945E71">
      <w:pPr>
        <w:pStyle w:val="ListParagraph"/>
        <w:numPr>
          <w:ilvl w:val="0"/>
          <w:numId w:val="30"/>
        </w:numPr>
        <w:spacing w:line="360" w:lineRule="auto"/>
        <w:jc w:val="both"/>
        <w:rPr>
          <w:rFonts w:asciiTheme="majorHAnsi" w:hAnsiTheme="majorHAnsi"/>
        </w:rPr>
      </w:pPr>
      <w:r w:rsidRPr="00473EE5">
        <w:rPr>
          <w:rFonts w:asciiTheme="majorHAnsi" w:hAnsiTheme="majorHAnsi"/>
        </w:rPr>
        <w:t>The</w:t>
      </w:r>
      <w:r w:rsidR="002F55AB" w:rsidRPr="00473EE5">
        <w:rPr>
          <w:rFonts w:asciiTheme="majorHAnsi" w:hAnsiTheme="majorHAnsi"/>
        </w:rPr>
        <w:t xml:space="preserve"> general </w:t>
      </w:r>
      <w:r w:rsidR="00880D6D" w:rsidRPr="00473EE5">
        <w:rPr>
          <w:rFonts w:asciiTheme="majorHAnsi" w:hAnsiTheme="majorHAnsi"/>
        </w:rPr>
        <w:t xml:space="preserve">customary </w:t>
      </w:r>
      <w:r w:rsidR="002F55AB" w:rsidRPr="00473EE5">
        <w:rPr>
          <w:rFonts w:asciiTheme="majorHAnsi" w:hAnsiTheme="majorHAnsi"/>
        </w:rPr>
        <w:t>IHL rule regarding th</w:t>
      </w:r>
      <w:r w:rsidR="00873A04" w:rsidRPr="00473EE5">
        <w:rPr>
          <w:rFonts w:asciiTheme="majorHAnsi" w:hAnsiTheme="majorHAnsi"/>
        </w:rPr>
        <w:t>e</w:t>
      </w:r>
      <w:r w:rsidR="00083D64" w:rsidRPr="00473EE5">
        <w:rPr>
          <w:rFonts w:asciiTheme="majorHAnsi" w:hAnsiTheme="majorHAnsi"/>
        </w:rPr>
        <w:t xml:space="preserve"> treatment of displaced persons -</w:t>
      </w:r>
      <w:r w:rsidR="002F55AB" w:rsidRPr="00473EE5">
        <w:rPr>
          <w:rFonts w:asciiTheme="majorHAnsi" w:hAnsiTheme="majorHAnsi"/>
        </w:rPr>
        <w:t xml:space="preserve"> that all possible measures must be taken to receive civilians in satisfactory conditions of shelter, hygiene, health, safety and nutrition and to prevent family members from being separated. This general rule is supplemented</w:t>
      </w:r>
      <w:r w:rsidR="00873A04" w:rsidRPr="00473EE5">
        <w:rPr>
          <w:rFonts w:asciiTheme="majorHAnsi" w:hAnsiTheme="majorHAnsi"/>
        </w:rPr>
        <w:t xml:space="preserve"> by the rule that parties must consider the condition of each displaced person when providing assistance, which especially includes: </w:t>
      </w:r>
      <w:r w:rsidR="00370064" w:rsidRPr="00473EE5">
        <w:rPr>
          <w:rFonts w:asciiTheme="majorHAnsi" w:hAnsiTheme="majorHAnsi"/>
        </w:rPr>
        <w:t>unaccompanied children, expecta</w:t>
      </w:r>
      <w:r w:rsidR="00873A04" w:rsidRPr="00473EE5">
        <w:rPr>
          <w:rFonts w:asciiTheme="majorHAnsi" w:hAnsiTheme="majorHAnsi"/>
        </w:rPr>
        <w:t xml:space="preserve">nt and nursing mothers, persons with disabilities and the elderly. </w:t>
      </w:r>
    </w:p>
    <w:p w14:paraId="060D1EB5" w14:textId="3D91E2F0" w:rsidR="000F5A4E" w:rsidRPr="00473EE5" w:rsidRDefault="00821A24" w:rsidP="00945E71">
      <w:pPr>
        <w:pStyle w:val="ListParagraph"/>
        <w:numPr>
          <w:ilvl w:val="0"/>
          <w:numId w:val="30"/>
        </w:numPr>
        <w:spacing w:line="360" w:lineRule="auto"/>
        <w:jc w:val="both"/>
        <w:rPr>
          <w:rFonts w:asciiTheme="majorHAnsi" w:hAnsiTheme="majorHAnsi"/>
        </w:rPr>
      </w:pPr>
      <w:r w:rsidRPr="00473EE5">
        <w:rPr>
          <w:rFonts w:asciiTheme="majorHAnsi" w:hAnsiTheme="majorHAnsi"/>
        </w:rPr>
        <w:t>I</w:t>
      </w:r>
      <w:r w:rsidR="00FA3BD0" w:rsidRPr="00473EE5">
        <w:rPr>
          <w:rFonts w:asciiTheme="majorHAnsi" w:hAnsiTheme="majorHAnsi"/>
        </w:rPr>
        <w:t xml:space="preserve">nternational law from treaties, other instruments, state practice (via military manuals, legislation and official statements) and the practice of international organizations and conferences. </w:t>
      </w:r>
      <w:r w:rsidR="00873A04" w:rsidRPr="00473EE5">
        <w:rPr>
          <w:rFonts w:asciiTheme="majorHAnsi" w:hAnsiTheme="majorHAnsi"/>
        </w:rPr>
        <w:t>The relevant treaties include: Art</w:t>
      </w:r>
      <w:r w:rsidRPr="00473EE5">
        <w:rPr>
          <w:rFonts w:asciiTheme="majorHAnsi" w:hAnsiTheme="majorHAnsi"/>
        </w:rPr>
        <w:t>icle 78 of Additional Protocol I</w:t>
      </w:r>
      <w:r w:rsidR="00873A04" w:rsidRPr="00473EE5">
        <w:rPr>
          <w:rFonts w:asciiTheme="majorHAnsi" w:hAnsiTheme="majorHAnsi"/>
        </w:rPr>
        <w:t xml:space="preserve"> to the Geneva Conventions, which </w:t>
      </w:r>
      <w:r w:rsidR="00370064" w:rsidRPr="00473EE5">
        <w:rPr>
          <w:rFonts w:asciiTheme="majorHAnsi" w:hAnsiTheme="majorHAnsi"/>
        </w:rPr>
        <w:t>deals with the evacuation of children; Article</w:t>
      </w:r>
      <w:r w:rsidR="00E15AED" w:rsidRPr="00473EE5">
        <w:rPr>
          <w:rFonts w:asciiTheme="majorHAnsi" w:hAnsiTheme="majorHAnsi"/>
        </w:rPr>
        <w:t>s</w:t>
      </w:r>
      <w:r w:rsidR="00370064" w:rsidRPr="00473EE5">
        <w:rPr>
          <w:rFonts w:asciiTheme="majorHAnsi" w:hAnsiTheme="majorHAnsi"/>
        </w:rPr>
        <w:t xml:space="preserve"> 22 of the CRC </w:t>
      </w:r>
      <w:r w:rsidR="00E15AED" w:rsidRPr="00473EE5">
        <w:rPr>
          <w:rFonts w:asciiTheme="majorHAnsi" w:hAnsiTheme="majorHAnsi"/>
        </w:rPr>
        <w:t>and</w:t>
      </w:r>
      <w:r w:rsidR="00370064" w:rsidRPr="00473EE5">
        <w:rPr>
          <w:rFonts w:asciiTheme="majorHAnsi" w:hAnsiTheme="majorHAnsi"/>
        </w:rPr>
        <w:t xml:space="preserve"> 23 of the African </w:t>
      </w:r>
      <w:r w:rsidR="00E15AED" w:rsidRPr="00473EE5">
        <w:rPr>
          <w:rFonts w:asciiTheme="majorHAnsi" w:hAnsiTheme="majorHAnsi"/>
        </w:rPr>
        <w:t xml:space="preserve">Charter on the Rights and Welfare of the Child, which guarantee appropriate protection and humanitarian assistance to refugee children; and Article 9 of the </w:t>
      </w:r>
      <w:r w:rsidR="00E15AED" w:rsidRPr="00473EE5">
        <w:rPr>
          <w:rFonts w:asciiTheme="majorHAnsi" w:hAnsiTheme="majorHAnsi" w:cs="Times New Roman"/>
        </w:rPr>
        <w:t>Convention of Belém do Pará</w:t>
      </w:r>
      <w:r w:rsidR="00E15AED" w:rsidRPr="00473EE5">
        <w:rPr>
          <w:rFonts w:asciiTheme="majorHAnsi" w:hAnsiTheme="majorHAnsi"/>
        </w:rPr>
        <w:t xml:space="preserve">, which </w:t>
      </w:r>
      <w:r w:rsidR="00101133" w:rsidRPr="00473EE5">
        <w:rPr>
          <w:rFonts w:asciiTheme="majorHAnsi" w:hAnsiTheme="majorHAnsi"/>
        </w:rPr>
        <w:t xml:space="preserve">requires states to take </w:t>
      </w:r>
      <w:r w:rsidR="00101133" w:rsidRPr="00473EE5">
        <w:rPr>
          <w:rFonts w:asciiTheme="majorHAnsi" w:hAnsiTheme="majorHAnsi"/>
        </w:rPr>
        <w:lastRenderedPageBreak/>
        <w:t xml:space="preserve">special account of women’s vulnerability to violence because of their race, ethnic background or status as migrants, refugees or displaced persons, as well as those who are pregnant, disabled, minors, elderly, socioeconomically disadvantaged, affected by armed conflict or deprived of their freedom. </w:t>
      </w:r>
    </w:p>
    <w:p w14:paraId="2C680EDD" w14:textId="77777777" w:rsidR="002F55AB" w:rsidRPr="00473EE5" w:rsidRDefault="002F55AB" w:rsidP="00F84D2C">
      <w:pPr>
        <w:jc w:val="both"/>
        <w:rPr>
          <w:rFonts w:asciiTheme="majorHAnsi" w:hAnsiTheme="majorHAnsi"/>
        </w:rPr>
      </w:pPr>
    </w:p>
    <w:p w14:paraId="6B573572" w14:textId="2F47A023" w:rsidR="00DB5185" w:rsidRPr="00473EE5" w:rsidRDefault="00F84D2C" w:rsidP="00945E71">
      <w:pPr>
        <w:pStyle w:val="ListParagraph"/>
        <w:numPr>
          <w:ilvl w:val="0"/>
          <w:numId w:val="17"/>
        </w:numPr>
        <w:spacing w:line="360" w:lineRule="auto"/>
        <w:jc w:val="both"/>
        <w:rPr>
          <w:rFonts w:asciiTheme="majorHAnsi" w:hAnsiTheme="majorHAnsi"/>
        </w:rPr>
      </w:pPr>
      <w:r w:rsidRPr="00473EE5">
        <w:rPr>
          <w:rFonts w:asciiTheme="majorHAnsi" w:hAnsiTheme="majorHAnsi"/>
        </w:rPr>
        <w:t xml:space="preserve">SCR 1325 encourages all actors involved in planning for </w:t>
      </w:r>
      <w:r w:rsidRPr="00473EE5">
        <w:rPr>
          <w:rFonts w:asciiTheme="majorHAnsi" w:hAnsiTheme="majorHAnsi"/>
          <w:b/>
          <w:color w:val="4F81BD" w:themeColor="accent1"/>
        </w:rPr>
        <w:t>disarmament, demobilization</w:t>
      </w:r>
      <w:r w:rsidRPr="00473EE5">
        <w:rPr>
          <w:rFonts w:asciiTheme="majorHAnsi" w:hAnsiTheme="majorHAnsi"/>
          <w:color w:val="4F81BD" w:themeColor="accent1"/>
        </w:rPr>
        <w:t xml:space="preserve"> and </w:t>
      </w:r>
      <w:r w:rsidRPr="00473EE5">
        <w:rPr>
          <w:rFonts w:asciiTheme="majorHAnsi" w:hAnsiTheme="majorHAnsi"/>
          <w:b/>
          <w:color w:val="4F81BD" w:themeColor="accent1"/>
        </w:rPr>
        <w:t>r</w:t>
      </w:r>
      <w:r w:rsidR="00CA44DA" w:rsidRPr="00473EE5">
        <w:rPr>
          <w:rFonts w:asciiTheme="majorHAnsi" w:hAnsiTheme="majorHAnsi"/>
          <w:b/>
          <w:color w:val="4F81BD" w:themeColor="accent1"/>
        </w:rPr>
        <w:t>eintegration</w:t>
      </w:r>
      <w:r w:rsidR="00CA44DA" w:rsidRPr="00473EE5">
        <w:rPr>
          <w:rFonts w:asciiTheme="majorHAnsi" w:hAnsiTheme="majorHAnsi"/>
        </w:rPr>
        <w:t xml:space="preserve"> (DDR) to consider </w:t>
      </w:r>
      <w:r w:rsidR="00CA44DA" w:rsidRPr="00473EE5">
        <w:rPr>
          <w:rFonts w:asciiTheme="majorHAnsi" w:hAnsiTheme="majorHAnsi"/>
          <w:b/>
          <w:color w:val="4F81BD" w:themeColor="accent1"/>
        </w:rPr>
        <w:t>female and male combatants’ different needs</w:t>
      </w:r>
      <w:r w:rsidR="00CA44DA" w:rsidRPr="00473EE5">
        <w:rPr>
          <w:rFonts w:asciiTheme="majorHAnsi" w:hAnsiTheme="majorHAnsi"/>
        </w:rPr>
        <w:t xml:space="preserve"> and to consider the needs of their dependents.</w:t>
      </w:r>
      <w:r w:rsidR="00B36A3E" w:rsidRPr="00473EE5">
        <w:rPr>
          <w:rFonts w:asciiTheme="majorHAnsi" w:hAnsiTheme="majorHAnsi"/>
        </w:rPr>
        <w:t xml:space="preserve"> </w:t>
      </w:r>
      <w:r w:rsidR="00817818" w:rsidRPr="00473EE5">
        <w:rPr>
          <w:rFonts w:asciiTheme="majorHAnsi" w:hAnsiTheme="majorHAnsi"/>
        </w:rPr>
        <w:t>International human rights law and IHL provide the guiding principles for</w:t>
      </w:r>
      <w:r w:rsidR="00175D4C" w:rsidRPr="00473EE5">
        <w:rPr>
          <w:rFonts w:asciiTheme="majorHAnsi" w:hAnsiTheme="majorHAnsi"/>
        </w:rPr>
        <w:t xml:space="preserve"> DDR policies and programmes</w:t>
      </w:r>
      <w:r w:rsidR="007C74FB" w:rsidRPr="00473EE5">
        <w:rPr>
          <w:rFonts w:asciiTheme="majorHAnsi" w:hAnsiTheme="majorHAnsi"/>
        </w:rPr>
        <w:t xml:space="preserve">, </w:t>
      </w:r>
      <w:r w:rsidR="00F56490" w:rsidRPr="00473EE5">
        <w:rPr>
          <w:rFonts w:asciiTheme="majorHAnsi" w:hAnsiTheme="majorHAnsi"/>
        </w:rPr>
        <w:t>v</w:t>
      </w:r>
      <w:r w:rsidR="007C74FB" w:rsidRPr="00473EE5">
        <w:rPr>
          <w:rFonts w:asciiTheme="majorHAnsi" w:hAnsiTheme="majorHAnsi"/>
        </w:rPr>
        <w:t>i</w:t>
      </w:r>
      <w:r w:rsidR="00F56490" w:rsidRPr="00473EE5">
        <w:rPr>
          <w:rFonts w:asciiTheme="majorHAnsi" w:hAnsiTheme="majorHAnsi"/>
        </w:rPr>
        <w:t>a treaties and custom</w:t>
      </w:r>
      <w:r w:rsidR="00E4120D" w:rsidRPr="00473EE5">
        <w:rPr>
          <w:rFonts w:asciiTheme="majorHAnsi" w:hAnsiTheme="majorHAnsi"/>
        </w:rPr>
        <w:t>:</w:t>
      </w:r>
      <w:r w:rsidR="00817818" w:rsidRPr="00473EE5">
        <w:rPr>
          <w:rFonts w:asciiTheme="majorHAnsi" w:hAnsiTheme="majorHAnsi"/>
        </w:rPr>
        <w:t xml:space="preserve"> </w:t>
      </w:r>
      <w:r w:rsidR="006E35CE" w:rsidRPr="00473EE5">
        <w:rPr>
          <w:rStyle w:val="FootnoteReference"/>
          <w:rFonts w:asciiTheme="majorHAnsi" w:hAnsiTheme="majorHAnsi"/>
        </w:rPr>
        <w:footnoteReference w:id="43"/>
      </w:r>
    </w:p>
    <w:p w14:paraId="1301927F" w14:textId="77777777" w:rsidR="00E4120D" w:rsidRPr="00473EE5" w:rsidRDefault="00E4120D" w:rsidP="00E4120D">
      <w:pPr>
        <w:pStyle w:val="ListParagraph"/>
        <w:ind w:left="360"/>
        <w:jc w:val="both"/>
        <w:rPr>
          <w:rFonts w:asciiTheme="majorHAnsi" w:hAnsiTheme="majorHAnsi"/>
        </w:rPr>
      </w:pPr>
    </w:p>
    <w:p w14:paraId="5B9FB78D" w14:textId="25EDA282" w:rsidR="006E35CE" w:rsidRPr="00473EE5" w:rsidRDefault="00612C55" w:rsidP="00C51E5E">
      <w:pPr>
        <w:pStyle w:val="ListParagraph"/>
        <w:numPr>
          <w:ilvl w:val="0"/>
          <w:numId w:val="18"/>
        </w:numPr>
        <w:spacing w:line="360" w:lineRule="auto"/>
        <w:ind w:left="851" w:hanging="425"/>
        <w:jc w:val="both"/>
        <w:rPr>
          <w:rFonts w:asciiTheme="majorHAnsi" w:hAnsiTheme="majorHAnsi"/>
        </w:rPr>
      </w:pPr>
      <w:r w:rsidRPr="00473EE5">
        <w:rPr>
          <w:rFonts w:asciiTheme="majorHAnsi" w:hAnsiTheme="majorHAnsi"/>
        </w:rPr>
        <w:t xml:space="preserve">Articles 1-4(1), </w:t>
      </w:r>
      <w:r w:rsidR="005B2CAB" w:rsidRPr="00473EE5">
        <w:rPr>
          <w:rFonts w:asciiTheme="majorHAnsi" w:hAnsiTheme="majorHAnsi"/>
        </w:rPr>
        <w:t>5(a)</w:t>
      </w:r>
      <w:r w:rsidR="00B42DB6" w:rsidRPr="00473EE5">
        <w:rPr>
          <w:rFonts w:asciiTheme="majorHAnsi" w:hAnsiTheme="majorHAnsi"/>
        </w:rPr>
        <w:t xml:space="preserve"> and 6</w:t>
      </w:r>
      <w:r w:rsidR="005B2CAB" w:rsidRPr="00473EE5">
        <w:rPr>
          <w:rFonts w:asciiTheme="majorHAnsi" w:hAnsiTheme="majorHAnsi"/>
        </w:rPr>
        <w:t xml:space="preserve"> of CEDAW are relevant</w:t>
      </w:r>
      <w:r w:rsidRPr="00473EE5">
        <w:rPr>
          <w:rFonts w:asciiTheme="majorHAnsi" w:hAnsiTheme="majorHAnsi"/>
        </w:rPr>
        <w:t xml:space="preserve">. </w:t>
      </w:r>
      <w:r w:rsidR="005D697C" w:rsidRPr="00473EE5">
        <w:rPr>
          <w:rFonts w:asciiTheme="majorHAnsi" w:hAnsiTheme="majorHAnsi"/>
        </w:rPr>
        <w:t>The CEDAW</w:t>
      </w:r>
      <w:r w:rsidR="001A1021" w:rsidRPr="00473EE5">
        <w:rPr>
          <w:rFonts w:asciiTheme="majorHAnsi" w:hAnsiTheme="majorHAnsi"/>
        </w:rPr>
        <w:t xml:space="preserve"> </w:t>
      </w:r>
      <w:r w:rsidR="00967A87" w:rsidRPr="00473EE5">
        <w:rPr>
          <w:rFonts w:asciiTheme="majorHAnsi" w:hAnsiTheme="majorHAnsi"/>
        </w:rPr>
        <w:t>GR No. 30</w:t>
      </w:r>
      <w:r w:rsidR="006671E8" w:rsidRPr="00473EE5">
        <w:rPr>
          <w:rFonts w:asciiTheme="majorHAnsi" w:hAnsiTheme="majorHAnsi"/>
        </w:rPr>
        <w:t xml:space="preserve"> recommends that states: develop and implement DDR programmes in coordination and within the framework of security sector reform; undertake gender-sensitive and gender-responsive security sector reform resulting in representative security sector institutions that both address women’s different security experiences and priorities, and liaise with women and women’s organizations; </w:t>
      </w:r>
      <w:r w:rsidR="007C74FB" w:rsidRPr="00473EE5">
        <w:rPr>
          <w:rFonts w:asciiTheme="majorHAnsi" w:hAnsiTheme="majorHAnsi"/>
        </w:rPr>
        <w:t>ensure that security sector reform has inclusive oversight and accountability mechanisms with sanctions, which includes vetting ex-combatants, creating special protocols and units to investigate gender-based violations, and strengthening gender expertise and women’s roles; and ensuring women’s equal participation at all stages of DDR, from negotiating peace agreements to creating national institutions to design and implement programmes. These provisions are supported by customary IHL and the practices of states</w:t>
      </w:r>
      <w:r w:rsidR="005D697C" w:rsidRPr="00473EE5">
        <w:rPr>
          <w:rFonts w:asciiTheme="majorHAnsi" w:hAnsiTheme="majorHAnsi"/>
        </w:rPr>
        <w:t xml:space="preserve">, </w:t>
      </w:r>
      <w:r w:rsidR="007C74FB" w:rsidRPr="00473EE5">
        <w:rPr>
          <w:rFonts w:asciiTheme="majorHAnsi" w:hAnsiTheme="majorHAnsi"/>
        </w:rPr>
        <w:t>international organizations and conferences.</w:t>
      </w:r>
      <w:r w:rsidR="00382383" w:rsidRPr="00473EE5">
        <w:rPr>
          <w:rFonts w:asciiTheme="majorHAnsi" w:hAnsiTheme="majorHAnsi"/>
        </w:rPr>
        <w:t xml:space="preserve"> </w:t>
      </w:r>
    </w:p>
    <w:p w14:paraId="1A0A00E7" w14:textId="6E441112" w:rsidR="006E35CE" w:rsidRPr="00473EE5" w:rsidRDefault="00116BDF" w:rsidP="00C51E5E">
      <w:pPr>
        <w:pStyle w:val="ListParagraph"/>
        <w:numPr>
          <w:ilvl w:val="0"/>
          <w:numId w:val="18"/>
        </w:numPr>
        <w:spacing w:line="360" w:lineRule="auto"/>
        <w:ind w:left="851" w:hanging="425"/>
        <w:jc w:val="both"/>
        <w:rPr>
          <w:rFonts w:asciiTheme="majorHAnsi" w:hAnsiTheme="majorHAnsi"/>
        </w:rPr>
      </w:pPr>
      <w:r w:rsidRPr="00473EE5">
        <w:rPr>
          <w:rFonts w:asciiTheme="majorHAnsi" w:hAnsiTheme="majorHAnsi"/>
        </w:rPr>
        <w:t>Protections relating to</w:t>
      </w:r>
      <w:r w:rsidR="00DD65C7" w:rsidRPr="00473EE5">
        <w:rPr>
          <w:rFonts w:asciiTheme="majorHAnsi" w:hAnsiTheme="majorHAnsi"/>
        </w:rPr>
        <w:t xml:space="preserve"> DDR and</w:t>
      </w:r>
      <w:r w:rsidRPr="00473EE5">
        <w:rPr>
          <w:rFonts w:asciiTheme="majorHAnsi" w:hAnsiTheme="majorHAnsi"/>
        </w:rPr>
        <w:t xml:space="preserve"> children</w:t>
      </w:r>
      <w:r w:rsidR="00C02E35" w:rsidRPr="00473EE5">
        <w:rPr>
          <w:rFonts w:asciiTheme="majorHAnsi" w:hAnsiTheme="majorHAnsi"/>
        </w:rPr>
        <w:t xml:space="preserve">, including </w:t>
      </w:r>
      <w:r w:rsidR="00DD65C7" w:rsidRPr="00473EE5">
        <w:rPr>
          <w:rFonts w:asciiTheme="majorHAnsi" w:hAnsiTheme="majorHAnsi"/>
        </w:rPr>
        <w:t>child soldiers</w:t>
      </w:r>
      <w:r w:rsidR="00C02E35" w:rsidRPr="00473EE5">
        <w:rPr>
          <w:rFonts w:asciiTheme="majorHAnsi" w:hAnsiTheme="majorHAnsi"/>
        </w:rPr>
        <w:t>,</w:t>
      </w:r>
      <w:r w:rsidRPr="00473EE5">
        <w:rPr>
          <w:rFonts w:asciiTheme="majorHAnsi" w:hAnsiTheme="majorHAnsi"/>
        </w:rPr>
        <w:t xml:space="preserve"> are outlined in </w:t>
      </w:r>
      <w:r w:rsidR="005B2CAB" w:rsidRPr="00473EE5">
        <w:rPr>
          <w:rFonts w:asciiTheme="majorHAnsi" w:hAnsiTheme="majorHAnsi"/>
        </w:rPr>
        <w:t>Article 39 of the CRC</w:t>
      </w:r>
      <w:r w:rsidR="005D697C" w:rsidRPr="00473EE5">
        <w:rPr>
          <w:rFonts w:asciiTheme="majorHAnsi" w:hAnsiTheme="majorHAnsi"/>
        </w:rPr>
        <w:t>,</w:t>
      </w:r>
      <w:r w:rsidR="005B2CAB" w:rsidRPr="00473EE5">
        <w:rPr>
          <w:rFonts w:asciiTheme="majorHAnsi" w:hAnsiTheme="majorHAnsi"/>
        </w:rPr>
        <w:t xml:space="preserve"> which requires states to promote the physical and psychological recovery and social reintegration of a child victim of armed conflict or any other form of neglect, exploitation, abuse, torture or cruel, inhuman or degrading treatment</w:t>
      </w:r>
      <w:r w:rsidR="00B42DB6" w:rsidRPr="00473EE5">
        <w:rPr>
          <w:rFonts w:asciiTheme="majorHAnsi" w:hAnsiTheme="majorHAnsi"/>
        </w:rPr>
        <w:t>, in an environment that foster</w:t>
      </w:r>
      <w:r w:rsidR="00F3615E" w:rsidRPr="00473EE5">
        <w:rPr>
          <w:rFonts w:asciiTheme="majorHAnsi" w:hAnsiTheme="majorHAnsi"/>
        </w:rPr>
        <w:t>s</w:t>
      </w:r>
      <w:r w:rsidR="00B42DB6" w:rsidRPr="00473EE5">
        <w:rPr>
          <w:rFonts w:asciiTheme="majorHAnsi" w:hAnsiTheme="majorHAnsi"/>
        </w:rPr>
        <w:t xml:space="preserve"> the child’s health, self-respect and dignity</w:t>
      </w:r>
      <w:r w:rsidR="005B2CAB" w:rsidRPr="00473EE5">
        <w:rPr>
          <w:rFonts w:asciiTheme="majorHAnsi" w:hAnsiTheme="majorHAnsi"/>
        </w:rPr>
        <w:t xml:space="preserve">. </w:t>
      </w:r>
      <w:r w:rsidR="00DD65C7" w:rsidRPr="00473EE5">
        <w:rPr>
          <w:rFonts w:asciiTheme="majorHAnsi" w:hAnsiTheme="majorHAnsi"/>
        </w:rPr>
        <w:t xml:space="preserve">Articles 6 and 7 of </w:t>
      </w:r>
      <w:r w:rsidR="00594E05" w:rsidRPr="00473EE5">
        <w:rPr>
          <w:rFonts w:asciiTheme="majorHAnsi" w:hAnsiTheme="majorHAnsi"/>
        </w:rPr>
        <w:t>the CRC Optional Protocol on the Involvement</w:t>
      </w:r>
      <w:r w:rsidR="005D697C" w:rsidRPr="00473EE5">
        <w:rPr>
          <w:rFonts w:asciiTheme="majorHAnsi" w:hAnsiTheme="majorHAnsi"/>
        </w:rPr>
        <w:t xml:space="preserve"> of Children in Armed Conflicts</w:t>
      </w:r>
      <w:r w:rsidR="00594E05" w:rsidRPr="00473EE5">
        <w:rPr>
          <w:rFonts w:asciiTheme="majorHAnsi" w:hAnsiTheme="majorHAnsi"/>
        </w:rPr>
        <w:t xml:space="preserve"> require states to ensure that persons within their jurisdiction </w:t>
      </w:r>
      <w:r w:rsidR="00DD65C7" w:rsidRPr="00473EE5">
        <w:rPr>
          <w:rFonts w:asciiTheme="majorHAnsi" w:hAnsiTheme="majorHAnsi"/>
        </w:rPr>
        <w:t xml:space="preserve">who are recruited or used in hostilities are demobilized or otherwise released from service, and to cooperate </w:t>
      </w:r>
      <w:r w:rsidR="00F3615E" w:rsidRPr="00473EE5">
        <w:rPr>
          <w:rFonts w:asciiTheme="majorHAnsi" w:hAnsiTheme="majorHAnsi"/>
        </w:rPr>
        <w:t xml:space="preserve">to achieve this </w:t>
      </w:r>
      <w:r w:rsidR="00DD65C7" w:rsidRPr="00473EE5">
        <w:rPr>
          <w:rFonts w:asciiTheme="majorHAnsi" w:hAnsiTheme="majorHAnsi"/>
        </w:rPr>
        <w:t xml:space="preserve">via technical and financial assistance, respectively. </w:t>
      </w:r>
      <w:r w:rsidR="00AE4CA0" w:rsidRPr="00473EE5">
        <w:rPr>
          <w:rFonts w:asciiTheme="majorHAnsi" w:hAnsiTheme="majorHAnsi"/>
        </w:rPr>
        <w:t xml:space="preserve"> </w:t>
      </w:r>
      <w:r w:rsidR="005D697C" w:rsidRPr="00473EE5">
        <w:rPr>
          <w:rFonts w:asciiTheme="majorHAnsi" w:hAnsiTheme="majorHAnsi"/>
        </w:rPr>
        <w:t>These protections are</w:t>
      </w:r>
      <w:r w:rsidR="005B2CAB" w:rsidRPr="00473EE5">
        <w:rPr>
          <w:rFonts w:asciiTheme="majorHAnsi" w:hAnsiTheme="majorHAnsi"/>
        </w:rPr>
        <w:t xml:space="preserve"> supplemented by regional agreements, </w:t>
      </w:r>
      <w:r w:rsidR="005D697C" w:rsidRPr="00473EE5">
        <w:rPr>
          <w:rFonts w:asciiTheme="majorHAnsi" w:hAnsiTheme="majorHAnsi"/>
        </w:rPr>
        <w:t xml:space="preserve">and the practices of states, </w:t>
      </w:r>
      <w:r w:rsidR="005B2CAB" w:rsidRPr="00473EE5">
        <w:rPr>
          <w:rFonts w:asciiTheme="majorHAnsi" w:hAnsiTheme="majorHAnsi"/>
        </w:rPr>
        <w:t>international organizations and conferences.</w:t>
      </w:r>
      <w:r w:rsidR="00CA44DA" w:rsidRPr="00473EE5">
        <w:rPr>
          <w:rFonts w:asciiTheme="majorHAnsi" w:hAnsiTheme="majorHAnsi"/>
        </w:rPr>
        <w:t xml:space="preserve"> </w:t>
      </w:r>
    </w:p>
    <w:p w14:paraId="7CEF9326" w14:textId="0CF2A97E" w:rsidR="00083D64" w:rsidRPr="00473EE5" w:rsidRDefault="00612C55" w:rsidP="00C51E5E">
      <w:pPr>
        <w:pStyle w:val="ListParagraph"/>
        <w:numPr>
          <w:ilvl w:val="0"/>
          <w:numId w:val="18"/>
        </w:numPr>
        <w:spacing w:line="360" w:lineRule="auto"/>
        <w:ind w:left="851" w:hanging="425"/>
        <w:jc w:val="both"/>
        <w:rPr>
          <w:rFonts w:asciiTheme="majorHAnsi" w:hAnsiTheme="majorHAnsi"/>
        </w:rPr>
      </w:pPr>
      <w:r w:rsidRPr="00473EE5">
        <w:rPr>
          <w:rFonts w:asciiTheme="majorHAnsi" w:hAnsiTheme="majorHAnsi"/>
        </w:rPr>
        <w:lastRenderedPageBreak/>
        <w:t>Dependents’ needs</w:t>
      </w:r>
      <w:r w:rsidR="005B2CAB" w:rsidRPr="00473EE5">
        <w:rPr>
          <w:rFonts w:asciiTheme="majorHAnsi" w:hAnsiTheme="majorHAnsi"/>
        </w:rPr>
        <w:t xml:space="preserve"> are protected by the</w:t>
      </w:r>
      <w:r w:rsidRPr="00473EE5">
        <w:rPr>
          <w:rFonts w:asciiTheme="majorHAnsi" w:hAnsiTheme="majorHAnsi"/>
        </w:rPr>
        <w:t xml:space="preserve"> Refugee Convention’s </w:t>
      </w:r>
      <w:r w:rsidR="005B2CAB" w:rsidRPr="00473EE5">
        <w:rPr>
          <w:rFonts w:asciiTheme="majorHAnsi" w:hAnsiTheme="majorHAnsi"/>
        </w:rPr>
        <w:t>principle</w:t>
      </w:r>
      <w:r w:rsidR="00B42DB6" w:rsidRPr="00473EE5">
        <w:rPr>
          <w:rFonts w:asciiTheme="majorHAnsi" w:hAnsiTheme="majorHAnsi"/>
        </w:rPr>
        <w:t xml:space="preserve"> </w:t>
      </w:r>
      <w:r w:rsidRPr="00473EE5">
        <w:rPr>
          <w:rFonts w:asciiTheme="majorHAnsi" w:hAnsiTheme="majorHAnsi"/>
        </w:rPr>
        <w:t>of family unity</w:t>
      </w:r>
      <w:r w:rsidR="005B2CAB" w:rsidRPr="00473EE5">
        <w:rPr>
          <w:rFonts w:asciiTheme="majorHAnsi" w:hAnsiTheme="majorHAnsi"/>
        </w:rPr>
        <w:t>, which recommends that states:</w:t>
      </w:r>
      <w:r w:rsidRPr="00473EE5">
        <w:rPr>
          <w:rFonts w:asciiTheme="majorHAnsi" w:hAnsiTheme="majorHAnsi"/>
        </w:rPr>
        <w:t xml:space="preserve"> encourage refugee family unit especially the protection of refugees who are minors, in particular unaccompanied children and girls. </w:t>
      </w:r>
    </w:p>
    <w:p w14:paraId="59898CFD" w14:textId="755FC20C" w:rsidR="005B2CAB" w:rsidRPr="00083D64" w:rsidRDefault="00083D64" w:rsidP="00083D64">
      <w:pPr>
        <w:rPr>
          <w:rFonts w:ascii="Calibri" w:hAnsi="Calibri"/>
        </w:rPr>
      </w:pPr>
      <w:r>
        <w:rPr>
          <w:rFonts w:ascii="Calibri" w:hAnsi="Calibri"/>
        </w:rPr>
        <w:br w:type="page"/>
      </w:r>
    </w:p>
    <w:p w14:paraId="5F09E37E" w14:textId="2B2D9843" w:rsidR="00541F2C" w:rsidRPr="003742A9" w:rsidRDefault="003742A9" w:rsidP="007A7F07">
      <w:pPr>
        <w:pStyle w:val="Title"/>
        <w:jc w:val="center"/>
        <w:rPr>
          <w:sz w:val="32"/>
          <w:szCs w:val="32"/>
        </w:rPr>
      </w:pPr>
      <w:r w:rsidRPr="003742A9">
        <w:rPr>
          <w:spacing w:val="14"/>
          <w:sz w:val="32"/>
          <w:szCs w:val="32"/>
        </w:rPr>
        <w:lastRenderedPageBreak/>
        <w:t>SCR 1325</w:t>
      </w:r>
      <w:r>
        <w:rPr>
          <w:spacing w:val="14"/>
          <w:sz w:val="32"/>
          <w:szCs w:val="32"/>
        </w:rPr>
        <w:t xml:space="preserve">, THE OTHER RESOLUTIONS ON WOMEN, PEACE AND SECURITY AND INTERNATIONAL LAW </w:t>
      </w:r>
      <w:r w:rsidRPr="003742A9">
        <w:rPr>
          <w:spacing w:val="14"/>
          <w:sz w:val="32"/>
          <w:szCs w:val="32"/>
        </w:rPr>
        <w:t xml:space="preserve"> </w:t>
      </w:r>
    </w:p>
    <w:p w14:paraId="3FCD0D51" w14:textId="6512B441" w:rsidR="00175D4C" w:rsidRPr="00473EE5" w:rsidRDefault="00C44DB8" w:rsidP="00C51E5E">
      <w:pPr>
        <w:spacing w:line="360" w:lineRule="auto"/>
        <w:jc w:val="both"/>
        <w:rPr>
          <w:rFonts w:ascii="Calibri" w:hAnsi="Calibri"/>
        </w:rPr>
      </w:pPr>
      <w:r w:rsidRPr="00473EE5">
        <w:rPr>
          <w:rFonts w:ascii="Calibri" w:hAnsi="Calibri"/>
        </w:rPr>
        <w:t>The</w:t>
      </w:r>
      <w:r w:rsidR="00083D64" w:rsidRPr="00473EE5">
        <w:rPr>
          <w:rFonts w:ascii="Calibri" w:hAnsi="Calibri"/>
        </w:rPr>
        <w:t xml:space="preserve"> Security Council Resolutions on </w:t>
      </w:r>
      <w:r w:rsidRPr="00473EE5">
        <w:rPr>
          <w:rFonts w:ascii="Calibri" w:hAnsi="Calibri"/>
        </w:rPr>
        <w:t>women, peace and security</w:t>
      </w:r>
      <w:r w:rsidR="007A7F07" w:rsidRPr="00473EE5">
        <w:rPr>
          <w:rFonts w:ascii="Calibri" w:hAnsi="Calibri"/>
        </w:rPr>
        <w:t xml:space="preserve"> (WPS)</w:t>
      </w:r>
      <w:r w:rsidRPr="00473EE5">
        <w:rPr>
          <w:rFonts w:ascii="Calibri" w:hAnsi="Calibri"/>
        </w:rPr>
        <w:t xml:space="preserve"> that follow SCR </w:t>
      </w:r>
      <w:r w:rsidR="00472DA2" w:rsidRPr="00473EE5">
        <w:rPr>
          <w:rFonts w:ascii="Calibri" w:hAnsi="Calibri"/>
        </w:rPr>
        <w:t>1325</w:t>
      </w:r>
      <w:r w:rsidR="00083D64" w:rsidRPr="00473EE5">
        <w:rPr>
          <w:rFonts w:ascii="Calibri" w:hAnsi="Calibri"/>
        </w:rPr>
        <w:t xml:space="preserve"> </w:t>
      </w:r>
      <w:r w:rsidR="00F3615E" w:rsidRPr="00473EE5">
        <w:rPr>
          <w:rFonts w:ascii="Calibri" w:hAnsi="Calibri"/>
        </w:rPr>
        <w:t>also reflect and reinforce existing pr</w:t>
      </w:r>
      <w:r w:rsidR="00083D64" w:rsidRPr="00473EE5">
        <w:rPr>
          <w:rFonts w:ascii="Calibri" w:hAnsi="Calibri"/>
        </w:rPr>
        <w:t>inciples of international law:</w:t>
      </w:r>
    </w:p>
    <w:p w14:paraId="6A0718B0" w14:textId="77777777" w:rsidR="00C51E5E" w:rsidRPr="00473EE5" w:rsidRDefault="00C51E5E" w:rsidP="00C51E5E">
      <w:pPr>
        <w:jc w:val="both"/>
        <w:rPr>
          <w:rFonts w:ascii="Calibri" w:hAnsi="Calibri"/>
        </w:rPr>
      </w:pPr>
    </w:p>
    <w:p w14:paraId="047EF4D0" w14:textId="1712CE7A" w:rsidR="00115F49" w:rsidRPr="00473EE5" w:rsidRDefault="00115F49" w:rsidP="00C51E5E">
      <w:pPr>
        <w:pStyle w:val="ListParagraph"/>
        <w:numPr>
          <w:ilvl w:val="0"/>
          <w:numId w:val="31"/>
        </w:numPr>
        <w:spacing w:line="360" w:lineRule="auto"/>
        <w:jc w:val="both"/>
        <w:rPr>
          <w:rFonts w:ascii="Calibri" w:hAnsi="Calibri"/>
        </w:rPr>
      </w:pPr>
      <w:r w:rsidRPr="00473EE5">
        <w:rPr>
          <w:rFonts w:ascii="Calibri" w:hAnsi="Calibri"/>
        </w:rPr>
        <w:t xml:space="preserve">SCR 1820 (2008) which </w:t>
      </w:r>
      <w:r w:rsidR="00D046F8" w:rsidRPr="00473EE5">
        <w:rPr>
          <w:rFonts w:ascii="Calibri" w:hAnsi="Calibri"/>
        </w:rPr>
        <w:t>re</w:t>
      </w:r>
      <w:r w:rsidRPr="00473EE5">
        <w:rPr>
          <w:rFonts w:ascii="Calibri" w:hAnsi="Calibri"/>
        </w:rPr>
        <w:t>affirms</w:t>
      </w:r>
      <w:r w:rsidR="00F3615E" w:rsidRPr="00473EE5">
        <w:rPr>
          <w:rFonts w:ascii="Calibri" w:hAnsi="Calibri"/>
        </w:rPr>
        <w:t xml:space="preserve"> that</w:t>
      </w:r>
      <w:r w:rsidRPr="00473EE5">
        <w:rPr>
          <w:rFonts w:ascii="Calibri" w:hAnsi="Calibri"/>
        </w:rPr>
        <w:t xml:space="preserve"> rape and sexu</w:t>
      </w:r>
      <w:r w:rsidR="00F3615E" w:rsidRPr="00473EE5">
        <w:rPr>
          <w:rFonts w:ascii="Calibri" w:hAnsi="Calibri"/>
        </w:rPr>
        <w:t>al violence are</w:t>
      </w:r>
      <w:r w:rsidRPr="00473EE5">
        <w:rPr>
          <w:rFonts w:ascii="Calibri" w:hAnsi="Calibri"/>
        </w:rPr>
        <w:t xml:space="preserve"> war crimes.</w:t>
      </w:r>
    </w:p>
    <w:p w14:paraId="1563BCD9" w14:textId="3163575C" w:rsidR="00231F15" w:rsidRPr="00473EE5" w:rsidRDefault="00C51E5E" w:rsidP="00C51E5E">
      <w:pPr>
        <w:pStyle w:val="ListParagraph"/>
        <w:numPr>
          <w:ilvl w:val="0"/>
          <w:numId w:val="31"/>
        </w:numPr>
        <w:spacing w:line="360" w:lineRule="auto"/>
        <w:jc w:val="both"/>
        <w:rPr>
          <w:rFonts w:ascii="Calibri" w:hAnsi="Calibri"/>
        </w:rPr>
      </w:pPr>
      <w:r w:rsidRPr="00473EE5">
        <w:rPr>
          <w:rFonts w:ascii="Calibri" w:hAnsi="Calibri"/>
        </w:rPr>
        <w:t xml:space="preserve">SCR 1888 (2009) </w:t>
      </w:r>
      <w:r w:rsidR="00231F15" w:rsidRPr="00473EE5">
        <w:rPr>
          <w:rFonts w:ascii="Calibri" w:hAnsi="Calibri"/>
        </w:rPr>
        <w:t>which creates the office of the Secretary-General’s Special Representative on Sexual Violence in Conflict</w:t>
      </w:r>
      <w:r w:rsidR="00C7202E" w:rsidRPr="00473EE5">
        <w:rPr>
          <w:rFonts w:ascii="Calibri" w:hAnsi="Calibri"/>
        </w:rPr>
        <w:t>.</w:t>
      </w:r>
      <w:r w:rsidR="00231F15" w:rsidRPr="00473EE5">
        <w:rPr>
          <w:rFonts w:ascii="Calibri" w:hAnsi="Calibri"/>
        </w:rPr>
        <w:t xml:space="preserve">  </w:t>
      </w:r>
    </w:p>
    <w:p w14:paraId="722A23FB" w14:textId="4ED3B055" w:rsidR="00115F49" w:rsidRPr="00473EE5" w:rsidRDefault="00115F49" w:rsidP="00C51E5E">
      <w:pPr>
        <w:pStyle w:val="ListParagraph"/>
        <w:numPr>
          <w:ilvl w:val="0"/>
          <w:numId w:val="31"/>
        </w:numPr>
        <w:spacing w:line="360" w:lineRule="auto"/>
        <w:jc w:val="both"/>
        <w:rPr>
          <w:rFonts w:ascii="Calibri" w:hAnsi="Calibri"/>
        </w:rPr>
      </w:pPr>
      <w:r w:rsidRPr="00473EE5">
        <w:rPr>
          <w:rFonts w:ascii="Calibri" w:hAnsi="Calibri"/>
        </w:rPr>
        <w:t xml:space="preserve">SCR 1889 (2009) which </w:t>
      </w:r>
      <w:r w:rsidR="00D046F8" w:rsidRPr="00473EE5">
        <w:rPr>
          <w:rFonts w:ascii="Calibri" w:hAnsi="Calibri"/>
        </w:rPr>
        <w:t>outlines</w:t>
      </w:r>
      <w:r w:rsidRPr="00473EE5">
        <w:rPr>
          <w:rFonts w:ascii="Calibri" w:hAnsi="Calibri"/>
        </w:rPr>
        <w:t xml:space="preserve"> women’s agency and participation in peace-building</w:t>
      </w:r>
      <w:r w:rsidR="00083D64" w:rsidRPr="00473EE5">
        <w:rPr>
          <w:rFonts w:ascii="Calibri" w:hAnsi="Calibri"/>
        </w:rPr>
        <w:t>.</w:t>
      </w:r>
    </w:p>
    <w:p w14:paraId="582CD494" w14:textId="2E9364F2" w:rsidR="00115F49" w:rsidRPr="00473EE5" w:rsidRDefault="00115F49" w:rsidP="00C51E5E">
      <w:pPr>
        <w:pStyle w:val="ListParagraph"/>
        <w:numPr>
          <w:ilvl w:val="0"/>
          <w:numId w:val="31"/>
        </w:numPr>
        <w:spacing w:line="360" w:lineRule="auto"/>
        <w:jc w:val="both"/>
        <w:rPr>
          <w:rFonts w:ascii="Calibri" w:hAnsi="Calibri"/>
        </w:rPr>
      </w:pPr>
      <w:r w:rsidRPr="00473EE5">
        <w:rPr>
          <w:rFonts w:ascii="Calibri" w:hAnsi="Calibri"/>
        </w:rPr>
        <w:t>SCR 1960 (2010) which addresses the accountability gaps in SCR 1325</w:t>
      </w:r>
      <w:r w:rsidR="00083D64" w:rsidRPr="00473EE5">
        <w:rPr>
          <w:rFonts w:ascii="Calibri" w:hAnsi="Calibri"/>
        </w:rPr>
        <w:t>.</w:t>
      </w:r>
    </w:p>
    <w:p w14:paraId="056EA17F" w14:textId="4C250F7C" w:rsidR="00115F49" w:rsidRPr="00473EE5" w:rsidRDefault="000F6CD9" w:rsidP="00C51E5E">
      <w:pPr>
        <w:pStyle w:val="ListParagraph"/>
        <w:numPr>
          <w:ilvl w:val="0"/>
          <w:numId w:val="31"/>
        </w:numPr>
        <w:spacing w:line="360" w:lineRule="auto"/>
        <w:jc w:val="both"/>
        <w:rPr>
          <w:rFonts w:ascii="Calibri" w:hAnsi="Calibri"/>
        </w:rPr>
      </w:pPr>
      <w:r w:rsidRPr="00473EE5">
        <w:rPr>
          <w:rFonts w:ascii="Calibri" w:hAnsi="Calibri"/>
        </w:rPr>
        <w:t>SCR 210</w:t>
      </w:r>
      <w:r w:rsidR="00115F49" w:rsidRPr="00473EE5">
        <w:rPr>
          <w:rFonts w:ascii="Calibri" w:hAnsi="Calibri"/>
        </w:rPr>
        <w:t xml:space="preserve">6 (2013) which </w:t>
      </w:r>
      <w:r w:rsidR="00D046F8" w:rsidRPr="00473EE5">
        <w:rPr>
          <w:rFonts w:ascii="Calibri" w:hAnsi="Calibri"/>
        </w:rPr>
        <w:t>deals with</w:t>
      </w:r>
      <w:r w:rsidR="00115F49" w:rsidRPr="00473EE5">
        <w:rPr>
          <w:rFonts w:ascii="Calibri" w:hAnsi="Calibri"/>
        </w:rPr>
        <w:t xml:space="preserve"> HIV/AIDS in conflict and post-conflict settings</w:t>
      </w:r>
      <w:r w:rsidR="00083D64" w:rsidRPr="00473EE5">
        <w:rPr>
          <w:rFonts w:ascii="Calibri" w:hAnsi="Calibri"/>
        </w:rPr>
        <w:t>.</w:t>
      </w:r>
      <w:r w:rsidR="00115F49" w:rsidRPr="00473EE5">
        <w:rPr>
          <w:rFonts w:ascii="Calibri" w:hAnsi="Calibri"/>
        </w:rPr>
        <w:t xml:space="preserve">  </w:t>
      </w:r>
    </w:p>
    <w:p w14:paraId="589D681C" w14:textId="2721959A" w:rsidR="00115F49" w:rsidRPr="00473EE5" w:rsidRDefault="00F3615E" w:rsidP="00C51E5E">
      <w:pPr>
        <w:pStyle w:val="ListParagraph"/>
        <w:numPr>
          <w:ilvl w:val="0"/>
          <w:numId w:val="31"/>
        </w:numPr>
        <w:spacing w:line="360" w:lineRule="auto"/>
        <w:jc w:val="both"/>
        <w:rPr>
          <w:rFonts w:ascii="Calibri" w:hAnsi="Calibri"/>
        </w:rPr>
      </w:pPr>
      <w:r w:rsidRPr="00473EE5">
        <w:rPr>
          <w:rFonts w:ascii="Calibri" w:hAnsi="Calibri"/>
        </w:rPr>
        <w:t xml:space="preserve">SCR 2122 (2013) </w:t>
      </w:r>
      <w:r w:rsidR="00115F49" w:rsidRPr="00473EE5">
        <w:rPr>
          <w:rFonts w:ascii="Calibri" w:hAnsi="Calibri"/>
        </w:rPr>
        <w:t xml:space="preserve">which is known as the SCR on women’s leadership. </w:t>
      </w:r>
    </w:p>
    <w:p w14:paraId="026E90BE" w14:textId="77777777" w:rsidR="006822E2" w:rsidRPr="00473EE5" w:rsidRDefault="006822E2" w:rsidP="003F32C3">
      <w:pPr>
        <w:jc w:val="both"/>
        <w:rPr>
          <w:rFonts w:ascii="Calibri" w:hAnsi="Calibri"/>
        </w:rPr>
      </w:pPr>
    </w:p>
    <w:p w14:paraId="7D7E4B2C" w14:textId="32AA9FED" w:rsidR="003F32C3" w:rsidRPr="00473EE5" w:rsidRDefault="00C44DB8" w:rsidP="00C51E5E">
      <w:pPr>
        <w:spacing w:line="360" w:lineRule="auto"/>
        <w:jc w:val="both"/>
        <w:rPr>
          <w:rFonts w:ascii="Calibri" w:hAnsi="Calibri"/>
          <w:b/>
        </w:rPr>
      </w:pPr>
      <w:r w:rsidRPr="00473EE5">
        <w:rPr>
          <w:rFonts w:ascii="Calibri" w:hAnsi="Calibri"/>
        </w:rPr>
        <w:t>As with SCR 1325, unders</w:t>
      </w:r>
      <w:r w:rsidR="005E6446" w:rsidRPr="00473EE5">
        <w:rPr>
          <w:rFonts w:ascii="Calibri" w:hAnsi="Calibri"/>
        </w:rPr>
        <w:t xml:space="preserve">tanding </w:t>
      </w:r>
      <w:r w:rsidRPr="00473EE5">
        <w:rPr>
          <w:rFonts w:ascii="Calibri" w:hAnsi="Calibri"/>
        </w:rPr>
        <w:t xml:space="preserve">these resolutions </w:t>
      </w:r>
      <w:r w:rsidR="005E6446" w:rsidRPr="00473EE5">
        <w:rPr>
          <w:rFonts w:ascii="Calibri" w:hAnsi="Calibri"/>
        </w:rPr>
        <w:t>as</w:t>
      </w:r>
      <w:r w:rsidRPr="00473EE5">
        <w:rPr>
          <w:rFonts w:ascii="Calibri" w:hAnsi="Calibri"/>
        </w:rPr>
        <w:t xml:space="preserve"> </w:t>
      </w:r>
      <w:r w:rsidR="006822E2" w:rsidRPr="00473EE5">
        <w:rPr>
          <w:rFonts w:ascii="Calibri" w:hAnsi="Calibri"/>
        </w:rPr>
        <w:t>part of</w:t>
      </w:r>
      <w:r w:rsidRPr="00473EE5">
        <w:rPr>
          <w:rFonts w:ascii="Calibri" w:hAnsi="Calibri"/>
        </w:rPr>
        <w:t xml:space="preserve"> a </w:t>
      </w:r>
      <w:r w:rsidR="006822E2" w:rsidRPr="00473EE5">
        <w:rPr>
          <w:rFonts w:ascii="Calibri" w:hAnsi="Calibri"/>
        </w:rPr>
        <w:t xml:space="preserve">broader </w:t>
      </w:r>
      <w:r w:rsidR="00D92533" w:rsidRPr="00473EE5">
        <w:rPr>
          <w:rFonts w:ascii="Calibri" w:hAnsi="Calibri"/>
        </w:rPr>
        <w:t>legal framework enhances the</w:t>
      </w:r>
      <w:r w:rsidRPr="00473EE5">
        <w:rPr>
          <w:rFonts w:ascii="Calibri" w:hAnsi="Calibri"/>
        </w:rPr>
        <w:t xml:space="preserve"> protections for women and girls</w:t>
      </w:r>
      <w:r w:rsidR="006822E2" w:rsidRPr="00473EE5">
        <w:rPr>
          <w:rFonts w:ascii="Calibri" w:hAnsi="Calibri"/>
        </w:rPr>
        <w:t xml:space="preserve"> affected by conflict. These resolutions should be read together with SCR 1325 for two key reasons. First, they </w:t>
      </w:r>
      <w:r w:rsidR="006822E2" w:rsidRPr="00473EE5">
        <w:rPr>
          <w:rFonts w:ascii="Calibri" w:hAnsi="Calibri"/>
          <w:b/>
          <w:color w:val="4F81BD" w:themeColor="accent1"/>
        </w:rPr>
        <w:t xml:space="preserve">provide a fuller </w:t>
      </w:r>
      <w:r w:rsidR="00D92533" w:rsidRPr="00473EE5">
        <w:rPr>
          <w:rFonts w:ascii="Calibri" w:hAnsi="Calibri"/>
          <w:b/>
          <w:color w:val="4F81BD" w:themeColor="accent1"/>
        </w:rPr>
        <w:t>picture of the Security Council</w:t>
      </w:r>
      <w:r w:rsidR="006822E2" w:rsidRPr="00473EE5">
        <w:rPr>
          <w:rFonts w:ascii="Calibri" w:hAnsi="Calibri"/>
          <w:b/>
          <w:color w:val="4F81BD" w:themeColor="accent1"/>
        </w:rPr>
        <w:t>’</w:t>
      </w:r>
      <w:r w:rsidR="00D92533" w:rsidRPr="00473EE5">
        <w:rPr>
          <w:rFonts w:ascii="Calibri" w:hAnsi="Calibri"/>
          <w:b/>
          <w:color w:val="4F81BD" w:themeColor="accent1"/>
        </w:rPr>
        <w:t>s</w:t>
      </w:r>
      <w:r w:rsidR="006822E2" w:rsidRPr="00473EE5">
        <w:rPr>
          <w:rFonts w:ascii="Calibri" w:hAnsi="Calibri"/>
          <w:b/>
          <w:color w:val="4F81BD" w:themeColor="accent1"/>
        </w:rPr>
        <w:t xml:space="preserve"> agenda on </w:t>
      </w:r>
      <w:r w:rsidR="00F01CF0" w:rsidRPr="00473EE5">
        <w:rPr>
          <w:rFonts w:ascii="Calibri" w:hAnsi="Calibri"/>
          <w:b/>
          <w:color w:val="4F81BD" w:themeColor="accent1"/>
        </w:rPr>
        <w:t>WPS</w:t>
      </w:r>
      <w:r w:rsidR="006822E2" w:rsidRPr="00473EE5">
        <w:rPr>
          <w:rFonts w:ascii="Calibri" w:hAnsi="Calibri"/>
        </w:rPr>
        <w:t xml:space="preserve">, </w:t>
      </w:r>
      <w:r w:rsidR="003C2297" w:rsidRPr="00473EE5">
        <w:rPr>
          <w:rFonts w:ascii="Calibri" w:hAnsi="Calibri"/>
        </w:rPr>
        <w:t>reinforcing</w:t>
      </w:r>
      <w:r w:rsidR="006822E2" w:rsidRPr="00473EE5">
        <w:rPr>
          <w:rFonts w:ascii="Calibri" w:hAnsi="Calibri"/>
        </w:rPr>
        <w:t xml:space="preserve"> many of the pro</w:t>
      </w:r>
      <w:r w:rsidR="00AE7330" w:rsidRPr="00473EE5">
        <w:rPr>
          <w:rFonts w:ascii="Calibri" w:hAnsi="Calibri"/>
        </w:rPr>
        <w:t xml:space="preserve">visions of SCR 1325. Second, they </w:t>
      </w:r>
      <w:r w:rsidR="00AE7330" w:rsidRPr="00473EE5">
        <w:rPr>
          <w:rFonts w:ascii="Calibri" w:hAnsi="Calibri"/>
          <w:b/>
          <w:color w:val="4F81BD" w:themeColor="accent1"/>
        </w:rPr>
        <w:t xml:space="preserve">uphold </w:t>
      </w:r>
      <w:r w:rsidR="0048790D" w:rsidRPr="00473EE5">
        <w:rPr>
          <w:rFonts w:ascii="Calibri" w:hAnsi="Calibri"/>
          <w:b/>
          <w:color w:val="4F81BD" w:themeColor="accent1"/>
        </w:rPr>
        <w:t xml:space="preserve">international </w:t>
      </w:r>
      <w:r w:rsidR="00AE7330" w:rsidRPr="00473EE5">
        <w:rPr>
          <w:rFonts w:ascii="Calibri" w:hAnsi="Calibri"/>
          <w:b/>
          <w:color w:val="4F81BD" w:themeColor="accent1"/>
        </w:rPr>
        <w:t>human rights</w:t>
      </w:r>
      <w:r w:rsidR="0048790D" w:rsidRPr="00473EE5">
        <w:rPr>
          <w:rFonts w:ascii="Calibri" w:hAnsi="Calibri"/>
          <w:b/>
          <w:color w:val="4F81BD" w:themeColor="accent1"/>
        </w:rPr>
        <w:t xml:space="preserve"> law (IHRL) international humanitarian law (IHL) and international criminal law obligations</w:t>
      </w:r>
      <w:r w:rsidR="00AE7330" w:rsidRPr="00473EE5">
        <w:rPr>
          <w:rFonts w:ascii="Calibri" w:hAnsi="Calibri"/>
          <w:b/>
          <w:color w:val="4F81BD" w:themeColor="accent1"/>
        </w:rPr>
        <w:t xml:space="preserve"> not addressed by SCR 1325</w:t>
      </w:r>
      <w:r w:rsidR="0048790D" w:rsidRPr="00473EE5">
        <w:rPr>
          <w:rFonts w:ascii="Calibri" w:hAnsi="Calibri"/>
        </w:rPr>
        <w:t xml:space="preserve">. In </w:t>
      </w:r>
      <w:r w:rsidR="00AE7330" w:rsidRPr="00473EE5">
        <w:rPr>
          <w:rFonts w:ascii="Calibri" w:hAnsi="Calibri"/>
        </w:rPr>
        <w:t xml:space="preserve">doing so, more </w:t>
      </w:r>
      <w:r w:rsidR="00F01CF0" w:rsidRPr="00473EE5">
        <w:rPr>
          <w:rFonts w:ascii="Calibri" w:hAnsi="Calibri"/>
        </w:rPr>
        <w:t>accurately</w:t>
      </w:r>
      <w:r w:rsidR="00AE7330" w:rsidRPr="00473EE5">
        <w:rPr>
          <w:rFonts w:ascii="Calibri" w:hAnsi="Calibri"/>
        </w:rPr>
        <w:t xml:space="preserve"> reflect states’ obligations under the legal framework. Reading SCR 1325 together with these resolutions on WPS would oblige states to incorporate a fuller spectrum of rights into their implementation of SCR 1325, via National Action Plans (NAPs) laws, policies, programmes and other measures.</w:t>
      </w:r>
    </w:p>
    <w:p w14:paraId="75184198" w14:textId="77777777" w:rsidR="00C44DB8" w:rsidRDefault="00C44DB8" w:rsidP="003F32C3">
      <w:pPr>
        <w:jc w:val="both"/>
        <w:rPr>
          <w:rFonts w:ascii="Calibri" w:hAnsi="Calibri"/>
          <w:b/>
          <w:sz w:val="28"/>
          <w:szCs w:val="28"/>
        </w:rPr>
      </w:pPr>
    </w:p>
    <w:p w14:paraId="7116C953" w14:textId="44D6E614" w:rsidR="003F32C3" w:rsidRPr="004C0678" w:rsidRDefault="005E6446" w:rsidP="007A7F07">
      <w:pPr>
        <w:pStyle w:val="Title"/>
        <w:jc w:val="center"/>
        <w:rPr>
          <w:sz w:val="32"/>
          <w:szCs w:val="32"/>
        </w:rPr>
      </w:pPr>
      <w:r w:rsidRPr="004C0678">
        <w:rPr>
          <w:sz w:val="32"/>
          <w:szCs w:val="32"/>
        </w:rPr>
        <w:t>HOW THE</w:t>
      </w:r>
      <w:r w:rsidR="003F32C3" w:rsidRPr="004C0678">
        <w:rPr>
          <w:sz w:val="32"/>
          <w:szCs w:val="32"/>
        </w:rPr>
        <w:t xml:space="preserve"> RESOLUTIONS</w:t>
      </w:r>
      <w:r w:rsidR="00206130" w:rsidRPr="004C0678">
        <w:rPr>
          <w:sz w:val="32"/>
          <w:szCs w:val="32"/>
        </w:rPr>
        <w:t xml:space="preserve"> ON </w:t>
      </w:r>
      <w:r w:rsidR="007A7F07">
        <w:rPr>
          <w:sz w:val="32"/>
          <w:szCs w:val="32"/>
        </w:rPr>
        <w:t>WOMEN, PEACE AND SECURITY</w:t>
      </w:r>
      <w:r w:rsidR="003F32C3" w:rsidRPr="004C0678">
        <w:rPr>
          <w:sz w:val="32"/>
          <w:szCs w:val="32"/>
        </w:rPr>
        <w:t xml:space="preserve"> </w:t>
      </w:r>
      <w:r w:rsidRPr="004C0678">
        <w:rPr>
          <w:sz w:val="32"/>
          <w:szCs w:val="32"/>
        </w:rPr>
        <w:t>REFLECT</w:t>
      </w:r>
      <w:r w:rsidR="003F32C3" w:rsidRPr="004C0678">
        <w:rPr>
          <w:sz w:val="32"/>
          <w:szCs w:val="32"/>
        </w:rPr>
        <w:t xml:space="preserve"> INTERNATIONAL HUMAN RIGHTS LAW</w:t>
      </w:r>
    </w:p>
    <w:p w14:paraId="12365630" w14:textId="77777777" w:rsidR="003F32C3" w:rsidRDefault="003F32C3" w:rsidP="003F32C3">
      <w:pPr>
        <w:jc w:val="both"/>
        <w:rPr>
          <w:rFonts w:ascii="Calibri" w:hAnsi="Calibri"/>
          <w:b/>
          <w:sz w:val="28"/>
          <w:szCs w:val="28"/>
        </w:rPr>
      </w:pPr>
    </w:p>
    <w:p w14:paraId="306F5DC6" w14:textId="0427E985" w:rsidR="006251E3" w:rsidRPr="00473EE5" w:rsidRDefault="003F32C3" w:rsidP="00C51E5E">
      <w:pPr>
        <w:spacing w:line="360" w:lineRule="auto"/>
        <w:jc w:val="both"/>
        <w:rPr>
          <w:rFonts w:ascii="Calibri" w:hAnsi="Calibri"/>
        </w:rPr>
      </w:pPr>
      <w:r w:rsidRPr="00473EE5">
        <w:rPr>
          <w:rFonts w:ascii="Calibri" w:hAnsi="Calibri"/>
        </w:rPr>
        <w:t xml:space="preserve">The resolutions reflect several binding obligations under human rights law, expressed primarily via </w:t>
      </w:r>
      <w:r w:rsidRPr="00473EE5">
        <w:rPr>
          <w:rFonts w:ascii="Calibri" w:hAnsi="Calibri"/>
          <w:b/>
          <w:color w:val="4F81BD" w:themeColor="accent1"/>
        </w:rPr>
        <w:t>CEDAW</w:t>
      </w:r>
      <w:r w:rsidRPr="00473EE5">
        <w:rPr>
          <w:rFonts w:ascii="Calibri" w:hAnsi="Calibri"/>
        </w:rPr>
        <w:t xml:space="preserve"> and its </w:t>
      </w:r>
      <w:r w:rsidR="00AE7330" w:rsidRPr="00473EE5">
        <w:rPr>
          <w:rFonts w:ascii="Calibri" w:hAnsi="Calibri"/>
        </w:rPr>
        <w:t>GRs</w:t>
      </w:r>
      <w:r w:rsidR="00445B87" w:rsidRPr="00473EE5">
        <w:rPr>
          <w:rFonts w:ascii="Calibri" w:hAnsi="Calibri"/>
        </w:rPr>
        <w:t xml:space="preserve">, as well as the </w:t>
      </w:r>
      <w:r w:rsidR="00445B87" w:rsidRPr="00473EE5">
        <w:rPr>
          <w:rFonts w:ascii="Calibri" w:hAnsi="Calibri"/>
          <w:b/>
          <w:color w:val="4F81BD" w:themeColor="accent1"/>
        </w:rPr>
        <w:t xml:space="preserve">CRC </w:t>
      </w:r>
      <w:r w:rsidRPr="00473EE5">
        <w:rPr>
          <w:rFonts w:ascii="Calibri" w:hAnsi="Calibri"/>
          <w:b/>
          <w:color w:val="4F81BD" w:themeColor="accent1"/>
        </w:rPr>
        <w:t>and ICESCR</w:t>
      </w:r>
      <w:r w:rsidRPr="00473EE5">
        <w:rPr>
          <w:rFonts w:ascii="Calibri" w:hAnsi="Calibri"/>
        </w:rPr>
        <w:t xml:space="preserve">. </w:t>
      </w:r>
      <w:r w:rsidR="00AE7330" w:rsidRPr="00473EE5">
        <w:rPr>
          <w:rFonts w:ascii="Calibri" w:hAnsi="Calibri"/>
        </w:rPr>
        <w:t>The resolutions</w:t>
      </w:r>
      <w:r w:rsidR="00166E4C" w:rsidRPr="00473EE5">
        <w:rPr>
          <w:rFonts w:ascii="Calibri" w:hAnsi="Calibri"/>
        </w:rPr>
        <w:t xml:space="preserve"> uphold human rights not addressed</w:t>
      </w:r>
      <w:r w:rsidRPr="00473EE5">
        <w:rPr>
          <w:rFonts w:ascii="Calibri" w:hAnsi="Calibri"/>
        </w:rPr>
        <w:t xml:space="preserve"> </w:t>
      </w:r>
      <w:r w:rsidR="009456B1" w:rsidRPr="00473EE5">
        <w:rPr>
          <w:rFonts w:ascii="Calibri" w:hAnsi="Calibri"/>
        </w:rPr>
        <w:t xml:space="preserve">by </w:t>
      </w:r>
      <w:r w:rsidRPr="00473EE5">
        <w:rPr>
          <w:rFonts w:ascii="Calibri" w:hAnsi="Calibri"/>
        </w:rPr>
        <w:t>SCR 1325</w:t>
      </w:r>
      <w:r w:rsidR="00AE7330" w:rsidRPr="00473EE5">
        <w:rPr>
          <w:rFonts w:ascii="Calibri" w:hAnsi="Calibri"/>
        </w:rPr>
        <w:t xml:space="preserve"> regarding</w:t>
      </w:r>
      <w:r w:rsidR="00551F8F" w:rsidRPr="00473EE5">
        <w:rPr>
          <w:rFonts w:ascii="Calibri" w:hAnsi="Calibri"/>
        </w:rPr>
        <w:t xml:space="preserve"> </w:t>
      </w:r>
      <w:r w:rsidR="00551F8F" w:rsidRPr="00473EE5">
        <w:rPr>
          <w:rFonts w:ascii="Calibri" w:hAnsi="Calibri"/>
          <w:b/>
          <w:color w:val="4F81BD" w:themeColor="accent1"/>
        </w:rPr>
        <w:t>access to justice</w:t>
      </w:r>
      <w:r w:rsidR="00551F8F" w:rsidRPr="00473EE5">
        <w:rPr>
          <w:rFonts w:ascii="Calibri" w:hAnsi="Calibri"/>
        </w:rPr>
        <w:t xml:space="preserve"> and </w:t>
      </w:r>
      <w:r w:rsidR="00551F8F" w:rsidRPr="00473EE5">
        <w:rPr>
          <w:rFonts w:ascii="Calibri" w:hAnsi="Calibri"/>
          <w:b/>
          <w:color w:val="4F81BD" w:themeColor="accent1"/>
        </w:rPr>
        <w:t>econom</w:t>
      </w:r>
      <w:r w:rsidR="00BD0207" w:rsidRPr="00473EE5">
        <w:rPr>
          <w:rFonts w:ascii="Calibri" w:hAnsi="Calibri"/>
          <w:b/>
          <w:color w:val="4F81BD" w:themeColor="accent1"/>
        </w:rPr>
        <w:t>ic, social and cultural rights</w:t>
      </w:r>
      <w:r w:rsidR="00206130" w:rsidRPr="00473EE5">
        <w:rPr>
          <w:rFonts w:ascii="Calibri" w:hAnsi="Calibri"/>
        </w:rPr>
        <w:t>.</w:t>
      </w:r>
      <w:r w:rsidR="00BD0207" w:rsidRPr="00473EE5">
        <w:rPr>
          <w:rFonts w:ascii="Calibri" w:hAnsi="Calibri"/>
        </w:rPr>
        <w:t xml:space="preserve"> </w:t>
      </w:r>
      <w:r w:rsidR="00AE7330" w:rsidRPr="00473EE5">
        <w:rPr>
          <w:rFonts w:ascii="Calibri" w:hAnsi="Calibri"/>
        </w:rPr>
        <w:t>Article 15 of CEDAW affirms that w</w:t>
      </w:r>
      <w:r w:rsidR="006251E3" w:rsidRPr="00473EE5">
        <w:rPr>
          <w:rFonts w:ascii="Calibri" w:hAnsi="Calibri"/>
        </w:rPr>
        <w:t>omen</w:t>
      </w:r>
      <w:r w:rsidR="00AE7330" w:rsidRPr="00473EE5">
        <w:rPr>
          <w:rFonts w:ascii="Calibri" w:hAnsi="Calibri"/>
        </w:rPr>
        <w:t xml:space="preserve"> and girls’</w:t>
      </w:r>
      <w:r w:rsidR="006251E3" w:rsidRPr="00473EE5">
        <w:rPr>
          <w:rFonts w:ascii="Calibri" w:hAnsi="Calibri"/>
        </w:rPr>
        <w:t xml:space="preserve"> equal access to justice is closely linked to the full realization of economic, social and cultural rights. This connection is also emphasized in Article 8 of the Protocol on the Rights of Women in Africa, which outlines specific regional standards on access to justice that encompass a broad set of </w:t>
      </w:r>
      <w:r w:rsidR="00AE7330" w:rsidRPr="00473EE5">
        <w:rPr>
          <w:rFonts w:ascii="Calibri" w:hAnsi="Calibri"/>
        </w:rPr>
        <w:t xml:space="preserve">socio-economic </w:t>
      </w:r>
      <w:r w:rsidR="006251E3" w:rsidRPr="00473EE5">
        <w:rPr>
          <w:rFonts w:ascii="Calibri" w:hAnsi="Calibri"/>
        </w:rPr>
        <w:t>rights.</w:t>
      </w:r>
      <w:r w:rsidR="006251E3" w:rsidRPr="00473EE5">
        <w:rPr>
          <w:rStyle w:val="FootnoteReference"/>
          <w:rFonts w:ascii="Calibri" w:hAnsi="Calibri"/>
        </w:rPr>
        <w:footnoteReference w:id="44"/>
      </w:r>
      <w:r w:rsidR="006251E3" w:rsidRPr="00473EE5">
        <w:rPr>
          <w:rFonts w:ascii="Calibri" w:hAnsi="Calibri"/>
        </w:rPr>
        <w:t xml:space="preserve"> </w:t>
      </w:r>
    </w:p>
    <w:p w14:paraId="4503C38F" w14:textId="77777777" w:rsidR="00551F8F" w:rsidRPr="00473EE5" w:rsidRDefault="00551F8F" w:rsidP="003F32C3">
      <w:pPr>
        <w:jc w:val="both"/>
        <w:rPr>
          <w:rFonts w:ascii="Calibri" w:hAnsi="Calibri"/>
        </w:rPr>
      </w:pPr>
    </w:p>
    <w:p w14:paraId="7DA489E2" w14:textId="6DBB9595" w:rsidR="00BA47CC" w:rsidRPr="00473EE5" w:rsidRDefault="00A4217A" w:rsidP="00C51E5E">
      <w:pPr>
        <w:spacing w:line="360" w:lineRule="auto"/>
        <w:jc w:val="both"/>
        <w:rPr>
          <w:rFonts w:ascii="Calibri" w:hAnsi="Calibri"/>
        </w:rPr>
      </w:pPr>
      <w:r w:rsidRPr="00473EE5">
        <w:rPr>
          <w:rFonts w:ascii="Calibri" w:hAnsi="Calibri"/>
        </w:rPr>
        <w:t>All resolutions</w:t>
      </w:r>
      <w:r w:rsidR="003F32C3" w:rsidRPr="00473EE5">
        <w:rPr>
          <w:rFonts w:ascii="Calibri" w:hAnsi="Calibri"/>
        </w:rPr>
        <w:t xml:space="preserve"> highlight the need for </w:t>
      </w:r>
      <w:r w:rsidR="003F32C3" w:rsidRPr="00473EE5">
        <w:rPr>
          <w:rFonts w:ascii="Calibri" w:hAnsi="Calibri"/>
          <w:b/>
          <w:color w:val="4F81BD" w:themeColor="accent1"/>
        </w:rPr>
        <w:t>gender-responsive access to justice</w:t>
      </w:r>
      <w:r w:rsidR="004222CA" w:rsidRPr="00473EE5">
        <w:rPr>
          <w:rFonts w:ascii="Calibri" w:hAnsi="Calibri"/>
        </w:rPr>
        <w:t>, which</w:t>
      </w:r>
      <w:r w:rsidR="00551F8F" w:rsidRPr="00473EE5">
        <w:rPr>
          <w:rFonts w:ascii="Calibri" w:hAnsi="Calibri"/>
        </w:rPr>
        <w:t xml:space="preserve"> is a </w:t>
      </w:r>
      <w:r w:rsidR="00166E4C" w:rsidRPr="00473EE5">
        <w:rPr>
          <w:rFonts w:ascii="Calibri" w:hAnsi="Calibri"/>
        </w:rPr>
        <w:t>basic human right</w:t>
      </w:r>
      <w:r w:rsidR="00206130" w:rsidRPr="00473EE5">
        <w:rPr>
          <w:rFonts w:ascii="Calibri" w:hAnsi="Calibri"/>
        </w:rPr>
        <w:t xml:space="preserve"> that enables the enjoyment of</w:t>
      </w:r>
      <w:r w:rsidR="00551F8F" w:rsidRPr="00473EE5">
        <w:rPr>
          <w:rFonts w:ascii="Calibri" w:hAnsi="Calibri"/>
        </w:rPr>
        <w:t xml:space="preserve"> other human rights</w:t>
      </w:r>
      <w:r w:rsidR="00C225C7" w:rsidRPr="00473EE5">
        <w:rPr>
          <w:rFonts w:ascii="Calibri" w:hAnsi="Calibri"/>
        </w:rPr>
        <w:t>.</w:t>
      </w:r>
      <w:r w:rsidR="00C225C7" w:rsidRPr="00473EE5">
        <w:rPr>
          <w:rStyle w:val="FootnoteReference"/>
          <w:rFonts w:ascii="Calibri" w:hAnsi="Calibri"/>
        </w:rPr>
        <w:t xml:space="preserve"> </w:t>
      </w:r>
      <w:r w:rsidR="00C225C7" w:rsidRPr="00473EE5">
        <w:rPr>
          <w:rStyle w:val="FootnoteReference"/>
          <w:rFonts w:ascii="Calibri" w:hAnsi="Calibri"/>
        </w:rPr>
        <w:footnoteReference w:id="45"/>
      </w:r>
      <w:r w:rsidR="00C225C7" w:rsidRPr="00473EE5">
        <w:rPr>
          <w:rFonts w:ascii="Calibri" w:hAnsi="Calibri"/>
        </w:rPr>
        <w:t xml:space="preserve"> </w:t>
      </w:r>
      <w:r w:rsidR="004222CA" w:rsidRPr="00473EE5">
        <w:rPr>
          <w:rFonts w:ascii="Calibri" w:hAnsi="Calibri"/>
        </w:rPr>
        <w:t>Access to justice</w:t>
      </w:r>
      <w:r w:rsidR="00C225C7" w:rsidRPr="00473EE5">
        <w:rPr>
          <w:rFonts w:ascii="Calibri" w:hAnsi="Calibri"/>
        </w:rPr>
        <w:t xml:space="preserve"> </w:t>
      </w:r>
      <w:r w:rsidR="00803C23" w:rsidRPr="00473EE5">
        <w:rPr>
          <w:rFonts w:ascii="Calibri" w:hAnsi="Calibri"/>
        </w:rPr>
        <w:t xml:space="preserve">is </w:t>
      </w:r>
      <w:r w:rsidR="00C225C7" w:rsidRPr="00473EE5">
        <w:rPr>
          <w:rFonts w:ascii="Calibri" w:hAnsi="Calibri"/>
        </w:rPr>
        <w:t xml:space="preserve">not mentioned in SCR 1325 (although </w:t>
      </w:r>
      <w:r w:rsidR="00472DA2" w:rsidRPr="00473EE5">
        <w:rPr>
          <w:rFonts w:ascii="Calibri" w:hAnsi="Calibri"/>
        </w:rPr>
        <w:t>accesses to justice concerns are</w:t>
      </w:r>
      <w:r w:rsidR="00C225C7" w:rsidRPr="00473EE5">
        <w:rPr>
          <w:rFonts w:ascii="Calibri" w:hAnsi="Calibri"/>
        </w:rPr>
        <w:t xml:space="preserve"> addressed by various provisions).</w:t>
      </w:r>
      <w:r w:rsidR="00551F8F" w:rsidRPr="00473EE5">
        <w:rPr>
          <w:rFonts w:ascii="Calibri" w:hAnsi="Calibri"/>
        </w:rPr>
        <w:t xml:space="preserve"> The resolutions reflect Articles 1-3, 5(a) and 15 of CEDAW and the GR No. 30, especially the latter’s</w:t>
      </w:r>
      <w:r w:rsidR="00097349" w:rsidRPr="00473EE5">
        <w:rPr>
          <w:rFonts w:ascii="Calibri" w:hAnsi="Calibri"/>
        </w:rPr>
        <w:t xml:space="preserve"> substantive</w:t>
      </w:r>
      <w:r w:rsidR="00551F8F" w:rsidRPr="00473EE5">
        <w:rPr>
          <w:rFonts w:ascii="Calibri" w:hAnsi="Calibri"/>
        </w:rPr>
        <w:t xml:space="preserve"> </w:t>
      </w:r>
      <w:r w:rsidR="00097349" w:rsidRPr="00473EE5">
        <w:rPr>
          <w:rFonts w:ascii="Calibri" w:hAnsi="Calibri"/>
        </w:rPr>
        <w:t>protections for</w:t>
      </w:r>
      <w:r w:rsidR="006251E3" w:rsidRPr="00473EE5">
        <w:rPr>
          <w:rFonts w:ascii="Calibri" w:hAnsi="Calibri"/>
        </w:rPr>
        <w:t xml:space="preserve"> women and girls’ right to access </w:t>
      </w:r>
      <w:r w:rsidR="00551F8F" w:rsidRPr="00473EE5">
        <w:rPr>
          <w:rFonts w:ascii="Calibri" w:hAnsi="Calibri"/>
        </w:rPr>
        <w:t>justice throughout the conflict cycle.</w:t>
      </w:r>
      <w:r w:rsidR="00551F8F" w:rsidRPr="00473EE5">
        <w:rPr>
          <w:rStyle w:val="FootnoteReference"/>
          <w:rFonts w:ascii="Calibri" w:hAnsi="Calibri"/>
        </w:rPr>
        <w:footnoteReference w:id="46"/>
      </w:r>
      <w:r w:rsidR="00551F8F" w:rsidRPr="00473EE5">
        <w:rPr>
          <w:rFonts w:ascii="Calibri" w:hAnsi="Calibri"/>
        </w:rPr>
        <w:t xml:space="preserve"> SCR 1820 </w:t>
      </w:r>
      <w:r w:rsidR="006251E3" w:rsidRPr="00473EE5">
        <w:rPr>
          <w:rFonts w:ascii="Calibri" w:hAnsi="Calibri"/>
        </w:rPr>
        <w:t xml:space="preserve">promotes </w:t>
      </w:r>
      <w:r w:rsidR="00551F8F" w:rsidRPr="00473EE5">
        <w:rPr>
          <w:rFonts w:ascii="Calibri" w:hAnsi="Calibri"/>
        </w:rPr>
        <w:t>access to justice in the context of rape and sexual violence, emphasising that women and girl victims require equal protection under the law and access to justice.</w:t>
      </w:r>
      <w:r w:rsidR="00551F8F" w:rsidRPr="00473EE5">
        <w:rPr>
          <w:rStyle w:val="FootnoteReference"/>
          <w:rFonts w:ascii="Calibri" w:hAnsi="Calibri"/>
        </w:rPr>
        <w:footnoteReference w:id="47"/>
      </w:r>
      <w:r w:rsidR="00551F8F" w:rsidRPr="00473EE5">
        <w:rPr>
          <w:rFonts w:ascii="Calibri" w:hAnsi="Calibri"/>
        </w:rPr>
        <w:t xml:space="preserve">  </w:t>
      </w:r>
      <w:r w:rsidR="004222CA" w:rsidRPr="00473EE5">
        <w:rPr>
          <w:rFonts w:ascii="Calibri" w:hAnsi="Calibri"/>
        </w:rPr>
        <w:t>SCR 1888 urges states to ensure that survivors of conflict-related sexual violence are treated with dignity throughout the justice process, have their rights upheld and receive redress.</w:t>
      </w:r>
      <w:r w:rsidR="00394E56" w:rsidRPr="00473EE5">
        <w:rPr>
          <w:rFonts w:ascii="Calibri" w:hAnsi="Calibri"/>
        </w:rPr>
        <w:t xml:space="preserve"> The </w:t>
      </w:r>
      <w:r w:rsidR="00962448" w:rsidRPr="00473EE5">
        <w:rPr>
          <w:rFonts w:ascii="Calibri" w:hAnsi="Calibri"/>
        </w:rPr>
        <w:t>SCR 1888</w:t>
      </w:r>
      <w:r w:rsidR="00394E56" w:rsidRPr="00473EE5">
        <w:rPr>
          <w:rFonts w:ascii="Calibri" w:hAnsi="Calibri"/>
        </w:rPr>
        <w:t xml:space="preserve"> </w:t>
      </w:r>
      <w:r w:rsidR="00191504" w:rsidRPr="00473EE5">
        <w:rPr>
          <w:rFonts w:ascii="Calibri" w:hAnsi="Calibri"/>
        </w:rPr>
        <w:t>calls</w:t>
      </w:r>
      <w:r w:rsidR="00394E56" w:rsidRPr="00473EE5">
        <w:rPr>
          <w:rFonts w:ascii="Calibri" w:hAnsi="Calibri"/>
        </w:rPr>
        <w:t xml:space="preserve"> for a “holistic national approach” to addressing sexual violence in conflict</w:t>
      </w:r>
      <w:r w:rsidR="00191504" w:rsidRPr="00473EE5">
        <w:rPr>
          <w:rFonts w:ascii="Calibri" w:hAnsi="Calibri"/>
        </w:rPr>
        <w:t xml:space="preserve"> by enhancing criminal accountability, responsiveness to victims and judicial capacity</w:t>
      </w:r>
      <w:r w:rsidR="00394E56" w:rsidRPr="00473EE5">
        <w:rPr>
          <w:rFonts w:ascii="Calibri" w:hAnsi="Calibri"/>
        </w:rPr>
        <w:t xml:space="preserve">, with recommendations that are </w:t>
      </w:r>
      <w:r w:rsidR="00191504" w:rsidRPr="00473EE5">
        <w:rPr>
          <w:rFonts w:ascii="Calibri" w:hAnsi="Calibri"/>
        </w:rPr>
        <w:t>drawn upon</w:t>
      </w:r>
      <w:r w:rsidR="00394E56" w:rsidRPr="00473EE5">
        <w:rPr>
          <w:rFonts w:ascii="Calibri" w:hAnsi="Calibri"/>
        </w:rPr>
        <w:t xml:space="preserve"> and </w:t>
      </w:r>
      <w:r w:rsidR="00191504" w:rsidRPr="00473EE5">
        <w:rPr>
          <w:rFonts w:ascii="Calibri" w:hAnsi="Calibri"/>
        </w:rPr>
        <w:t>elaborated though legal and policy recommendations in</w:t>
      </w:r>
      <w:r w:rsidR="00394E56" w:rsidRPr="00473EE5">
        <w:rPr>
          <w:rFonts w:ascii="Calibri" w:hAnsi="Calibri"/>
        </w:rPr>
        <w:t xml:space="preserve"> the CEDAW GR No. 30 (see below for discussion on the GR). </w:t>
      </w:r>
      <w:r w:rsidR="004222CA" w:rsidRPr="00473EE5">
        <w:rPr>
          <w:rStyle w:val="FootnoteReference"/>
          <w:rFonts w:ascii="Calibri" w:hAnsi="Calibri"/>
        </w:rPr>
        <w:footnoteReference w:id="48"/>
      </w:r>
      <w:r w:rsidR="004222CA" w:rsidRPr="00473EE5">
        <w:rPr>
          <w:rFonts w:ascii="Calibri" w:hAnsi="Calibri"/>
        </w:rPr>
        <w:t xml:space="preserve"> </w:t>
      </w:r>
      <w:r w:rsidR="00551F8F" w:rsidRPr="00473EE5">
        <w:rPr>
          <w:rFonts w:ascii="Calibri" w:hAnsi="Calibri"/>
        </w:rPr>
        <w:t xml:space="preserve">SCR 1889 </w:t>
      </w:r>
      <w:r w:rsidR="00191504" w:rsidRPr="00473EE5">
        <w:rPr>
          <w:rFonts w:ascii="Calibri" w:hAnsi="Calibri"/>
        </w:rPr>
        <w:t>recommends</w:t>
      </w:r>
      <w:r w:rsidR="006251E3" w:rsidRPr="00473EE5">
        <w:rPr>
          <w:rFonts w:ascii="Calibri" w:hAnsi="Calibri"/>
        </w:rPr>
        <w:t xml:space="preserve"> </w:t>
      </w:r>
      <w:r w:rsidR="00551F8F" w:rsidRPr="00473EE5">
        <w:rPr>
          <w:rFonts w:ascii="Calibri" w:hAnsi="Calibri"/>
        </w:rPr>
        <w:t>access to gender-responsive law enforcement and justice mechanisms</w:t>
      </w:r>
      <w:r w:rsidR="004222CA" w:rsidRPr="00473EE5">
        <w:rPr>
          <w:rFonts w:ascii="Calibri" w:hAnsi="Calibri"/>
        </w:rPr>
        <w:t xml:space="preserve"> for victims of rights violations</w:t>
      </w:r>
      <w:r w:rsidR="00551F8F" w:rsidRPr="00473EE5">
        <w:rPr>
          <w:rFonts w:ascii="Calibri" w:hAnsi="Calibri"/>
        </w:rPr>
        <w:t xml:space="preserve">, especially in conflict and post-conflict </w:t>
      </w:r>
      <w:r w:rsidR="00DC1303" w:rsidRPr="00473EE5">
        <w:rPr>
          <w:rFonts w:ascii="Calibri" w:hAnsi="Calibri"/>
        </w:rPr>
        <w:t>situations</w:t>
      </w:r>
      <w:r w:rsidR="00551F8F" w:rsidRPr="00473EE5">
        <w:rPr>
          <w:rFonts w:ascii="Calibri" w:hAnsi="Calibri"/>
        </w:rPr>
        <w:t>.</w:t>
      </w:r>
      <w:r w:rsidR="00551F8F" w:rsidRPr="00473EE5">
        <w:rPr>
          <w:rStyle w:val="FootnoteReference"/>
          <w:rFonts w:ascii="Calibri" w:hAnsi="Calibri"/>
        </w:rPr>
        <w:footnoteReference w:id="49"/>
      </w:r>
      <w:r w:rsidR="00C225C7" w:rsidRPr="00473EE5">
        <w:rPr>
          <w:rFonts w:ascii="Calibri" w:hAnsi="Calibri"/>
        </w:rPr>
        <w:t xml:space="preserve"> </w:t>
      </w:r>
      <w:r w:rsidR="00551F8F" w:rsidRPr="00473EE5">
        <w:rPr>
          <w:rFonts w:ascii="Calibri" w:hAnsi="Calibri"/>
        </w:rPr>
        <w:t xml:space="preserve">SCR 2122 goes further, specifying the need for gender-responsive legal, judicial and security sector reform and other mechanisms in these </w:t>
      </w:r>
      <w:r w:rsidR="00DC1303" w:rsidRPr="00473EE5">
        <w:rPr>
          <w:rFonts w:ascii="Calibri" w:hAnsi="Calibri"/>
        </w:rPr>
        <w:t>situation</w:t>
      </w:r>
      <w:r w:rsidR="00551F8F" w:rsidRPr="00473EE5">
        <w:rPr>
          <w:rFonts w:ascii="Calibri" w:hAnsi="Calibri"/>
        </w:rPr>
        <w:t>s</w:t>
      </w:r>
      <w:r w:rsidR="00097349" w:rsidRPr="00473EE5">
        <w:rPr>
          <w:rFonts w:ascii="Calibri" w:hAnsi="Calibri"/>
        </w:rPr>
        <w:t>.</w:t>
      </w:r>
      <w:r w:rsidR="00097349" w:rsidRPr="00473EE5">
        <w:rPr>
          <w:rStyle w:val="FootnoteReference"/>
          <w:rFonts w:ascii="Calibri" w:hAnsi="Calibri"/>
        </w:rPr>
        <w:footnoteReference w:id="50"/>
      </w:r>
      <w:r w:rsidR="00097349" w:rsidRPr="00473EE5">
        <w:rPr>
          <w:rFonts w:ascii="Calibri" w:hAnsi="Calibri"/>
        </w:rPr>
        <w:t xml:space="preserve">  </w:t>
      </w:r>
    </w:p>
    <w:p w14:paraId="3D26D5ED" w14:textId="77777777" w:rsidR="00097349" w:rsidRPr="00473EE5" w:rsidRDefault="00097349" w:rsidP="003F32C3">
      <w:pPr>
        <w:jc w:val="both"/>
        <w:rPr>
          <w:rFonts w:ascii="Calibri" w:hAnsi="Calibri"/>
        </w:rPr>
      </w:pPr>
    </w:p>
    <w:p w14:paraId="435B2999" w14:textId="123D6FED" w:rsidR="003C38FC" w:rsidRPr="00473EE5" w:rsidRDefault="009C3188" w:rsidP="00C51E5E">
      <w:pPr>
        <w:spacing w:line="360" w:lineRule="auto"/>
        <w:jc w:val="both"/>
        <w:rPr>
          <w:rFonts w:ascii="Calibri" w:hAnsi="Calibri"/>
        </w:rPr>
      </w:pPr>
      <w:r w:rsidRPr="00473EE5">
        <w:rPr>
          <w:rFonts w:ascii="Calibri" w:hAnsi="Calibri"/>
        </w:rPr>
        <w:t>SCR</w:t>
      </w:r>
      <w:r w:rsidR="003C38FC" w:rsidRPr="00473EE5">
        <w:rPr>
          <w:rFonts w:ascii="Calibri" w:hAnsi="Calibri"/>
        </w:rPr>
        <w:t>s 1888 and</w:t>
      </w:r>
      <w:r w:rsidRPr="00473EE5">
        <w:rPr>
          <w:rFonts w:ascii="Calibri" w:hAnsi="Calibri"/>
        </w:rPr>
        <w:t xml:space="preserve"> 1889 </w:t>
      </w:r>
      <w:r w:rsidR="00A63180" w:rsidRPr="00473EE5">
        <w:rPr>
          <w:rFonts w:ascii="Calibri" w:hAnsi="Calibri"/>
        </w:rPr>
        <w:t xml:space="preserve">recognises the particular needs of women and girls post-conflict, including </w:t>
      </w:r>
      <w:r w:rsidR="003C38FC" w:rsidRPr="00473EE5">
        <w:rPr>
          <w:rFonts w:ascii="Calibri" w:hAnsi="Calibri"/>
        </w:rPr>
        <w:t xml:space="preserve">regarding </w:t>
      </w:r>
      <w:r w:rsidR="00A63180" w:rsidRPr="00473EE5">
        <w:rPr>
          <w:rFonts w:ascii="Calibri" w:hAnsi="Calibri"/>
          <w:b/>
          <w:color w:val="4F81BD" w:themeColor="accent1"/>
        </w:rPr>
        <w:t xml:space="preserve">health services, </w:t>
      </w:r>
      <w:r w:rsidR="003C38FC" w:rsidRPr="00473EE5">
        <w:rPr>
          <w:rFonts w:ascii="Calibri" w:hAnsi="Calibri"/>
          <w:b/>
          <w:color w:val="4F81BD" w:themeColor="accent1"/>
        </w:rPr>
        <w:t>legal assistance, socio-economic reintegration services for victims of sexual violence, livelihood assistance</w:t>
      </w:r>
      <w:r w:rsidR="00A63180" w:rsidRPr="00473EE5">
        <w:rPr>
          <w:rFonts w:ascii="Calibri" w:hAnsi="Calibri"/>
          <w:b/>
          <w:color w:val="4F81BD" w:themeColor="accent1"/>
        </w:rPr>
        <w:t>, land and property right</w:t>
      </w:r>
      <w:r w:rsidR="003C38FC" w:rsidRPr="00473EE5">
        <w:rPr>
          <w:rFonts w:ascii="Calibri" w:hAnsi="Calibri"/>
          <w:b/>
          <w:color w:val="4F81BD" w:themeColor="accent1"/>
        </w:rPr>
        <w:t>s</w:t>
      </w:r>
      <w:r w:rsidR="00A63180" w:rsidRPr="00473EE5">
        <w:rPr>
          <w:rFonts w:ascii="Calibri" w:hAnsi="Calibri"/>
          <w:b/>
          <w:color w:val="4F81BD" w:themeColor="accent1"/>
        </w:rPr>
        <w:t xml:space="preserve"> and employment</w:t>
      </w:r>
      <w:r w:rsidR="00A63180" w:rsidRPr="00473EE5">
        <w:rPr>
          <w:rFonts w:ascii="Calibri" w:hAnsi="Calibri"/>
        </w:rPr>
        <w:t xml:space="preserve">. The </w:t>
      </w:r>
      <w:r w:rsidR="00962448" w:rsidRPr="00473EE5">
        <w:rPr>
          <w:rFonts w:ascii="Calibri" w:hAnsi="Calibri"/>
        </w:rPr>
        <w:t xml:space="preserve">SCR 1889 </w:t>
      </w:r>
      <w:r w:rsidRPr="00473EE5">
        <w:rPr>
          <w:rFonts w:ascii="Calibri" w:hAnsi="Calibri"/>
        </w:rPr>
        <w:t xml:space="preserve">encourages Member States, in post-conflict </w:t>
      </w:r>
      <w:r w:rsidR="00DC1303" w:rsidRPr="00473EE5">
        <w:rPr>
          <w:rFonts w:ascii="Calibri" w:hAnsi="Calibri"/>
        </w:rPr>
        <w:t>situations</w:t>
      </w:r>
      <w:r w:rsidRPr="00473EE5">
        <w:rPr>
          <w:rFonts w:ascii="Calibri" w:hAnsi="Calibri"/>
        </w:rPr>
        <w:t xml:space="preserve">, to guarantee greater physical security and better socio-economic conditions for women, through education, income-generating activities and access to basic services especially health services related to </w:t>
      </w:r>
      <w:r w:rsidR="00DC1303" w:rsidRPr="00473EE5">
        <w:rPr>
          <w:rFonts w:ascii="Calibri" w:hAnsi="Calibri"/>
        </w:rPr>
        <w:t xml:space="preserve">sexual, reproductive and </w:t>
      </w:r>
      <w:r w:rsidR="00DD0EF5" w:rsidRPr="00473EE5">
        <w:rPr>
          <w:rFonts w:ascii="Calibri" w:hAnsi="Calibri"/>
        </w:rPr>
        <w:t>mental health.</w:t>
      </w:r>
      <w:r w:rsidR="00962448" w:rsidRPr="00473EE5">
        <w:rPr>
          <w:rStyle w:val="FootnoteReference"/>
          <w:rFonts w:ascii="Calibri" w:hAnsi="Calibri"/>
        </w:rPr>
        <w:footnoteReference w:id="51"/>
      </w:r>
      <w:r w:rsidR="00DD0EF5" w:rsidRPr="00473EE5">
        <w:rPr>
          <w:rFonts w:ascii="Calibri" w:hAnsi="Calibri"/>
        </w:rPr>
        <w:t xml:space="preserve"> </w:t>
      </w:r>
      <w:r w:rsidR="00E32684" w:rsidRPr="00473EE5">
        <w:rPr>
          <w:rFonts w:ascii="Calibri" w:hAnsi="Calibri"/>
        </w:rPr>
        <w:t xml:space="preserve">SCR 1960 </w:t>
      </w:r>
      <w:r w:rsidR="00E24A2C" w:rsidRPr="00473EE5">
        <w:rPr>
          <w:rFonts w:ascii="Calibri" w:hAnsi="Calibri"/>
        </w:rPr>
        <w:t xml:space="preserve">incorporates an intersectional view of discrimination, reaffirming </w:t>
      </w:r>
      <w:r w:rsidR="005062A7" w:rsidRPr="00473EE5">
        <w:rPr>
          <w:rFonts w:ascii="Calibri" w:hAnsi="Calibri"/>
        </w:rPr>
        <w:t>the rights of</w:t>
      </w:r>
      <w:r w:rsidR="00E32684" w:rsidRPr="00473EE5">
        <w:rPr>
          <w:rFonts w:ascii="Calibri" w:hAnsi="Calibri"/>
        </w:rPr>
        <w:t xml:space="preserve"> rural women and persons with disabilities in the context of post-conflict and post-rights violation support, including socio-economic reintegration.</w:t>
      </w:r>
      <w:r w:rsidR="00E32684" w:rsidRPr="00473EE5">
        <w:rPr>
          <w:rStyle w:val="FootnoteReference"/>
          <w:rFonts w:ascii="Calibri" w:hAnsi="Calibri"/>
        </w:rPr>
        <w:footnoteReference w:id="52"/>
      </w:r>
      <w:r w:rsidR="00E32684" w:rsidRPr="00473EE5">
        <w:rPr>
          <w:rFonts w:ascii="Calibri" w:hAnsi="Calibri"/>
        </w:rPr>
        <w:t xml:space="preserve"> </w:t>
      </w:r>
      <w:r w:rsidR="00DD0EF5" w:rsidRPr="00473EE5">
        <w:rPr>
          <w:rFonts w:ascii="Calibri" w:hAnsi="Calibri"/>
        </w:rPr>
        <w:t>The</w:t>
      </w:r>
      <w:r w:rsidR="00E32684" w:rsidRPr="00473EE5">
        <w:rPr>
          <w:rFonts w:ascii="Calibri" w:hAnsi="Calibri"/>
        </w:rPr>
        <w:t>se</w:t>
      </w:r>
      <w:r w:rsidR="00DD0EF5" w:rsidRPr="00473EE5">
        <w:rPr>
          <w:rFonts w:ascii="Calibri" w:hAnsi="Calibri"/>
        </w:rPr>
        <w:t xml:space="preserve"> provision</w:t>
      </w:r>
      <w:r w:rsidR="005062A7" w:rsidRPr="00473EE5">
        <w:rPr>
          <w:rFonts w:ascii="Calibri" w:hAnsi="Calibri"/>
        </w:rPr>
        <w:t>s</w:t>
      </w:r>
      <w:r w:rsidR="00DD0EF5" w:rsidRPr="00473EE5">
        <w:rPr>
          <w:rFonts w:ascii="Calibri" w:hAnsi="Calibri"/>
        </w:rPr>
        <w:t xml:space="preserve"> as a whole</w:t>
      </w:r>
      <w:r w:rsidR="00BE6DED" w:rsidRPr="00473EE5">
        <w:rPr>
          <w:rFonts w:ascii="Calibri" w:hAnsi="Calibri"/>
        </w:rPr>
        <w:t xml:space="preserve"> reflec</w:t>
      </w:r>
      <w:r w:rsidR="005062A7" w:rsidRPr="00473EE5">
        <w:rPr>
          <w:rFonts w:ascii="Calibri" w:hAnsi="Calibri"/>
        </w:rPr>
        <w:t>t</w:t>
      </w:r>
      <w:r w:rsidR="005138CA" w:rsidRPr="00473EE5">
        <w:rPr>
          <w:rFonts w:ascii="Calibri" w:hAnsi="Calibri"/>
        </w:rPr>
        <w:t xml:space="preserve"> Articles 1-3, 4(1), 5(a), 10-12 and </w:t>
      </w:r>
      <w:r w:rsidR="00DD0EF5" w:rsidRPr="00473EE5">
        <w:rPr>
          <w:rFonts w:ascii="Calibri" w:hAnsi="Calibri"/>
        </w:rPr>
        <w:t>14</w:t>
      </w:r>
      <w:r w:rsidR="00BE6DED" w:rsidRPr="00473EE5">
        <w:rPr>
          <w:rFonts w:ascii="Calibri" w:hAnsi="Calibri"/>
        </w:rPr>
        <w:t xml:space="preserve"> of CEDAW</w:t>
      </w:r>
      <w:r w:rsidR="005138CA" w:rsidRPr="00473EE5">
        <w:rPr>
          <w:rFonts w:ascii="Calibri" w:hAnsi="Calibri"/>
        </w:rPr>
        <w:t xml:space="preserve">. </w:t>
      </w:r>
      <w:r w:rsidR="00E24A2C" w:rsidRPr="00473EE5">
        <w:rPr>
          <w:rFonts w:ascii="Calibri" w:hAnsi="Calibri"/>
        </w:rPr>
        <w:t>W</w:t>
      </w:r>
      <w:r w:rsidR="005138CA" w:rsidRPr="00473EE5">
        <w:rPr>
          <w:rFonts w:ascii="Calibri" w:hAnsi="Calibri"/>
        </w:rPr>
        <w:t>omen’s rights concerning education, work and health services</w:t>
      </w:r>
      <w:r w:rsidR="005062A7" w:rsidRPr="00473EE5">
        <w:rPr>
          <w:rFonts w:ascii="Calibri" w:hAnsi="Calibri"/>
        </w:rPr>
        <w:t xml:space="preserve">, including </w:t>
      </w:r>
      <w:r w:rsidR="00227B46" w:rsidRPr="00473EE5">
        <w:rPr>
          <w:rFonts w:ascii="Calibri" w:hAnsi="Calibri"/>
        </w:rPr>
        <w:t xml:space="preserve">protections </w:t>
      </w:r>
      <w:r w:rsidR="005062A7" w:rsidRPr="00473EE5">
        <w:rPr>
          <w:rFonts w:ascii="Calibri" w:hAnsi="Calibri"/>
        </w:rPr>
        <w:t>for vulnerable groups such as rural women and those with disabilities,</w:t>
      </w:r>
      <w:r w:rsidR="005138CA" w:rsidRPr="00473EE5">
        <w:rPr>
          <w:rFonts w:ascii="Calibri" w:hAnsi="Calibri"/>
        </w:rPr>
        <w:t xml:space="preserve"> are addressed in the </w:t>
      </w:r>
      <w:r w:rsidR="00C8027E" w:rsidRPr="00473EE5">
        <w:rPr>
          <w:rFonts w:ascii="Calibri" w:hAnsi="Calibri"/>
        </w:rPr>
        <w:t xml:space="preserve">CEDAW </w:t>
      </w:r>
      <w:r w:rsidR="005138CA" w:rsidRPr="00473EE5">
        <w:rPr>
          <w:rFonts w:ascii="Calibri" w:hAnsi="Calibri"/>
        </w:rPr>
        <w:t xml:space="preserve">GR No. </w:t>
      </w:r>
      <w:r w:rsidR="00F357FA" w:rsidRPr="00473EE5">
        <w:rPr>
          <w:rFonts w:ascii="Calibri" w:hAnsi="Calibri"/>
        </w:rPr>
        <w:t>30. The</w:t>
      </w:r>
      <w:r w:rsidR="00227B46" w:rsidRPr="00473EE5">
        <w:rPr>
          <w:rFonts w:ascii="Calibri" w:hAnsi="Calibri"/>
        </w:rPr>
        <w:t xml:space="preserve"> resolutions also reflect</w:t>
      </w:r>
      <w:r w:rsidR="005138CA" w:rsidRPr="00473EE5">
        <w:rPr>
          <w:rFonts w:ascii="Calibri" w:hAnsi="Calibri"/>
        </w:rPr>
        <w:t xml:space="preserve"> </w:t>
      </w:r>
      <w:r w:rsidR="00DD0EF5" w:rsidRPr="00473EE5">
        <w:rPr>
          <w:rFonts w:ascii="Calibri" w:hAnsi="Calibri"/>
        </w:rPr>
        <w:lastRenderedPageBreak/>
        <w:t>Articles 1</w:t>
      </w:r>
      <w:r w:rsidR="00806673" w:rsidRPr="00473EE5">
        <w:rPr>
          <w:rFonts w:ascii="Calibri" w:hAnsi="Calibri"/>
        </w:rPr>
        <w:t>, 3</w:t>
      </w:r>
      <w:r w:rsidR="00DD0EF5" w:rsidRPr="00473EE5">
        <w:rPr>
          <w:rFonts w:ascii="Calibri" w:hAnsi="Calibri"/>
        </w:rPr>
        <w:t>, 6, 12 and 13 of the ICESCR</w:t>
      </w:r>
      <w:r w:rsidR="00DC1303" w:rsidRPr="00473EE5">
        <w:rPr>
          <w:rFonts w:ascii="Calibri" w:hAnsi="Calibri"/>
        </w:rPr>
        <w:t>.</w:t>
      </w:r>
      <w:r w:rsidR="003F6FD2" w:rsidRPr="00473EE5">
        <w:rPr>
          <w:rStyle w:val="FootnoteReference"/>
          <w:rFonts w:ascii="Calibri" w:hAnsi="Calibri"/>
        </w:rPr>
        <w:t xml:space="preserve"> </w:t>
      </w:r>
      <w:r w:rsidR="003F6FD2" w:rsidRPr="00473EE5">
        <w:rPr>
          <w:rStyle w:val="FootnoteReference"/>
          <w:rFonts w:ascii="Calibri" w:hAnsi="Calibri"/>
        </w:rPr>
        <w:footnoteReference w:id="53"/>
      </w:r>
      <w:r w:rsidR="003F6FD2" w:rsidRPr="00473EE5">
        <w:rPr>
          <w:rFonts w:ascii="Calibri" w:hAnsi="Calibri"/>
        </w:rPr>
        <w:t xml:space="preserve"> </w:t>
      </w:r>
      <w:r w:rsidR="00DC1303" w:rsidRPr="00473EE5">
        <w:rPr>
          <w:rFonts w:ascii="Calibri" w:hAnsi="Calibri"/>
        </w:rPr>
        <w:t xml:space="preserve"> In doing so, they recognise the interrelationship and integrity of all human rights.</w:t>
      </w:r>
      <w:r w:rsidR="003F6FD2" w:rsidRPr="00473EE5">
        <w:rPr>
          <w:rFonts w:ascii="Calibri" w:hAnsi="Calibri"/>
        </w:rPr>
        <w:t xml:space="preserve"> </w:t>
      </w:r>
    </w:p>
    <w:p w14:paraId="0E13F62F" w14:textId="77777777" w:rsidR="003C38FC" w:rsidRPr="00473EE5" w:rsidRDefault="003C38FC" w:rsidP="003F32C3">
      <w:pPr>
        <w:jc w:val="both"/>
        <w:rPr>
          <w:rFonts w:ascii="Calibri" w:hAnsi="Calibri"/>
        </w:rPr>
      </w:pPr>
    </w:p>
    <w:p w14:paraId="42088F86" w14:textId="290415D1" w:rsidR="00227B46" w:rsidRPr="00473EE5" w:rsidRDefault="00DB0F5A" w:rsidP="00C51E5E">
      <w:pPr>
        <w:spacing w:line="360" w:lineRule="auto"/>
        <w:jc w:val="both"/>
        <w:rPr>
          <w:rFonts w:ascii="Calibri" w:hAnsi="Calibri"/>
        </w:rPr>
      </w:pPr>
      <w:r w:rsidRPr="00473EE5">
        <w:rPr>
          <w:rFonts w:ascii="Calibri" w:hAnsi="Calibri"/>
        </w:rPr>
        <w:t xml:space="preserve">The resolutions’ provisions on </w:t>
      </w:r>
      <w:r w:rsidRPr="00473EE5">
        <w:rPr>
          <w:rFonts w:ascii="Calibri" w:hAnsi="Calibri"/>
          <w:b/>
          <w:color w:val="4F81BD" w:themeColor="accent1"/>
        </w:rPr>
        <w:t>education</w:t>
      </w:r>
      <w:r w:rsidRPr="00473EE5">
        <w:rPr>
          <w:rFonts w:ascii="Calibri" w:hAnsi="Calibri"/>
          <w:b/>
        </w:rPr>
        <w:t xml:space="preserve"> </w:t>
      </w:r>
      <w:r w:rsidRPr="00473EE5">
        <w:rPr>
          <w:rFonts w:ascii="Calibri" w:hAnsi="Calibri"/>
        </w:rPr>
        <w:t>reflect</w:t>
      </w:r>
      <w:r w:rsidR="00F357FA" w:rsidRPr="00473EE5">
        <w:rPr>
          <w:rFonts w:ascii="Calibri" w:hAnsi="Calibri"/>
        </w:rPr>
        <w:t xml:space="preserve"> </w:t>
      </w:r>
      <w:r w:rsidR="00BE6DED" w:rsidRPr="00473EE5">
        <w:rPr>
          <w:rFonts w:ascii="Calibri" w:hAnsi="Calibri"/>
        </w:rPr>
        <w:t>Article 10 of CEDAW</w:t>
      </w:r>
      <w:r w:rsidRPr="00473EE5">
        <w:rPr>
          <w:rFonts w:ascii="Calibri" w:hAnsi="Calibri"/>
        </w:rPr>
        <w:t>, which</w:t>
      </w:r>
      <w:r w:rsidR="00BE6DED" w:rsidRPr="00473EE5">
        <w:rPr>
          <w:rFonts w:ascii="Calibri" w:hAnsi="Calibri"/>
        </w:rPr>
        <w:t xml:space="preserve"> upholds women’s</w:t>
      </w:r>
      <w:r w:rsidR="00DD0EF5" w:rsidRPr="00473EE5">
        <w:rPr>
          <w:rFonts w:ascii="Calibri" w:hAnsi="Calibri"/>
        </w:rPr>
        <w:t xml:space="preserve"> right to equality in education</w:t>
      </w:r>
      <w:r w:rsidRPr="00473EE5">
        <w:rPr>
          <w:rFonts w:ascii="Calibri" w:hAnsi="Calibri"/>
        </w:rPr>
        <w:t>. Th</w:t>
      </w:r>
      <w:r w:rsidR="0080458B" w:rsidRPr="00473EE5">
        <w:rPr>
          <w:rFonts w:ascii="Calibri" w:hAnsi="Calibri"/>
        </w:rPr>
        <w:t>e</w:t>
      </w:r>
      <w:r w:rsidRPr="00473EE5">
        <w:rPr>
          <w:rFonts w:ascii="Calibri" w:hAnsi="Calibri"/>
        </w:rPr>
        <w:t xml:space="preserve"> CEDAW GR No. 30 protections relating to education</w:t>
      </w:r>
      <w:r w:rsidR="00C662B1" w:rsidRPr="00473EE5">
        <w:rPr>
          <w:rFonts w:ascii="Calibri" w:hAnsi="Calibri"/>
        </w:rPr>
        <w:t xml:space="preserve"> for women and girls affected by conflict are discussed</w:t>
      </w:r>
      <w:r w:rsidRPr="00473EE5">
        <w:rPr>
          <w:rFonts w:ascii="Calibri" w:hAnsi="Calibri"/>
        </w:rPr>
        <w:t xml:space="preserve"> </w:t>
      </w:r>
      <w:r w:rsidR="00C662B1" w:rsidRPr="00473EE5">
        <w:rPr>
          <w:rFonts w:ascii="Calibri" w:hAnsi="Calibri"/>
        </w:rPr>
        <w:t>further in Section 1</w:t>
      </w:r>
      <w:r w:rsidRPr="00473EE5">
        <w:rPr>
          <w:rFonts w:ascii="Calibri" w:hAnsi="Calibri"/>
        </w:rPr>
        <w:t xml:space="preserve">. </w:t>
      </w:r>
      <w:r w:rsidR="00BE6DED" w:rsidRPr="00473EE5">
        <w:rPr>
          <w:rFonts w:ascii="Calibri" w:hAnsi="Calibri"/>
        </w:rPr>
        <w:t>Article 13(1) of the ICESCR</w:t>
      </w:r>
      <w:r w:rsidR="00E858EF" w:rsidRPr="00473EE5">
        <w:rPr>
          <w:rFonts w:ascii="Calibri" w:hAnsi="Calibri"/>
        </w:rPr>
        <w:t xml:space="preserve"> and its General Comment No</w:t>
      </w:r>
      <w:r w:rsidR="00DC1303" w:rsidRPr="00473EE5">
        <w:rPr>
          <w:rFonts w:ascii="Calibri" w:hAnsi="Calibri"/>
        </w:rPr>
        <w:t>.</w:t>
      </w:r>
      <w:r w:rsidR="00E858EF" w:rsidRPr="00473EE5">
        <w:rPr>
          <w:rFonts w:ascii="Calibri" w:hAnsi="Calibri"/>
        </w:rPr>
        <w:t xml:space="preserve"> 13</w:t>
      </w:r>
      <w:r w:rsidR="00DC1303" w:rsidRPr="00473EE5">
        <w:rPr>
          <w:rFonts w:ascii="Calibri" w:hAnsi="Calibri"/>
        </w:rPr>
        <w:t xml:space="preserve"> (GC No. 13)</w:t>
      </w:r>
      <w:r w:rsidR="005138CA" w:rsidRPr="00473EE5">
        <w:rPr>
          <w:rFonts w:ascii="Calibri" w:hAnsi="Calibri"/>
        </w:rPr>
        <w:t xml:space="preserve"> also uphold women’s access to education</w:t>
      </w:r>
      <w:r w:rsidR="00BE6DED" w:rsidRPr="00473EE5">
        <w:rPr>
          <w:rFonts w:ascii="Calibri" w:hAnsi="Calibri"/>
        </w:rPr>
        <w:t xml:space="preserve">. </w:t>
      </w:r>
      <w:r w:rsidR="00BD0207" w:rsidRPr="00473EE5">
        <w:rPr>
          <w:rFonts w:ascii="Calibri" w:hAnsi="Calibri"/>
        </w:rPr>
        <w:t xml:space="preserve">Article 29(1) of the CRC </w:t>
      </w:r>
      <w:r w:rsidR="005138CA" w:rsidRPr="00473EE5">
        <w:rPr>
          <w:rFonts w:ascii="Calibri" w:hAnsi="Calibri"/>
        </w:rPr>
        <w:t xml:space="preserve">protects </w:t>
      </w:r>
      <w:r w:rsidR="00BD0207" w:rsidRPr="00473EE5">
        <w:rPr>
          <w:rFonts w:ascii="Calibri" w:hAnsi="Calibri"/>
        </w:rPr>
        <w:t>the right</w:t>
      </w:r>
      <w:r w:rsidR="005138CA" w:rsidRPr="00473EE5">
        <w:rPr>
          <w:rFonts w:ascii="Calibri" w:hAnsi="Calibri"/>
        </w:rPr>
        <w:t xml:space="preserve"> of the girl child</w:t>
      </w:r>
      <w:r w:rsidR="00BD0207" w:rsidRPr="00473EE5">
        <w:rPr>
          <w:rFonts w:ascii="Calibri" w:hAnsi="Calibri"/>
        </w:rPr>
        <w:t xml:space="preserve"> to education, and the CRC </w:t>
      </w:r>
      <w:r w:rsidRPr="00473EE5">
        <w:rPr>
          <w:rFonts w:ascii="Calibri" w:hAnsi="Calibri"/>
        </w:rPr>
        <w:t>GC</w:t>
      </w:r>
      <w:r w:rsidR="00BD0207" w:rsidRPr="00473EE5">
        <w:rPr>
          <w:rFonts w:ascii="Calibri" w:hAnsi="Calibri"/>
        </w:rPr>
        <w:t xml:space="preserve"> No. 1 emphasises the importance of education</w:t>
      </w:r>
      <w:r w:rsidR="005138CA" w:rsidRPr="00473EE5">
        <w:rPr>
          <w:rFonts w:ascii="Calibri" w:hAnsi="Calibri"/>
        </w:rPr>
        <w:t xml:space="preserve"> for all children</w:t>
      </w:r>
      <w:r w:rsidR="00BD0207" w:rsidRPr="00473EE5">
        <w:rPr>
          <w:rFonts w:ascii="Calibri" w:hAnsi="Calibri"/>
        </w:rPr>
        <w:t xml:space="preserve"> during </w:t>
      </w:r>
      <w:r w:rsidRPr="00473EE5">
        <w:rPr>
          <w:rFonts w:ascii="Calibri" w:hAnsi="Calibri"/>
        </w:rPr>
        <w:t>both</w:t>
      </w:r>
      <w:r w:rsidR="00BD0207" w:rsidRPr="00473EE5">
        <w:rPr>
          <w:rFonts w:ascii="Calibri" w:hAnsi="Calibri"/>
        </w:rPr>
        <w:t xml:space="preserve"> conflict </w:t>
      </w:r>
      <w:r w:rsidRPr="00473EE5">
        <w:rPr>
          <w:rFonts w:ascii="Calibri" w:hAnsi="Calibri"/>
        </w:rPr>
        <w:t>and</w:t>
      </w:r>
      <w:r w:rsidR="00BD0207" w:rsidRPr="00473EE5">
        <w:rPr>
          <w:rFonts w:ascii="Calibri" w:hAnsi="Calibri"/>
        </w:rPr>
        <w:t xml:space="preserve"> peacetime.</w:t>
      </w:r>
      <w:r w:rsidR="00BD0207" w:rsidRPr="00473EE5">
        <w:rPr>
          <w:rStyle w:val="FootnoteReference"/>
          <w:rFonts w:ascii="Calibri" w:hAnsi="Calibri"/>
        </w:rPr>
        <w:footnoteReference w:id="54"/>
      </w:r>
      <w:r w:rsidR="00BD0207" w:rsidRPr="00473EE5">
        <w:rPr>
          <w:rFonts w:ascii="Calibri" w:hAnsi="Calibri"/>
        </w:rPr>
        <w:t xml:space="preserve"> </w:t>
      </w:r>
    </w:p>
    <w:p w14:paraId="31948112" w14:textId="77777777" w:rsidR="00227B46" w:rsidRPr="00473EE5" w:rsidRDefault="00227B46" w:rsidP="003F32C3">
      <w:pPr>
        <w:jc w:val="both"/>
        <w:rPr>
          <w:rFonts w:ascii="Calibri" w:hAnsi="Calibri"/>
        </w:rPr>
      </w:pPr>
    </w:p>
    <w:p w14:paraId="24EBA9A8" w14:textId="2C1FCC56" w:rsidR="00A63180" w:rsidRPr="00473EE5" w:rsidRDefault="00387481" w:rsidP="00C51E5E">
      <w:pPr>
        <w:spacing w:line="360" w:lineRule="auto"/>
        <w:jc w:val="both"/>
        <w:rPr>
          <w:rFonts w:ascii="Calibri" w:hAnsi="Calibri"/>
        </w:rPr>
      </w:pPr>
      <w:r w:rsidRPr="00473EE5">
        <w:rPr>
          <w:rFonts w:ascii="Calibri" w:hAnsi="Calibri"/>
        </w:rPr>
        <w:t xml:space="preserve">The resolutions’ </w:t>
      </w:r>
      <w:r w:rsidR="00C44DB8" w:rsidRPr="00473EE5">
        <w:rPr>
          <w:rFonts w:ascii="Calibri" w:hAnsi="Calibri"/>
        </w:rPr>
        <w:t>language</w:t>
      </w:r>
      <w:r w:rsidR="00DC1303" w:rsidRPr="00473EE5">
        <w:rPr>
          <w:rFonts w:ascii="Calibri" w:hAnsi="Calibri"/>
        </w:rPr>
        <w:t xml:space="preserve"> on</w:t>
      </w:r>
      <w:r w:rsidRPr="00473EE5">
        <w:rPr>
          <w:rFonts w:ascii="Calibri" w:hAnsi="Calibri"/>
        </w:rPr>
        <w:t xml:space="preserve"> </w:t>
      </w:r>
      <w:r w:rsidRPr="00473EE5">
        <w:rPr>
          <w:rFonts w:ascii="Calibri" w:hAnsi="Calibri"/>
          <w:b/>
          <w:color w:val="4F81BD" w:themeColor="accent1"/>
        </w:rPr>
        <w:t>income-generation</w:t>
      </w:r>
      <w:r w:rsidRPr="00473EE5">
        <w:rPr>
          <w:rFonts w:ascii="Calibri" w:hAnsi="Calibri"/>
        </w:rPr>
        <w:t xml:space="preserve"> (and women’s </w:t>
      </w:r>
      <w:r w:rsidR="00445B87" w:rsidRPr="00473EE5">
        <w:rPr>
          <w:rFonts w:ascii="Calibri" w:hAnsi="Calibri"/>
        </w:rPr>
        <w:t xml:space="preserve">work-related rights) </w:t>
      </w:r>
      <w:r w:rsidR="000E6342" w:rsidRPr="00473EE5">
        <w:rPr>
          <w:rFonts w:ascii="Calibri" w:hAnsi="Calibri"/>
        </w:rPr>
        <w:t>reflects</w:t>
      </w:r>
      <w:r w:rsidRPr="00473EE5">
        <w:rPr>
          <w:rFonts w:ascii="Calibri" w:hAnsi="Calibri"/>
        </w:rPr>
        <w:t xml:space="preserve"> </w:t>
      </w:r>
      <w:r w:rsidR="00DD0EF5" w:rsidRPr="00473EE5">
        <w:rPr>
          <w:rFonts w:ascii="Calibri" w:hAnsi="Calibri"/>
        </w:rPr>
        <w:t>Articles 13 and 14 of CEDAW</w:t>
      </w:r>
      <w:r w:rsidR="00DC1303" w:rsidRPr="00473EE5">
        <w:rPr>
          <w:rFonts w:ascii="Calibri" w:hAnsi="Calibri"/>
        </w:rPr>
        <w:t>, which</w:t>
      </w:r>
      <w:r w:rsidR="00A63180" w:rsidRPr="00473EE5">
        <w:rPr>
          <w:rFonts w:ascii="Calibri" w:hAnsi="Calibri"/>
        </w:rPr>
        <w:t xml:space="preserve"> </w:t>
      </w:r>
      <w:r w:rsidR="00DD0EF5" w:rsidRPr="00473EE5">
        <w:rPr>
          <w:rFonts w:ascii="Calibri" w:hAnsi="Calibri"/>
        </w:rPr>
        <w:t>protect women against discrimination in economic and social life, and uphold rural women’s right to econo</w:t>
      </w:r>
      <w:r w:rsidR="005138CA" w:rsidRPr="00473EE5">
        <w:rPr>
          <w:rFonts w:ascii="Calibri" w:hAnsi="Calibri"/>
        </w:rPr>
        <w:t>mic opportunities, res</w:t>
      </w:r>
      <w:r w:rsidR="00E32684" w:rsidRPr="00473EE5">
        <w:rPr>
          <w:rFonts w:ascii="Calibri" w:hAnsi="Calibri"/>
        </w:rPr>
        <w:t xml:space="preserve">pectively. The CEDAW GR No. 30 </w:t>
      </w:r>
      <w:r w:rsidR="005138CA" w:rsidRPr="00473EE5">
        <w:rPr>
          <w:rFonts w:ascii="Calibri" w:hAnsi="Calibri"/>
        </w:rPr>
        <w:t xml:space="preserve">provides for women and girls to </w:t>
      </w:r>
      <w:r w:rsidR="00E32684" w:rsidRPr="00473EE5">
        <w:rPr>
          <w:rFonts w:ascii="Calibri" w:hAnsi="Calibri"/>
        </w:rPr>
        <w:t>have opportunities</w:t>
      </w:r>
      <w:r w:rsidR="005138CA" w:rsidRPr="00473EE5">
        <w:rPr>
          <w:rFonts w:ascii="Calibri" w:hAnsi="Calibri"/>
        </w:rPr>
        <w:t xml:space="preserve"> </w:t>
      </w:r>
      <w:r w:rsidR="005062A7" w:rsidRPr="00473EE5">
        <w:rPr>
          <w:rFonts w:ascii="Calibri" w:hAnsi="Calibri"/>
        </w:rPr>
        <w:t xml:space="preserve">to </w:t>
      </w:r>
      <w:r w:rsidR="005138CA" w:rsidRPr="00473EE5">
        <w:rPr>
          <w:rFonts w:ascii="Calibri" w:hAnsi="Calibri"/>
        </w:rPr>
        <w:t>economic empowerment.</w:t>
      </w:r>
      <w:r w:rsidR="00A63180" w:rsidRPr="00473EE5">
        <w:rPr>
          <w:rFonts w:ascii="Calibri" w:hAnsi="Calibri"/>
        </w:rPr>
        <w:t xml:space="preserve"> </w:t>
      </w:r>
      <w:r w:rsidR="00F357FA" w:rsidRPr="00473EE5">
        <w:rPr>
          <w:rFonts w:ascii="Calibri" w:hAnsi="Calibri"/>
        </w:rPr>
        <w:t xml:space="preserve">Under the ICESCR, </w:t>
      </w:r>
      <w:r w:rsidR="00A63180" w:rsidRPr="00473EE5">
        <w:rPr>
          <w:rFonts w:ascii="Calibri" w:hAnsi="Calibri"/>
        </w:rPr>
        <w:t>Article</w:t>
      </w:r>
      <w:r w:rsidR="00F357FA" w:rsidRPr="00473EE5">
        <w:rPr>
          <w:rFonts w:ascii="Calibri" w:hAnsi="Calibri"/>
        </w:rPr>
        <w:t xml:space="preserve"> 1 upholds the right to self-determination of all persons, including via their economic and social development, Article 3 guarantees the equal enjoyment of women and men</w:t>
      </w:r>
      <w:r w:rsidR="00DB0F5A" w:rsidRPr="00473EE5">
        <w:rPr>
          <w:rFonts w:ascii="Calibri" w:hAnsi="Calibri"/>
        </w:rPr>
        <w:t xml:space="preserve"> of all </w:t>
      </w:r>
      <w:r w:rsidR="00DC1303" w:rsidRPr="00473EE5">
        <w:rPr>
          <w:rFonts w:ascii="Calibri" w:hAnsi="Calibri"/>
        </w:rPr>
        <w:t>economic, social and cultural rights</w:t>
      </w:r>
      <w:r w:rsidR="00DB0F5A" w:rsidRPr="00473EE5">
        <w:rPr>
          <w:rFonts w:ascii="Calibri" w:hAnsi="Calibri"/>
        </w:rPr>
        <w:t xml:space="preserve">, and Article 6 ensures </w:t>
      </w:r>
      <w:r w:rsidR="0080458B" w:rsidRPr="00473EE5">
        <w:rPr>
          <w:rFonts w:ascii="Calibri" w:hAnsi="Calibri"/>
        </w:rPr>
        <w:t xml:space="preserve">that states parties recognise the right to work and outlines the steps to fully realize </w:t>
      </w:r>
      <w:r w:rsidR="00DC1303" w:rsidRPr="00473EE5">
        <w:rPr>
          <w:rFonts w:ascii="Calibri" w:hAnsi="Calibri"/>
        </w:rPr>
        <w:t>equal enjoyment between the sexes</w:t>
      </w:r>
      <w:r w:rsidR="0080458B" w:rsidRPr="00473EE5">
        <w:rPr>
          <w:rFonts w:ascii="Calibri" w:hAnsi="Calibri"/>
        </w:rPr>
        <w:t>, including via programmes, policies and techniques.</w:t>
      </w:r>
      <w:r w:rsidRPr="00473EE5">
        <w:rPr>
          <w:rStyle w:val="FootnoteReference"/>
          <w:rFonts w:ascii="Calibri" w:hAnsi="Calibri"/>
        </w:rPr>
        <w:t xml:space="preserve"> </w:t>
      </w:r>
      <w:r w:rsidRPr="00473EE5">
        <w:rPr>
          <w:rStyle w:val="FootnoteReference"/>
          <w:rFonts w:ascii="Calibri" w:hAnsi="Calibri"/>
        </w:rPr>
        <w:footnoteReference w:id="55"/>
      </w:r>
      <w:r w:rsidRPr="00473EE5">
        <w:rPr>
          <w:rFonts w:ascii="Calibri" w:hAnsi="Calibri"/>
        </w:rPr>
        <w:t xml:space="preserve"> </w:t>
      </w:r>
      <w:r w:rsidR="0080458B" w:rsidRPr="00473EE5">
        <w:rPr>
          <w:rFonts w:ascii="Calibri" w:hAnsi="Calibri"/>
        </w:rPr>
        <w:t xml:space="preserve"> </w:t>
      </w:r>
    </w:p>
    <w:p w14:paraId="29CC5CEC" w14:textId="77777777" w:rsidR="00A63180" w:rsidRPr="00473EE5" w:rsidRDefault="00A63180" w:rsidP="003F32C3">
      <w:pPr>
        <w:jc w:val="both"/>
        <w:rPr>
          <w:rFonts w:ascii="Calibri" w:hAnsi="Calibri"/>
        </w:rPr>
      </w:pPr>
    </w:p>
    <w:p w14:paraId="0DD15A8B" w14:textId="6AE2606A" w:rsidR="003F32C3" w:rsidRPr="00473EE5" w:rsidRDefault="00116007" w:rsidP="001A6D91">
      <w:pPr>
        <w:spacing w:line="360" w:lineRule="auto"/>
        <w:jc w:val="both"/>
        <w:rPr>
          <w:rFonts w:ascii="Calibri" w:hAnsi="Calibri"/>
        </w:rPr>
      </w:pPr>
      <w:r w:rsidRPr="00473EE5">
        <w:rPr>
          <w:rFonts w:ascii="Calibri" w:hAnsi="Calibri"/>
        </w:rPr>
        <w:t>All the resolutions that follow SCR 1325</w:t>
      </w:r>
      <w:r w:rsidR="00A63180" w:rsidRPr="00473EE5">
        <w:rPr>
          <w:rFonts w:ascii="Calibri" w:hAnsi="Calibri"/>
        </w:rPr>
        <w:t xml:space="preserve"> </w:t>
      </w:r>
      <w:r w:rsidR="005138CA" w:rsidRPr="00473EE5">
        <w:rPr>
          <w:rFonts w:ascii="Calibri" w:hAnsi="Calibri"/>
        </w:rPr>
        <w:t>uphold the rights of women and girls in relation to</w:t>
      </w:r>
      <w:r w:rsidR="005138CA" w:rsidRPr="009F5984">
        <w:rPr>
          <w:rFonts w:ascii="Calibri" w:hAnsi="Calibri"/>
          <w:color w:val="4F81BD" w:themeColor="accent1"/>
        </w:rPr>
        <w:t xml:space="preserve"> </w:t>
      </w:r>
      <w:r w:rsidR="005138CA" w:rsidRPr="009F5984">
        <w:rPr>
          <w:rFonts w:ascii="Calibri" w:hAnsi="Calibri"/>
          <w:b/>
          <w:color w:val="4F81BD" w:themeColor="accent1"/>
        </w:rPr>
        <w:t>health</w:t>
      </w:r>
      <w:r w:rsidR="00E32684" w:rsidRPr="00473EE5">
        <w:rPr>
          <w:rFonts w:ascii="Calibri" w:hAnsi="Calibri"/>
        </w:rPr>
        <w:t>, with Resolution 2106 taking a particular focus on HIV/AIDS</w:t>
      </w:r>
      <w:r w:rsidR="00C662B1" w:rsidRPr="00473EE5">
        <w:rPr>
          <w:rFonts w:ascii="Calibri" w:hAnsi="Calibri"/>
        </w:rPr>
        <w:t>. The resolutions</w:t>
      </w:r>
      <w:r w:rsidR="005138CA" w:rsidRPr="00473EE5">
        <w:rPr>
          <w:rFonts w:ascii="Calibri" w:hAnsi="Calibri"/>
        </w:rPr>
        <w:t xml:space="preserve"> reflect</w:t>
      </w:r>
      <w:r w:rsidR="00A63180" w:rsidRPr="00473EE5">
        <w:rPr>
          <w:rFonts w:ascii="Calibri" w:hAnsi="Calibri"/>
        </w:rPr>
        <w:t xml:space="preserve"> </w:t>
      </w:r>
      <w:r w:rsidR="00BE6DED" w:rsidRPr="00473EE5">
        <w:rPr>
          <w:rFonts w:ascii="Calibri" w:hAnsi="Calibri"/>
        </w:rPr>
        <w:t>Article 12 of CEDAW</w:t>
      </w:r>
      <w:r w:rsidR="005138CA" w:rsidRPr="00473EE5">
        <w:rPr>
          <w:rFonts w:ascii="Calibri" w:hAnsi="Calibri"/>
        </w:rPr>
        <w:t>, which addresses</w:t>
      </w:r>
      <w:r w:rsidR="00BE6DED" w:rsidRPr="00473EE5">
        <w:rPr>
          <w:rFonts w:ascii="Calibri" w:hAnsi="Calibri"/>
        </w:rPr>
        <w:t xml:space="preserve"> women’s right </w:t>
      </w:r>
      <w:r w:rsidR="00DD0EF5" w:rsidRPr="00473EE5">
        <w:rPr>
          <w:rFonts w:ascii="Calibri" w:hAnsi="Calibri"/>
        </w:rPr>
        <w:t xml:space="preserve">to </w:t>
      </w:r>
      <w:r w:rsidR="00BE6DED" w:rsidRPr="00473EE5">
        <w:rPr>
          <w:rFonts w:ascii="Calibri" w:hAnsi="Calibri"/>
        </w:rPr>
        <w:t xml:space="preserve">health care services including family planning, which </w:t>
      </w:r>
      <w:r w:rsidR="005138CA" w:rsidRPr="00473EE5">
        <w:rPr>
          <w:rFonts w:ascii="Calibri" w:hAnsi="Calibri"/>
        </w:rPr>
        <w:t>as well as the</w:t>
      </w:r>
      <w:r w:rsidR="00DD0EF5" w:rsidRPr="00473EE5">
        <w:rPr>
          <w:rFonts w:ascii="Calibri" w:hAnsi="Calibri"/>
        </w:rPr>
        <w:t xml:space="preserve"> CEDAW G</w:t>
      </w:r>
      <w:r w:rsidR="005138CA" w:rsidRPr="00473EE5">
        <w:rPr>
          <w:rFonts w:ascii="Calibri" w:hAnsi="Calibri"/>
        </w:rPr>
        <w:t xml:space="preserve">Rs No 14 on female circumcision, </w:t>
      </w:r>
      <w:r w:rsidR="00DD0EF5" w:rsidRPr="00473EE5">
        <w:rPr>
          <w:rFonts w:ascii="Calibri" w:hAnsi="Calibri"/>
        </w:rPr>
        <w:t>GRs No. 15 and 24 (mentioned above in relation to SCR 1325).</w:t>
      </w:r>
      <w:r w:rsidR="005138CA" w:rsidRPr="00473EE5">
        <w:rPr>
          <w:rFonts w:ascii="Calibri" w:hAnsi="Calibri"/>
        </w:rPr>
        <w:t xml:space="preserve"> CEDAW GR No. 30 </w:t>
      </w:r>
      <w:r w:rsidR="0080458B" w:rsidRPr="00473EE5">
        <w:rPr>
          <w:rFonts w:ascii="Calibri" w:hAnsi="Calibri"/>
        </w:rPr>
        <w:t xml:space="preserve">contains </w:t>
      </w:r>
      <w:r w:rsidR="00DC1303" w:rsidRPr="00473EE5">
        <w:rPr>
          <w:rFonts w:ascii="Calibri" w:hAnsi="Calibri"/>
        </w:rPr>
        <w:t>robust</w:t>
      </w:r>
      <w:r w:rsidR="0080458B" w:rsidRPr="00473EE5">
        <w:rPr>
          <w:rFonts w:ascii="Calibri" w:hAnsi="Calibri"/>
        </w:rPr>
        <w:t xml:space="preserve"> recommendations on women and girls’ health in relation to conflict</w:t>
      </w:r>
      <w:r w:rsidR="00C662B1" w:rsidRPr="00473EE5">
        <w:rPr>
          <w:rFonts w:ascii="Calibri" w:hAnsi="Calibri"/>
        </w:rPr>
        <w:t xml:space="preserve"> prevention, conflict, post-conflict and transitional justice situations</w:t>
      </w:r>
      <w:r w:rsidR="0080458B" w:rsidRPr="00473EE5">
        <w:rPr>
          <w:rFonts w:ascii="Calibri" w:hAnsi="Calibri"/>
        </w:rPr>
        <w:t>. The CRC</w:t>
      </w:r>
      <w:r w:rsidR="007143F1" w:rsidRPr="00473EE5">
        <w:rPr>
          <w:rFonts w:ascii="Calibri" w:hAnsi="Calibri"/>
        </w:rPr>
        <w:t xml:space="preserve"> and its </w:t>
      </w:r>
      <w:r w:rsidR="00C662B1" w:rsidRPr="00473EE5">
        <w:rPr>
          <w:rFonts w:ascii="Calibri" w:hAnsi="Calibri"/>
        </w:rPr>
        <w:t>GC</w:t>
      </w:r>
      <w:r w:rsidR="007143F1" w:rsidRPr="00473EE5">
        <w:rPr>
          <w:rFonts w:ascii="Calibri" w:hAnsi="Calibri"/>
        </w:rPr>
        <w:t xml:space="preserve"> No. 4 on adolescent health and development</w:t>
      </w:r>
      <w:r w:rsidR="00C662B1" w:rsidRPr="00473EE5">
        <w:rPr>
          <w:rFonts w:ascii="Calibri" w:hAnsi="Calibri"/>
        </w:rPr>
        <w:t>, which protect</w:t>
      </w:r>
      <w:r w:rsidR="007143F1" w:rsidRPr="00473EE5">
        <w:rPr>
          <w:rFonts w:ascii="Calibri" w:hAnsi="Calibri"/>
        </w:rPr>
        <w:t xml:space="preserve"> the rights of the girl child in relation to conflict</w:t>
      </w:r>
      <w:r w:rsidR="000E6342" w:rsidRPr="00473EE5">
        <w:rPr>
          <w:rFonts w:ascii="Calibri" w:hAnsi="Calibri"/>
        </w:rPr>
        <w:t>, are also reflected in the resolutions</w:t>
      </w:r>
      <w:r w:rsidR="007143F1" w:rsidRPr="00473EE5">
        <w:rPr>
          <w:rFonts w:ascii="Calibri" w:hAnsi="Calibri"/>
        </w:rPr>
        <w:t>.</w:t>
      </w:r>
      <w:r w:rsidR="00A63180" w:rsidRPr="00473EE5">
        <w:rPr>
          <w:rStyle w:val="FootnoteReference"/>
          <w:rFonts w:ascii="Calibri" w:hAnsi="Calibri"/>
        </w:rPr>
        <w:footnoteReference w:id="56"/>
      </w:r>
      <w:r w:rsidR="00BE6DED" w:rsidRPr="00473EE5">
        <w:rPr>
          <w:rFonts w:ascii="Calibri" w:hAnsi="Calibri"/>
        </w:rPr>
        <w:t xml:space="preserve"> </w:t>
      </w:r>
    </w:p>
    <w:p w14:paraId="338B2E5C" w14:textId="77777777" w:rsidR="003F32C3" w:rsidRDefault="003F32C3" w:rsidP="00F3615E">
      <w:pPr>
        <w:jc w:val="both"/>
        <w:rPr>
          <w:rFonts w:ascii="Calibri" w:hAnsi="Calibri"/>
        </w:rPr>
      </w:pPr>
    </w:p>
    <w:p w14:paraId="45B01A70" w14:textId="36DBD507" w:rsidR="00F3615E" w:rsidRPr="004C0678" w:rsidRDefault="007A7F07" w:rsidP="007A7F07">
      <w:pPr>
        <w:pStyle w:val="Title"/>
        <w:jc w:val="center"/>
        <w:rPr>
          <w:sz w:val="32"/>
          <w:szCs w:val="32"/>
        </w:rPr>
      </w:pPr>
      <w:r w:rsidRPr="004C0678">
        <w:rPr>
          <w:sz w:val="32"/>
          <w:szCs w:val="32"/>
        </w:rPr>
        <w:lastRenderedPageBreak/>
        <w:t xml:space="preserve">HOW THE RESOLUTIONS ON </w:t>
      </w:r>
      <w:r>
        <w:rPr>
          <w:sz w:val="32"/>
          <w:szCs w:val="32"/>
        </w:rPr>
        <w:t>WOMEN, PEACE AND SECURITY</w:t>
      </w:r>
      <w:r w:rsidRPr="004C0678">
        <w:rPr>
          <w:sz w:val="32"/>
          <w:szCs w:val="32"/>
        </w:rPr>
        <w:t xml:space="preserve"> </w:t>
      </w:r>
      <w:r w:rsidR="005E6446" w:rsidRPr="004C0678">
        <w:rPr>
          <w:sz w:val="32"/>
          <w:szCs w:val="32"/>
        </w:rPr>
        <w:t>REFLECT</w:t>
      </w:r>
      <w:r w:rsidR="002E0E22" w:rsidRPr="004C0678">
        <w:rPr>
          <w:sz w:val="32"/>
          <w:szCs w:val="32"/>
        </w:rPr>
        <w:t xml:space="preserve"> </w:t>
      </w:r>
      <w:r w:rsidR="00F3615E" w:rsidRPr="004C0678">
        <w:rPr>
          <w:sz w:val="32"/>
          <w:szCs w:val="32"/>
        </w:rPr>
        <w:t>INTERNATIONAL HUMANITARIAN LAW</w:t>
      </w:r>
    </w:p>
    <w:p w14:paraId="17E006B1" w14:textId="77777777" w:rsidR="00F3615E" w:rsidRDefault="00F3615E" w:rsidP="00F3615E">
      <w:pPr>
        <w:jc w:val="both"/>
        <w:rPr>
          <w:rFonts w:ascii="Calibri" w:hAnsi="Calibri"/>
        </w:rPr>
      </w:pPr>
    </w:p>
    <w:p w14:paraId="6EE8B4C0" w14:textId="316DDFC8" w:rsidR="00DE49AA" w:rsidRPr="00764569" w:rsidRDefault="005F6BBD" w:rsidP="001A6D91">
      <w:pPr>
        <w:spacing w:line="360" w:lineRule="auto"/>
        <w:jc w:val="both"/>
        <w:rPr>
          <w:rFonts w:ascii="Calibri" w:hAnsi="Calibri"/>
        </w:rPr>
      </w:pPr>
      <w:r w:rsidRPr="00764569">
        <w:rPr>
          <w:rFonts w:ascii="Calibri" w:hAnsi="Calibri"/>
        </w:rPr>
        <w:t>The resolutions</w:t>
      </w:r>
      <w:r w:rsidR="00D046F8" w:rsidRPr="00764569">
        <w:rPr>
          <w:rFonts w:ascii="Calibri" w:hAnsi="Calibri"/>
        </w:rPr>
        <w:t xml:space="preserve"> extend the protections in SCR 1325 by</w:t>
      </w:r>
      <w:r w:rsidRPr="00764569">
        <w:rPr>
          <w:rFonts w:ascii="Calibri" w:hAnsi="Calibri"/>
        </w:rPr>
        <w:t xml:space="preserve"> reflect</w:t>
      </w:r>
      <w:r w:rsidR="00957206" w:rsidRPr="00764569">
        <w:rPr>
          <w:rFonts w:ascii="Calibri" w:hAnsi="Calibri"/>
        </w:rPr>
        <w:t>ing</w:t>
      </w:r>
      <w:r w:rsidRPr="00764569">
        <w:rPr>
          <w:rFonts w:ascii="Calibri" w:hAnsi="Calibri"/>
        </w:rPr>
        <w:t xml:space="preserve"> core </w:t>
      </w:r>
      <w:r w:rsidR="00C662B1" w:rsidRPr="00764569">
        <w:rPr>
          <w:rFonts w:ascii="Calibri" w:hAnsi="Calibri"/>
        </w:rPr>
        <w:t>principles of IHL, especially</w:t>
      </w:r>
      <w:r w:rsidR="00D574D2" w:rsidRPr="00764569">
        <w:rPr>
          <w:rFonts w:ascii="Calibri" w:hAnsi="Calibri"/>
        </w:rPr>
        <w:t xml:space="preserve"> the </w:t>
      </w:r>
      <w:r w:rsidR="00D574D2" w:rsidRPr="00764569">
        <w:rPr>
          <w:rFonts w:ascii="Calibri" w:hAnsi="Calibri"/>
          <w:b/>
          <w:color w:val="4F81BD" w:themeColor="accent1"/>
        </w:rPr>
        <w:t>protection of civilians</w:t>
      </w:r>
      <w:r w:rsidR="00D574D2" w:rsidRPr="00764569">
        <w:rPr>
          <w:rFonts w:ascii="Calibri" w:hAnsi="Calibri"/>
        </w:rPr>
        <w:t>, which is contained in the Fourth Geneva Convention (to which almost all states are parties) and is supported by customary IHL and state practice.</w:t>
      </w:r>
      <w:r w:rsidR="00DE49AA" w:rsidRPr="00764569">
        <w:rPr>
          <w:rStyle w:val="FootnoteReference"/>
          <w:rFonts w:ascii="Calibri" w:hAnsi="Calibri"/>
        </w:rPr>
        <w:footnoteReference w:id="57"/>
      </w:r>
      <w:r w:rsidRPr="00764569">
        <w:rPr>
          <w:rFonts w:ascii="Calibri" w:hAnsi="Calibri"/>
        </w:rPr>
        <w:t xml:space="preserve"> </w:t>
      </w:r>
      <w:r w:rsidR="00D574D2" w:rsidRPr="00764569">
        <w:rPr>
          <w:rFonts w:ascii="Calibri" w:hAnsi="Calibri"/>
        </w:rPr>
        <w:t xml:space="preserve">The resolutions affirm the </w:t>
      </w:r>
      <w:r w:rsidRPr="00764569">
        <w:rPr>
          <w:rFonts w:ascii="Calibri" w:hAnsi="Calibri"/>
        </w:rPr>
        <w:t>principle of distinction b</w:t>
      </w:r>
      <w:r w:rsidR="00975ACE" w:rsidRPr="00764569">
        <w:rPr>
          <w:rFonts w:ascii="Calibri" w:hAnsi="Calibri"/>
        </w:rPr>
        <w:t>e</w:t>
      </w:r>
      <w:r w:rsidR="0098062C" w:rsidRPr="00764569">
        <w:rPr>
          <w:rFonts w:ascii="Calibri" w:hAnsi="Calibri"/>
        </w:rPr>
        <w:t>tween combatants and civilians</w:t>
      </w:r>
      <w:r w:rsidR="00DE49AA" w:rsidRPr="00764569">
        <w:rPr>
          <w:rFonts w:ascii="Calibri" w:hAnsi="Calibri"/>
        </w:rPr>
        <w:t xml:space="preserve">, </w:t>
      </w:r>
      <w:r w:rsidR="00841987" w:rsidRPr="00764569">
        <w:rPr>
          <w:rFonts w:ascii="Calibri" w:hAnsi="Calibri"/>
        </w:rPr>
        <w:t xml:space="preserve">and </w:t>
      </w:r>
      <w:r w:rsidR="007C5C8E" w:rsidRPr="00764569">
        <w:rPr>
          <w:rFonts w:ascii="Calibri" w:hAnsi="Calibri"/>
        </w:rPr>
        <w:t>build on</w:t>
      </w:r>
      <w:r w:rsidR="00957206" w:rsidRPr="00764569">
        <w:rPr>
          <w:rFonts w:ascii="Calibri" w:hAnsi="Calibri"/>
        </w:rPr>
        <w:t xml:space="preserve"> the provisions in</w:t>
      </w:r>
      <w:r w:rsidR="007C5C8E" w:rsidRPr="00764569">
        <w:rPr>
          <w:rFonts w:ascii="Calibri" w:hAnsi="Calibri"/>
        </w:rPr>
        <w:t xml:space="preserve"> SCR 1325 by reflecting IHL principles regarding </w:t>
      </w:r>
      <w:r w:rsidR="00DE49AA" w:rsidRPr="00764569">
        <w:rPr>
          <w:rFonts w:ascii="Calibri" w:hAnsi="Calibri"/>
          <w:b/>
          <w:color w:val="4F81BD" w:themeColor="accent1"/>
        </w:rPr>
        <w:t>rape and sexual violence</w:t>
      </w:r>
      <w:r w:rsidR="00DE49AA" w:rsidRPr="00764569">
        <w:rPr>
          <w:rFonts w:ascii="Calibri" w:hAnsi="Calibri"/>
        </w:rPr>
        <w:t xml:space="preserve">, the treatment of </w:t>
      </w:r>
      <w:r w:rsidR="00DE49AA" w:rsidRPr="00764569">
        <w:rPr>
          <w:rFonts w:ascii="Calibri" w:hAnsi="Calibri"/>
          <w:b/>
          <w:color w:val="4F81BD" w:themeColor="accent1"/>
        </w:rPr>
        <w:t>refugees, displaced persons and abductees</w:t>
      </w:r>
      <w:r w:rsidR="00DE49AA" w:rsidRPr="00764569">
        <w:rPr>
          <w:rFonts w:ascii="Calibri" w:hAnsi="Calibri"/>
          <w:color w:val="4F81BD" w:themeColor="accent1"/>
        </w:rPr>
        <w:t>,</w:t>
      </w:r>
      <w:r w:rsidR="00DE49AA" w:rsidRPr="000852AC">
        <w:rPr>
          <w:rFonts w:ascii="Calibri" w:hAnsi="Calibri"/>
          <w:b/>
          <w:color w:val="4F81BD" w:themeColor="accent1"/>
        </w:rPr>
        <w:t xml:space="preserve"> and </w:t>
      </w:r>
      <w:r w:rsidR="00C662B1" w:rsidRPr="00764569">
        <w:rPr>
          <w:rFonts w:ascii="Calibri" w:hAnsi="Calibri"/>
          <w:b/>
          <w:color w:val="4F81BD" w:themeColor="accent1"/>
        </w:rPr>
        <w:t xml:space="preserve">individual and command </w:t>
      </w:r>
      <w:r w:rsidR="00764569">
        <w:rPr>
          <w:rFonts w:ascii="Calibri" w:hAnsi="Calibri"/>
          <w:b/>
          <w:color w:val="4F81BD" w:themeColor="accent1"/>
        </w:rPr>
        <w:t>r</w:t>
      </w:r>
      <w:r w:rsidR="00DE49AA" w:rsidRPr="00764569">
        <w:rPr>
          <w:rFonts w:ascii="Calibri" w:hAnsi="Calibri"/>
          <w:b/>
          <w:color w:val="4F81BD" w:themeColor="accent1"/>
        </w:rPr>
        <w:t>esponsibility</w:t>
      </w:r>
      <w:r w:rsidR="0098062C" w:rsidRPr="00764569">
        <w:rPr>
          <w:rFonts w:ascii="Calibri" w:hAnsi="Calibri"/>
          <w:color w:val="4F81BD" w:themeColor="accent1"/>
        </w:rPr>
        <w:t>.</w:t>
      </w:r>
      <w:r w:rsidR="00083D64" w:rsidRPr="00764569">
        <w:rPr>
          <w:rStyle w:val="FootnoteReference"/>
          <w:rFonts w:ascii="Calibri" w:hAnsi="Calibri"/>
          <w:color w:val="4F81BD" w:themeColor="accent1"/>
        </w:rPr>
        <w:footnoteReference w:id="58"/>
      </w:r>
      <w:r w:rsidR="0098062C" w:rsidRPr="00764569">
        <w:rPr>
          <w:rFonts w:ascii="Calibri" w:hAnsi="Calibri"/>
        </w:rPr>
        <w:t xml:space="preserve"> </w:t>
      </w:r>
    </w:p>
    <w:p w14:paraId="5A4C465A" w14:textId="77777777" w:rsidR="00DE49AA" w:rsidRPr="00764569" w:rsidRDefault="00DE49AA" w:rsidP="00F65041">
      <w:pPr>
        <w:jc w:val="both"/>
        <w:rPr>
          <w:rFonts w:ascii="Calibri" w:hAnsi="Calibri"/>
        </w:rPr>
      </w:pPr>
    </w:p>
    <w:p w14:paraId="096C9858" w14:textId="3C5923EF" w:rsidR="00060DE0" w:rsidRPr="00764569" w:rsidRDefault="00060DE0" w:rsidP="001A6D91">
      <w:pPr>
        <w:spacing w:line="360" w:lineRule="auto"/>
        <w:jc w:val="both"/>
        <w:rPr>
          <w:rFonts w:ascii="Calibri" w:hAnsi="Calibri"/>
        </w:rPr>
      </w:pPr>
      <w:r w:rsidRPr="00764569">
        <w:rPr>
          <w:rFonts w:ascii="Calibri" w:hAnsi="Calibri"/>
        </w:rPr>
        <w:t>SCR 1820 contains stronger language on</w:t>
      </w:r>
      <w:r w:rsidR="00263198" w:rsidRPr="00764569">
        <w:rPr>
          <w:rFonts w:ascii="Calibri" w:hAnsi="Calibri"/>
        </w:rPr>
        <w:t xml:space="preserve"> </w:t>
      </w:r>
      <w:r w:rsidRPr="00764569">
        <w:rPr>
          <w:rFonts w:ascii="Calibri" w:hAnsi="Calibri"/>
          <w:b/>
          <w:color w:val="4F81BD" w:themeColor="accent1"/>
        </w:rPr>
        <w:t>rape and sexual violence</w:t>
      </w:r>
      <w:r w:rsidRPr="00764569">
        <w:rPr>
          <w:rFonts w:ascii="Calibri" w:hAnsi="Calibri"/>
        </w:rPr>
        <w:t xml:space="preserve"> than SCR 1325</w:t>
      </w:r>
      <w:r w:rsidR="00263198" w:rsidRPr="00764569">
        <w:rPr>
          <w:rFonts w:ascii="Calibri" w:hAnsi="Calibri"/>
        </w:rPr>
        <w:t xml:space="preserve">, </w:t>
      </w:r>
      <w:r w:rsidR="006E63EF" w:rsidRPr="00764569">
        <w:rPr>
          <w:rFonts w:ascii="Calibri" w:hAnsi="Calibri"/>
        </w:rPr>
        <w:t xml:space="preserve">more fully </w:t>
      </w:r>
      <w:r w:rsidR="00DE49AA" w:rsidRPr="00764569">
        <w:rPr>
          <w:rFonts w:ascii="Calibri" w:hAnsi="Calibri"/>
        </w:rPr>
        <w:t>reflecting</w:t>
      </w:r>
      <w:r w:rsidR="00263198" w:rsidRPr="00764569">
        <w:rPr>
          <w:rFonts w:ascii="Calibri" w:hAnsi="Calibri"/>
        </w:rPr>
        <w:t xml:space="preserve"> customary IHL </w:t>
      </w:r>
      <w:r w:rsidR="005F6832" w:rsidRPr="00764569">
        <w:rPr>
          <w:rFonts w:ascii="Calibri" w:hAnsi="Calibri"/>
        </w:rPr>
        <w:t>rules</w:t>
      </w:r>
      <w:r w:rsidR="00263198" w:rsidRPr="00764569">
        <w:rPr>
          <w:rFonts w:ascii="Calibri" w:hAnsi="Calibri"/>
        </w:rPr>
        <w:t xml:space="preserve"> </w:t>
      </w:r>
      <w:r w:rsidR="000E1FCD" w:rsidRPr="00764569">
        <w:rPr>
          <w:rFonts w:ascii="Calibri" w:hAnsi="Calibri"/>
        </w:rPr>
        <w:t>on</w:t>
      </w:r>
      <w:r w:rsidR="00263198" w:rsidRPr="00764569">
        <w:rPr>
          <w:rFonts w:ascii="Calibri" w:hAnsi="Calibri"/>
        </w:rPr>
        <w:t xml:space="preserve"> </w:t>
      </w:r>
      <w:r w:rsidR="00957206" w:rsidRPr="00764569">
        <w:rPr>
          <w:rFonts w:ascii="Calibri" w:hAnsi="Calibri"/>
        </w:rPr>
        <w:t>protecting</w:t>
      </w:r>
      <w:r w:rsidR="000E1FCD" w:rsidRPr="00764569">
        <w:rPr>
          <w:rFonts w:ascii="Calibri" w:hAnsi="Calibri"/>
        </w:rPr>
        <w:t xml:space="preserve"> </w:t>
      </w:r>
      <w:r w:rsidR="00263198" w:rsidRPr="00764569">
        <w:rPr>
          <w:rFonts w:ascii="Calibri" w:hAnsi="Calibri"/>
        </w:rPr>
        <w:t>women and children</w:t>
      </w:r>
      <w:r w:rsidR="000E1FCD" w:rsidRPr="00764569">
        <w:rPr>
          <w:rFonts w:ascii="Calibri" w:hAnsi="Calibri"/>
        </w:rPr>
        <w:t xml:space="preserve"> civilians</w:t>
      </w:r>
      <w:r w:rsidRPr="00764569">
        <w:rPr>
          <w:rFonts w:ascii="Calibri" w:hAnsi="Calibri"/>
        </w:rPr>
        <w:t>.</w:t>
      </w:r>
      <w:r w:rsidR="00263198" w:rsidRPr="00764569">
        <w:rPr>
          <w:rStyle w:val="FootnoteReference"/>
          <w:rFonts w:ascii="Calibri" w:hAnsi="Calibri"/>
        </w:rPr>
        <w:footnoteReference w:id="59"/>
      </w:r>
      <w:r w:rsidRPr="00764569">
        <w:rPr>
          <w:rFonts w:ascii="Calibri" w:hAnsi="Calibri"/>
        </w:rPr>
        <w:t xml:space="preserve"> </w:t>
      </w:r>
      <w:r w:rsidR="00DE49AA" w:rsidRPr="00764569">
        <w:rPr>
          <w:rFonts w:ascii="Calibri" w:hAnsi="Calibri"/>
        </w:rPr>
        <w:t xml:space="preserve">The Resolution </w:t>
      </w:r>
      <w:r w:rsidRPr="00764569">
        <w:rPr>
          <w:rFonts w:ascii="Calibri" w:hAnsi="Calibri"/>
        </w:rPr>
        <w:t xml:space="preserve">reaffirms </w:t>
      </w:r>
      <w:r w:rsidR="00263198" w:rsidRPr="00764569">
        <w:rPr>
          <w:rFonts w:ascii="Calibri" w:hAnsi="Calibri"/>
        </w:rPr>
        <w:t>the Council’s</w:t>
      </w:r>
      <w:r w:rsidRPr="00764569">
        <w:rPr>
          <w:rFonts w:ascii="Calibri" w:hAnsi="Calibri"/>
        </w:rPr>
        <w:t xml:space="preserve"> condemnation</w:t>
      </w:r>
      <w:r w:rsidR="00263198" w:rsidRPr="00764569">
        <w:rPr>
          <w:rFonts w:ascii="Calibri" w:hAnsi="Calibri"/>
        </w:rPr>
        <w:t xml:space="preserve"> of rape and sexual violence and its resolve to address SGBV</w:t>
      </w:r>
      <w:r w:rsidRPr="00764569">
        <w:rPr>
          <w:rFonts w:ascii="Calibri" w:hAnsi="Calibri"/>
        </w:rPr>
        <w:t xml:space="preserve"> by ending impunity and protecting civilians during and after arm</w:t>
      </w:r>
      <w:r w:rsidR="00DE49AA" w:rsidRPr="00764569">
        <w:rPr>
          <w:rFonts w:ascii="Calibri" w:hAnsi="Calibri"/>
        </w:rPr>
        <w:t xml:space="preserve">ed conflict in accordance with IHL and international </w:t>
      </w:r>
      <w:r w:rsidRPr="00764569">
        <w:rPr>
          <w:rFonts w:ascii="Calibri" w:hAnsi="Calibri"/>
        </w:rPr>
        <w:t xml:space="preserve">human rights law. </w:t>
      </w:r>
      <w:r w:rsidR="00263198" w:rsidRPr="00764569">
        <w:rPr>
          <w:rFonts w:ascii="Calibri" w:hAnsi="Calibri"/>
        </w:rPr>
        <w:t>In SCR 1820</w:t>
      </w:r>
      <w:r w:rsidR="004F255A" w:rsidRPr="00764569">
        <w:rPr>
          <w:rFonts w:ascii="Calibri" w:hAnsi="Calibri"/>
        </w:rPr>
        <w:t>,</w:t>
      </w:r>
      <w:r w:rsidR="00263198" w:rsidRPr="00764569">
        <w:rPr>
          <w:rFonts w:ascii="Calibri" w:hAnsi="Calibri"/>
        </w:rPr>
        <w:t xml:space="preserve"> the Council</w:t>
      </w:r>
      <w:r w:rsidR="00622072" w:rsidRPr="00764569">
        <w:rPr>
          <w:rFonts w:ascii="Calibri" w:hAnsi="Calibri"/>
        </w:rPr>
        <w:t xml:space="preserve"> </w:t>
      </w:r>
      <w:r w:rsidR="00F2732C" w:rsidRPr="00764569">
        <w:rPr>
          <w:rFonts w:ascii="Calibri" w:hAnsi="Calibri"/>
        </w:rPr>
        <w:t>recognises the connection between protecting civilians from sexual violence and maintaining international peace and security</w:t>
      </w:r>
      <w:r w:rsidR="00263198" w:rsidRPr="00764569">
        <w:rPr>
          <w:rFonts w:ascii="Calibri" w:hAnsi="Calibri"/>
        </w:rPr>
        <w:t xml:space="preserve">, </w:t>
      </w:r>
      <w:r w:rsidR="00F2732C" w:rsidRPr="00764569">
        <w:rPr>
          <w:rFonts w:ascii="Calibri" w:hAnsi="Calibri"/>
        </w:rPr>
        <w:t xml:space="preserve">expresses its willingness to address widespread </w:t>
      </w:r>
      <w:r w:rsidR="00263198" w:rsidRPr="00764569">
        <w:rPr>
          <w:rFonts w:ascii="Calibri" w:hAnsi="Calibri"/>
        </w:rPr>
        <w:t xml:space="preserve">and systematic sexual violence and </w:t>
      </w:r>
      <w:r w:rsidR="00622072" w:rsidRPr="00764569">
        <w:rPr>
          <w:rFonts w:ascii="Calibri" w:hAnsi="Calibri"/>
        </w:rPr>
        <w:t>demands that all parties immediately and completely case all acts of sexual violence against civilians</w:t>
      </w:r>
      <w:r w:rsidR="00263198" w:rsidRPr="00764569">
        <w:rPr>
          <w:rFonts w:ascii="Calibri" w:hAnsi="Calibri"/>
        </w:rPr>
        <w:t>.</w:t>
      </w:r>
      <w:r w:rsidR="004F255A" w:rsidRPr="00764569">
        <w:rPr>
          <w:rFonts w:ascii="Calibri" w:hAnsi="Calibri"/>
        </w:rPr>
        <w:t xml:space="preserve"> The council</w:t>
      </w:r>
      <w:r w:rsidR="006B42F0" w:rsidRPr="00764569">
        <w:rPr>
          <w:rFonts w:ascii="Calibri" w:hAnsi="Calibri"/>
        </w:rPr>
        <w:t xml:space="preserve"> asks the Secretary-General to </w:t>
      </w:r>
      <w:r w:rsidR="004F255A" w:rsidRPr="00764569">
        <w:rPr>
          <w:rFonts w:ascii="Calibri" w:hAnsi="Calibri"/>
        </w:rPr>
        <w:t>train</w:t>
      </w:r>
      <w:r w:rsidR="006B42F0" w:rsidRPr="00764569">
        <w:rPr>
          <w:rFonts w:ascii="Calibri" w:hAnsi="Calibri"/>
        </w:rPr>
        <w:t xml:space="preserve"> peacekeepi</w:t>
      </w:r>
      <w:r w:rsidR="004F255A" w:rsidRPr="00764569">
        <w:rPr>
          <w:rFonts w:ascii="Calibri" w:hAnsi="Calibri"/>
        </w:rPr>
        <w:t>ng and humanitarian personnel on how to</w:t>
      </w:r>
      <w:r w:rsidR="006B42F0" w:rsidRPr="00764569">
        <w:rPr>
          <w:rFonts w:ascii="Calibri" w:hAnsi="Calibri"/>
        </w:rPr>
        <w:t xml:space="preserve"> better </w:t>
      </w:r>
      <w:r w:rsidR="00A33A47" w:rsidRPr="00764569">
        <w:rPr>
          <w:rFonts w:ascii="Calibri" w:hAnsi="Calibri"/>
        </w:rPr>
        <w:t xml:space="preserve">prevent, recognize and </w:t>
      </w:r>
      <w:r w:rsidR="006B42F0" w:rsidRPr="00764569">
        <w:rPr>
          <w:rFonts w:ascii="Calibri" w:hAnsi="Calibri"/>
        </w:rPr>
        <w:t>respond to</w:t>
      </w:r>
      <w:r w:rsidR="00A33A47" w:rsidRPr="00764569">
        <w:rPr>
          <w:rFonts w:ascii="Calibri" w:hAnsi="Calibri"/>
        </w:rPr>
        <w:t xml:space="preserve"> sexual violence and other rights violations against civilians.</w:t>
      </w:r>
      <w:r w:rsidR="006B42F0" w:rsidRPr="00764569">
        <w:rPr>
          <w:rFonts w:ascii="Calibri" w:hAnsi="Calibri"/>
        </w:rPr>
        <w:t xml:space="preserve"> </w:t>
      </w:r>
      <w:r w:rsidR="004F255A" w:rsidRPr="00764569">
        <w:rPr>
          <w:rFonts w:ascii="Calibri" w:hAnsi="Calibri"/>
        </w:rPr>
        <w:t xml:space="preserve">SCR 1820 </w:t>
      </w:r>
      <w:r w:rsidR="000E1FCD" w:rsidRPr="00764569">
        <w:rPr>
          <w:rFonts w:ascii="Calibri" w:hAnsi="Calibri"/>
        </w:rPr>
        <w:t>encourages troop-</w:t>
      </w:r>
      <w:r w:rsidR="00DC1303" w:rsidRPr="00764569">
        <w:rPr>
          <w:rFonts w:ascii="Calibri" w:hAnsi="Calibri"/>
        </w:rPr>
        <w:t>contributing countries to peacekeeping missions</w:t>
      </w:r>
      <w:r w:rsidR="00C00DDD" w:rsidRPr="00764569">
        <w:rPr>
          <w:rFonts w:ascii="Calibri" w:hAnsi="Calibri"/>
        </w:rPr>
        <w:t xml:space="preserve"> to </w:t>
      </w:r>
      <w:r w:rsidR="000E1FCD" w:rsidRPr="00764569">
        <w:rPr>
          <w:rFonts w:ascii="Calibri" w:hAnsi="Calibri"/>
        </w:rPr>
        <w:t>heighten the</w:t>
      </w:r>
      <w:r w:rsidR="00C00DDD" w:rsidRPr="00764569">
        <w:rPr>
          <w:rFonts w:ascii="Calibri" w:hAnsi="Calibri"/>
        </w:rPr>
        <w:t xml:space="preserve"> awareness and responsiveness </w:t>
      </w:r>
      <w:r w:rsidR="000E1FCD" w:rsidRPr="00764569">
        <w:rPr>
          <w:rFonts w:ascii="Calibri" w:hAnsi="Calibri"/>
        </w:rPr>
        <w:t xml:space="preserve">of personnel </w:t>
      </w:r>
      <w:r w:rsidR="00C00DDD" w:rsidRPr="00764569">
        <w:rPr>
          <w:rFonts w:ascii="Calibri" w:hAnsi="Calibri"/>
        </w:rPr>
        <w:t>towards protecting civilians</w:t>
      </w:r>
      <w:r w:rsidR="000E1FCD" w:rsidRPr="00764569">
        <w:rPr>
          <w:rFonts w:ascii="Calibri" w:hAnsi="Calibri"/>
        </w:rPr>
        <w:t>, especially women and children.</w:t>
      </w:r>
      <w:r w:rsidR="00622072" w:rsidRPr="00764569">
        <w:rPr>
          <w:rStyle w:val="FootnoteReference"/>
          <w:rFonts w:ascii="Calibri" w:hAnsi="Calibri"/>
        </w:rPr>
        <w:footnoteReference w:id="60"/>
      </w:r>
    </w:p>
    <w:p w14:paraId="43CA0C12" w14:textId="77777777" w:rsidR="00060DE0" w:rsidRPr="00764569" w:rsidRDefault="00060DE0" w:rsidP="00F65041">
      <w:pPr>
        <w:jc w:val="both"/>
        <w:rPr>
          <w:rFonts w:ascii="Calibri" w:hAnsi="Calibri"/>
        </w:rPr>
      </w:pPr>
    </w:p>
    <w:p w14:paraId="2B22A1CA" w14:textId="30A5ADC9" w:rsidR="00F65041" w:rsidRPr="00764569" w:rsidRDefault="007C5C8E" w:rsidP="001A6D91">
      <w:pPr>
        <w:spacing w:line="360" w:lineRule="auto"/>
        <w:jc w:val="both"/>
        <w:rPr>
          <w:rFonts w:ascii="Calibri" w:hAnsi="Calibri"/>
        </w:rPr>
      </w:pPr>
      <w:r w:rsidRPr="00764569">
        <w:rPr>
          <w:rFonts w:ascii="Calibri" w:hAnsi="Calibri"/>
        </w:rPr>
        <w:t>Several resolutions</w:t>
      </w:r>
      <w:r w:rsidR="005F6BBD" w:rsidRPr="00764569">
        <w:rPr>
          <w:rFonts w:ascii="Calibri" w:hAnsi="Calibri"/>
        </w:rPr>
        <w:t xml:space="preserve"> </w:t>
      </w:r>
      <w:r w:rsidR="00263198" w:rsidRPr="00764569">
        <w:rPr>
          <w:rFonts w:ascii="Calibri" w:hAnsi="Calibri"/>
        </w:rPr>
        <w:t xml:space="preserve">reflect </w:t>
      </w:r>
      <w:r w:rsidR="00DE49AA" w:rsidRPr="00764569">
        <w:rPr>
          <w:rFonts w:ascii="Calibri" w:hAnsi="Calibri"/>
        </w:rPr>
        <w:t>IHL</w:t>
      </w:r>
      <w:r w:rsidR="00DC1303" w:rsidRPr="00764569">
        <w:rPr>
          <w:rFonts w:ascii="Calibri" w:hAnsi="Calibri"/>
        </w:rPr>
        <w:t xml:space="preserve"> rules</w:t>
      </w:r>
      <w:r w:rsidR="00DE49AA" w:rsidRPr="00764569">
        <w:rPr>
          <w:rFonts w:ascii="Calibri" w:hAnsi="Calibri"/>
        </w:rPr>
        <w:t xml:space="preserve"> </w:t>
      </w:r>
      <w:r w:rsidRPr="00764569">
        <w:rPr>
          <w:rFonts w:ascii="Calibri" w:hAnsi="Calibri"/>
        </w:rPr>
        <w:t xml:space="preserve">regarding civilian protection </w:t>
      </w:r>
      <w:r w:rsidR="00DC1303" w:rsidRPr="00764569">
        <w:rPr>
          <w:rFonts w:ascii="Calibri" w:hAnsi="Calibri"/>
        </w:rPr>
        <w:t>that are not addressed by</w:t>
      </w:r>
      <w:r w:rsidR="006E63EF" w:rsidRPr="00764569">
        <w:rPr>
          <w:rFonts w:ascii="Calibri" w:hAnsi="Calibri"/>
        </w:rPr>
        <w:t xml:space="preserve"> SCR 1325</w:t>
      </w:r>
      <w:r w:rsidR="00EC1078" w:rsidRPr="00764569">
        <w:rPr>
          <w:rFonts w:ascii="Calibri" w:hAnsi="Calibri"/>
        </w:rPr>
        <w:t>, especially</w:t>
      </w:r>
      <w:r w:rsidRPr="00764569">
        <w:rPr>
          <w:rFonts w:ascii="Calibri" w:hAnsi="Calibri"/>
        </w:rPr>
        <w:t xml:space="preserve"> for</w:t>
      </w:r>
      <w:r w:rsidR="00EC1078" w:rsidRPr="00764569">
        <w:rPr>
          <w:rFonts w:ascii="Calibri" w:hAnsi="Calibri"/>
        </w:rPr>
        <w:t xml:space="preserve"> </w:t>
      </w:r>
      <w:r w:rsidRPr="00764569">
        <w:rPr>
          <w:rFonts w:ascii="Calibri" w:hAnsi="Calibri"/>
        </w:rPr>
        <w:t>women and girls</w:t>
      </w:r>
      <w:r w:rsidR="00DE49AA" w:rsidRPr="00764569">
        <w:rPr>
          <w:rFonts w:ascii="Calibri" w:hAnsi="Calibri"/>
        </w:rPr>
        <w:t xml:space="preserve"> </w:t>
      </w:r>
      <w:r w:rsidR="00EC1078" w:rsidRPr="00764569">
        <w:rPr>
          <w:rFonts w:ascii="Calibri" w:hAnsi="Calibri"/>
        </w:rPr>
        <w:t>affected by</w:t>
      </w:r>
      <w:r w:rsidR="00DE49AA" w:rsidRPr="00764569">
        <w:rPr>
          <w:rFonts w:ascii="Calibri" w:hAnsi="Calibri"/>
        </w:rPr>
        <w:t xml:space="preserve"> </w:t>
      </w:r>
      <w:r w:rsidR="00622072" w:rsidRPr="00764569">
        <w:rPr>
          <w:rFonts w:ascii="Calibri" w:hAnsi="Calibri"/>
          <w:b/>
          <w:color w:val="4F81BD" w:themeColor="accent1"/>
        </w:rPr>
        <w:t xml:space="preserve">refugee </w:t>
      </w:r>
      <w:r w:rsidR="00622072" w:rsidRPr="00E750D5">
        <w:rPr>
          <w:rFonts w:ascii="Calibri" w:hAnsi="Calibri"/>
          <w:b/>
          <w:color w:val="548DD4" w:themeColor="text2" w:themeTint="99"/>
        </w:rPr>
        <w:t>camps and settlements and forced abductions</w:t>
      </w:r>
      <w:r w:rsidR="00622072" w:rsidRPr="00764569">
        <w:rPr>
          <w:rFonts w:ascii="Calibri" w:hAnsi="Calibri"/>
        </w:rPr>
        <w:t xml:space="preserve">. </w:t>
      </w:r>
      <w:r w:rsidR="005F6BBD" w:rsidRPr="00764569">
        <w:rPr>
          <w:rFonts w:ascii="Calibri" w:hAnsi="Calibri"/>
        </w:rPr>
        <w:t xml:space="preserve"> </w:t>
      </w:r>
      <w:r w:rsidR="00622072" w:rsidRPr="00764569">
        <w:rPr>
          <w:rFonts w:ascii="Calibri" w:hAnsi="Calibri"/>
        </w:rPr>
        <w:t xml:space="preserve">SCR 1889 </w:t>
      </w:r>
      <w:r w:rsidR="00083D64" w:rsidRPr="00764569">
        <w:rPr>
          <w:rFonts w:ascii="Calibri" w:hAnsi="Calibri"/>
        </w:rPr>
        <w:t>affirm</w:t>
      </w:r>
      <w:r w:rsidR="006E63EF" w:rsidRPr="00764569">
        <w:rPr>
          <w:rFonts w:ascii="Calibri" w:hAnsi="Calibri"/>
        </w:rPr>
        <w:t>s</w:t>
      </w:r>
      <w:r w:rsidR="00083D64" w:rsidRPr="00764569">
        <w:rPr>
          <w:rFonts w:ascii="Calibri" w:hAnsi="Calibri"/>
        </w:rPr>
        <w:t xml:space="preserve"> protection against all forms of violence including rape and sexual violence </w:t>
      </w:r>
      <w:r w:rsidR="006E63EF" w:rsidRPr="00764569">
        <w:rPr>
          <w:rFonts w:ascii="Calibri" w:hAnsi="Calibri"/>
        </w:rPr>
        <w:t>within refugee camps and settlements</w:t>
      </w:r>
      <w:r w:rsidR="00DE49AA" w:rsidRPr="00764569">
        <w:rPr>
          <w:rFonts w:ascii="Calibri" w:hAnsi="Calibri"/>
        </w:rPr>
        <w:t xml:space="preserve"> </w:t>
      </w:r>
      <w:r w:rsidR="006E63EF" w:rsidRPr="00764569">
        <w:rPr>
          <w:rFonts w:ascii="Calibri" w:hAnsi="Calibri"/>
        </w:rPr>
        <w:t>and</w:t>
      </w:r>
      <w:r w:rsidR="00083D64" w:rsidRPr="00764569">
        <w:rPr>
          <w:rFonts w:ascii="Calibri" w:hAnsi="Calibri"/>
        </w:rPr>
        <w:t xml:space="preserve"> ensure</w:t>
      </w:r>
      <w:r w:rsidR="006E63EF" w:rsidRPr="00764569">
        <w:rPr>
          <w:rFonts w:ascii="Calibri" w:hAnsi="Calibri"/>
        </w:rPr>
        <w:t>s</w:t>
      </w:r>
      <w:r w:rsidR="0098062C" w:rsidRPr="00764569">
        <w:rPr>
          <w:rFonts w:ascii="Calibri" w:hAnsi="Calibri"/>
        </w:rPr>
        <w:t xml:space="preserve"> full, unimpeded and secure humanitarian access</w:t>
      </w:r>
      <w:r w:rsidR="00975ACE" w:rsidRPr="00764569">
        <w:rPr>
          <w:rFonts w:ascii="Calibri" w:hAnsi="Calibri"/>
        </w:rPr>
        <w:t>.</w:t>
      </w:r>
      <w:r w:rsidR="00083D64" w:rsidRPr="00764569">
        <w:rPr>
          <w:rStyle w:val="FootnoteReference"/>
          <w:rFonts w:ascii="Calibri" w:hAnsi="Calibri"/>
        </w:rPr>
        <w:footnoteReference w:id="61"/>
      </w:r>
      <w:r w:rsidR="00975ACE" w:rsidRPr="00764569">
        <w:rPr>
          <w:rFonts w:ascii="Calibri" w:hAnsi="Calibri"/>
        </w:rPr>
        <w:t xml:space="preserve"> </w:t>
      </w:r>
      <w:r w:rsidR="0098062C" w:rsidRPr="00764569">
        <w:rPr>
          <w:rFonts w:ascii="Calibri" w:hAnsi="Calibri"/>
        </w:rPr>
        <w:t xml:space="preserve"> </w:t>
      </w:r>
      <w:r w:rsidR="008F40C1" w:rsidRPr="00764569">
        <w:rPr>
          <w:rFonts w:ascii="Calibri" w:hAnsi="Calibri"/>
        </w:rPr>
        <w:t>SCR 2106</w:t>
      </w:r>
      <w:r w:rsidR="00D574D2" w:rsidRPr="00764569">
        <w:rPr>
          <w:rFonts w:ascii="Calibri" w:hAnsi="Calibri"/>
        </w:rPr>
        <w:t xml:space="preserve"> </w:t>
      </w:r>
      <w:r w:rsidR="006E63EF" w:rsidRPr="00764569">
        <w:rPr>
          <w:rFonts w:ascii="Calibri" w:hAnsi="Calibri"/>
        </w:rPr>
        <w:t>recognises</w:t>
      </w:r>
      <w:r w:rsidR="00D574D2" w:rsidRPr="00764569">
        <w:rPr>
          <w:rFonts w:ascii="Calibri" w:hAnsi="Calibri"/>
        </w:rPr>
        <w:t xml:space="preserve"> </w:t>
      </w:r>
      <w:r w:rsidR="008F40C1" w:rsidRPr="00764569">
        <w:rPr>
          <w:rFonts w:ascii="Calibri" w:hAnsi="Calibri"/>
        </w:rPr>
        <w:t>the vulnerability of women and children</w:t>
      </w:r>
      <w:r w:rsidR="001A6D91" w:rsidRPr="00764569">
        <w:rPr>
          <w:rFonts w:ascii="Calibri" w:hAnsi="Calibri"/>
        </w:rPr>
        <w:t xml:space="preserve"> victims of</w:t>
      </w:r>
      <w:r w:rsidR="00957E0D" w:rsidRPr="00764569">
        <w:rPr>
          <w:rFonts w:ascii="Calibri" w:hAnsi="Calibri"/>
        </w:rPr>
        <w:t xml:space="preserve"> forceful abductions </w:t>
      </w:r>
      <w:r w:rsidR="0098062C" w:rsidRPr="00764569">
        <w:rPr>
          <w:rFonts w:ascii="Calibri" w:hAnsi="Calibri"/>
        </w:rPr>
        <w:t xml:space="preserve">by armed groups and </w:t>
      </w:r>
      <w:r w:rsidR="0098062C" w:rsidRPr="00764569">
        <w:rPr>
          <w:rFonts w:ascii="Calibri" w:hAnsi="Calibri"/>
        </w:rPr>
        <w:lastRenderedPageBreak/>
        <w:t>armed forces</w:t>
      </w:r>
      <w:r w:rsidR="008F40C1" w:rsidRPr="00764569">
        <w:rPr>
          <w:rFonts w:ascii="Calibri" w:hAnsi="Calibri"/>
        </w:rPr>
        <w:t>, especially in relation to sexual violence in conflict and post</w:t>
      </w:r>
      <w:r w:rsidR="00DE49AA" w:rsidRPr="00764569">
        <w:rPr>
          <w:rFonts w:ascii="Calibri" w:hAnsi="Calibri"/>
        </w:rPr>
        <w:t xml:space="preserve">-conflict settings, and demanding </w:t>
      </w:r>
      <w:r w:rsidR="008F40C1" w:rsidRPr="00764569">
        <w:rPr>
          <w:rFonts w:ascii="Calibri" w:hAnsi="Calibri"/>
        </w:rPr>
        <w:t>their identification and release</w:t>
      </w:r>
      <w:r w:rsidR="0098062C" w:rsidRPr="00764569">
        <w:rPr>
          <w:rFonts w:ascii="Calibri" w:hAnsi="Calibri"/>
        </w:rPr>
        <w:t>.</w:t>
      </w:r>
      <w:r w:rsidR="008F40C1" w:rsidRPr="00764569">
        <w:rPr>
          <w:rStyle w:val="FootnoteReference"/>
          <w:rFonts w:ascii="Calibri" w:hAnsi="Calibri"/>
        </w:rPr>
        <w:footnoteReference w:id="62"/>
      </w:r>
      <w:r w:rsidR="0098062C" w:rsidRPr="00764569">
        <w:rPr>
          <w:rFonts w:ascii="Calibri" w:hAnsi="Calibri"/>
        </w:rPr>
        <w:t xml:space="preserve"> </w:t>
      </w:r>
      <w:r w:rsidR="005F6BBD" w:rsidRPr="00764569">
        <w:rPr>
          <w:rFonts w:ascii="Calibri" w:hAnsi="Calibri"/>
        </w:rPr>
        <w:t xml:space="preserve"> </w:t>
      </w:r>
    </w:p>
    <w:p w14:paraId="6EE2A2D1" w14:textId="77777777" w:rsidR="00F65041" w:rsidRPr="00764569" w:rsidRDefault="00F65041" w:rsidP="00F65041">
      <w:pPr>
        <w:jc w:val="both"/>
        <w:rPr>
          <w:rFonts w:ascii="Calibri" w:hAnsi="Calibri"/>
        </w:rPr>
      </w:pPr>
    </w:p>
    <w:p w14:paraId="1C6E7EEF" w14:textId="6155F6C2" w:rsidR="00F3615E" w:rsidRPr="00764569" w:rsidRDefault="00F65041" w:rsidP="001A6D91">
      <w:pPr>
        <w:spacing w:line="360" w:lineRule="auto"/>
        <w:jc w:val="both"/>
        <w:rPr>
          <w:rFonts w:ascii="Calibri" w:hAnsi="Calibri"/>
        </w:rPr>
      </w:pPr>
      <w:r w:rsidRPr="00764569">
        <w:rPr>
          <w:rFonts w:ascii="Calibri" w:hAnsi="Calibri"/>
        </w:rPr>
        <w:t>The resolutions address IHL</w:t>
      </w:r>
      <w:r w:rsidR="00EC1078" w:rsidRPr="00764569">
        <w:rPr>
          <w:rFonts w:ascii="Calibri" w:hAnsi="Calibri"/>
        </w:rPr>
        <w:t xml:space="preserve"> </w:t>
      </w:r>
      <w:r w:rsidR="00D50014" w:rsidRPr="00764569">
        <w:rPr>
          <w:rFonts w:ascii="Calibri" w:hAnsi="Calibri"/>
        </w:rPr>
        <w:t>rules regarding</w:t>
      </w:r>
      <w:r w:rsidR="00622072" w:rsidRPr="00764569">
        <w:rPr>
          <w:rFonts w:ascii="Calibri" w:hAnsi="Calibri"/>
        </w:rPr>
        <w:t xml:space="preserve"> </w:t>
      </w:r>
      <w:r w:rsidR="00EC1078" w:rsidRPr="00764569">
        <w:rPr>
          <w:rFonts w:ascii="Calibri" w:hAnsi="Calibri"/>
          <w:b/>
          <w:color w:val="4F81BD" w:themeColor="accent1"/>
        </w:rPr>
        <w:t>command and individual r</w:t>
      </w:r>
      <w:r w:rsidR="00DE49AA" w:rsidRPr="00764569">
        <w:rPr>
          <w:rFonts w:ascii="Calibri" w:hAnsi="Calibri"/>
          <w:b/>
          <w:color w:val="4F81BD" w:themeColor="accent1"/>
        </w:rPr>
        <w:t>esponsibility</w:t>
      </w:r>
      <w:r w:rsidR="00AE4168" w:rsidRPr="00764569">
        <w:rPr>
          <w:rFonts w:ascii="Calibri" w:hAnsi="Calibri"/>
        </w:rPr>
        <w:t xml:space="preserve"> that are not addressed in SCR 1325</w:t>
      </w:r>
      <w:r w:rsidR="00F2732C" w:rsidRPr="00764569">
        <w:rPr>
          <w:rFonts w:ascii="Calibri" w:hAnsi="Calibri"/>
        </w:rPr>
        <w:t xml:space="preserve">. </w:t>
      </w:r>
      <w:r w:rsidR="00841987" w:rsidRPr="00764569">
        <w:rPr>
          <w:rFonts w:ascii="Calibri" w:hAnsi="Calibri"/>
        </w:rPr>
        <w:t>SCRs 1820</w:t>
      </w:r>
      <w:r w:rsidR="002958D3" w:rsidRPr="00764569">
        <w:rPr>
          <w:rFonts w:ascii="Calibri" w:hAnsi="Calibri"/>
        </w:rPr>
        <w:t xml:space="preserve">, 1888, </w:t>
      </w:r>
      <w:r w:rsidR="00841987" w:rsidRPr="00764569">
        <w:rPr>
          <w:rFonts w:ascii="Calibri" w:hAnsi="Calibri"/>
        </w:rPr>
        <w:t>1960</w:t>
      </w:r>
      <w:r w:rsidR="002958D3" w:rsidRPr="00764569">
        <w:rPr>
          <w:rFonts w:ascii="Calibri" w:hAnsi="Calibri"/>
        </w:rPr>
        <w:t xml:space="preserve"> and 2106 </w:t>
      </w:r>
      <w:r w:rsidR="00841987" w:rsidRPr="00764569">
        <w:rPr>
          <w:rFonts w:ascii="Calibri" w:hAnsi="Calibri"/>
        </w:rPr>
        <w:t>affirm</w:t>
      </w:r>
      <w:r w:rsidR="001D7D00" w:rsidRPr="00764569">
        <w:rPr>
          <w:rFonts w:ascii="Calibri" w:hAnsi="Calibri"/>
        </w:rPr>
        <w:t xml:space="preserve"> </w:t>
      </w:r>
      <w:r w:rsidR="002958D3" w:rsidRPr="00764569">
        <w:rPr>
          <w:rFonts w:ascii="Calibri" w:hAnsi="Calibri"/>
        </w:rPr>
        <w:t xml:space="preserve">the </w:t>
      </w:r>
      <w:r w:rsidR="001D7D00" w:rsidRPr="00764569">
        <w:rPr>
          <w:rFonts w:ascii="Calibri" w:hAnsi="Calibri"/>
        </w:rPr>
        <w:t>principle of command responsibility</w:t>
      </w:r>
      <w:r w:rsidR="00841987" w:rsidRPr="00764569">
        <w:rPr>
          <w:rFonts w:ascii="Calibri" w:hAnsi="Calibri"/>
        </w:rPr>
        <w:t>, with SCR</w:t>
      </w:r>
      <w:r w:rsidR="002958D3" w:rsidRPr="00764569">
        <w:rPr>
          <w:rFonts w:ascii="Calibri" w:hAnsi="Calibri"/>
        </w:rPr>
        <w:t>s</w:t>
      </w:r>
      <w:r w:rsidR="00841987" w:rsidRPr="00764569">
        <w:rPr>
          <w:rFonts w:ascii="Calibri" w:hAnsi="Calibri"/>
        </w:rPr>
        <w:t xml:space="preserve"> 1960</w:t>
      </w:r>
      <w:r w:rsidR="002958D3" w:rsidRPr="00764569">
        <w:rPr>
          <w:rFonts w:ascii="Calibri" w:hAnsi="Calibri"/>
        </w:rPr>
        <w:t xml:space="preserve"> and 2106</w:t>
      </w:r>
      <w:r w:rsidR="00841987" w:rsidRPr="00764569">
        <w:rPr>
          <w:rFonts w:ascii="Calibri" w:hAnsi="Calibri"/>
        </w:rPr>
        <w:t xml:space="preserve"> </w:t>
      </w:r>
      <w:r w:rsidR="00957206" w:rsidRPr="00764569">
        <w:rPr>
          <w:rFonts w:ascii="Calibri" w:hAnsi="Calibri"/>
        </w:rPr>
        <w:t xml:space="preserve">requiring </w:t>
      </w:r>
      <w:r w:rsidR="007B62FB" w:rsidRPr="00764569">
        <w:rPr>
          <w:rFonts w:ascii="Calibri" w:hAnsi="Calibri"/>
        </w:rPr>
        <w:t xml:space="preserve">the issuance of clear orders through chains of command prohibiting sexual violence, and </w:t>
      </w:r>
      <w:r w:rsidR="00957206" w:rsidRPr="00764569">
        <w:rPr>
          <w:rFonts w:ascii="Calibri" w:hAnsi="Calibri"/>
        </w:rPr>
        <w:t>that</w:t>
      </w:r>
      <w:r w:rsidR="00841987" w:rsidRPr="00764569">
        <w:rPr>
          <w:rFonts w:ascii="Calibri" w:hAnsi="Calibri"/>
        </w:rPr>
        <w:t xml:space="preserve"> all levels of the chain of command are informed of their manda</w:t>
      </w:r>
      <w:r w:rsidR="00EC1078" w:rsidRPr="00764569">
        <w:rPr>
          <w:rFonts w:ascii="Calibri" w:hAnsi="Calibri"/>
        </w:rPr>
        <w:t>te and responsibilities including preventing and responding to sexual violence</w:t>
      </w:r>
      <w:r w:rsidR="00957206" w:rsidRPr="00764569">
        <w:rPr>
          <w:rFonts w:ascii="Calibri" w:hAnsi="Calibri"/>
        </w:rPr>
        <w:t>, and calling for the prohibition of sexual violence in Codes of Conduct, military field manuals, or equivalent</w:t>
      </w:r>
      <w:r w:rsidR="00841987" w:rsidRPr="00764569">
        <w:rPr>
          <w:rFonts w:ascii="Calibri" w:hAnsi="Calibri"/>
        </w:rPr>
        <w:t>.</w:t>
      </w:r>
      <w:r w:rsidR="00841987" w:rsidRPr="00764569">
        <w:rPr>
          <w:rStyle w:val="FootnoteReference"/>
          <w:rFonts w:ascii="Calibri" w:hAnsi="Calibri"/>
        </w:rPr>
        <w:footnoteReference w:id="63"/>
      </w:r>
      <w:r w:rsidR="006E63EF" w:rsidRPr="00764569">
        <w:rPr>
          <w:rFonts w:ascii="Calibri" w:hAnsi="Calibri"/>
        </w:rPr>
        <w:t xml:space="preserve"> </w:t>
      </w:r>
      <w:r w:rsidR="002958D3" w:rsidRPr="00764569">
        <w:rPr>
          <w:rFonts w:ascii="Calibri" w:hAnsi="Calibri"/>
        </w:rPr>
        <w:t xml:space="preserve">SCR 1888 </w:t>
      </w:r>
      <w:r w:rsidR="00F25CEF" w:rsidRPr="00764569">
        <w:rPr>
          <w:rFonts w:ascii="Calibri" w:hAnsi="Calibri"/>
        </w:rPr>
        <w:t>suggests that all parties to conflict, in addition to enforcing military disciplinary measures and upholding command responsibility: train troops on prohibiting all forms of se</w:t>
      </w:r>
      <w:r w:rsidR="00957E0D" w:rsidRPr="00764569">
        <w:rPr>
          <w:rFonts w:ascii="Calibri" w:hAnsi="Calibri"/>
        </w:rPr>
        <w:t>xual violence against civilians;</w:t>
      </w:r>
      <w:r w:rsidR="00F25CEF" w:rsidRPr="00764569">
        <w:rPr>
          <w:rFonts w:ascii="Calibri" w:hAnsi="Calibri"/>
        </w:rPr>
        <w:t xml:space="preserve"> debunk myths that fuel sexual violence; and vet candidates for national armies and security forces to exclude those associated with serious violations of IHL and international human rights law, including sexual violence.</w:t>
      </w:r>
      <w:r w:rsidR="00F25CEF" w:rsidRPr="00764569">
        <w:rPr>
          <w:rStyle w:val="FootnoteReference"/>
          <w:rFonts w:ascii="Calibri" w:hAnsi="Calibri"/>
        </w:rPr>
        <w:footnoteReference w:id="64"/>
      </w:r>
      <w:r w:rsidR="00F25CEF" w:rsidRPr="00764569">
        <w:rPr>
          <w:rFonts w:ascii="Calibri" w:hAnsi="Calibri"/>
        </w:rPr>
        <w:t xml:space="preserve"> </w:t>
      </w:r>
      <w:r w:rsidR="00BA7F27" w:rsidRPr="00764569">
        <w:rPr>
          <w:rFonts w:ascii="Calibri" w:hAnsi="Calibri"/>
        </w:rPr>
        <w:t>SCR 210</w:t>
      </w:r>
      <w:r w:rsidR="00FD765B" w:rsidRPr="00764569">
        <w:rPr>
          <w:rFonts w:ascii="Calibri" w:hAnsi="Calibri"/>
        </w:rPr>
        <w:t xml:space="preserve">6 elaborates the role of gender advisers, to reinforce the law </w:t>
      </w:r>
      <w:r w:rsidR="00DE49AA" w:rsidRPr="00764569">
        <w:rPr>
          <w:rFonts w:ascii="Calibri" w:hAnsi="Calibri"/>
        </w:rPr>
        <w:t>of armed conflict during</w:t>
      </w:r>
      <w:r w:rsidR="00FD765B" w:rsidRPr="00764569">
        <w:rPr>
          <w:rFonts w:ascii="Calibri" w:hAnsi="Calibri"/>
        </w:rPr>
        <w:t xml:space="preserve"> gender-sensitive training of peacekeepers.</w:t>
      </w:r>
      <w:r w:rsidR="00FD765B" w:rsidRPr="00764569">
        <w:rPr>
          <w:rStyle w:val="FootnoteReference"/>
          <w:rFonts w:ascii="Calibri" w:hAnsi="Calibri"/>
        </w:rPr>
        <w:footnoteReference w:id="65"/>
      </w:r>
      <w:r w:rsidR="00FD765B" w:rsidRPr="00764569">
        <w:rPr>
          <w:rFonts w:ascii="Calibri" w:hAnsi="Calibri"/>
        </w:rPr>
        <w:t xml:space="preserve"> Several resolutions emphasize the zero tolerance policy on sexual exploitation and abuse by UN personnel.</w:t>
      </w:r>
      <w:r w:rsidR="00FD765B" w:rsidRPr="00764569">
        <w:rPr>
          <w:rStyle w:val="FootnoteReference"/>
          <w:rFonts w:ascii="Calibri" w:hAnsi="Calibri"/>
        </w:rPr>
        <w:footnoteReference w:id="66"/>
      </w:r>
      <w:r w:rsidR="00FD765B" w:rsidRPr="00764569">
        <w:rPr>
          <w:rFonts w:ascii="Calibri" w:hAnsi="Calibri"/>
        </w:rPr>
        <w:t xml:space="preserve"> </w:t>
      </w:r>
      <w:r w:rsidR="00D94D1D" w:rsidRPr="00764569">
        <w:rPr>
          <w:rFonts w:ascii="Calibri" w:hAnsi="Calibri"/>
        </w:rPr>
        <w:t>Members of</w:t>
      </w:r>
      <w:r w:rsidR="00F3615E" w:rsidRPr="00764569">
        <w:rPr>
          <w:rFonts w:ascii="Calibri" w:hAnsi="Calibri"/>
        </w:rPr>
        <w:t xml:space="preserve"> personnel of a </w:t>
      </w:r>
      <w:r w:rsidR="00DE49AA" w:rsidRPr="00764569">
        <w:rPr>
          <w:rFonts w:ascii="Calibri" w:hAnsi="Calibri"/>
        </w:rPr>
        <w:t>UN</w:t>
      </w:r>
      <w:r w:rsidR="00F3615E" w:rsidRPr="00764569">
        <w:rPr>
          <w:rFonts w:ascii="Calibri" w:hAnsi="Calibri"/>
        </w:rPr>
        <w:t xml:space="preserve"> force</w:t>
      </w:r>
      <w:r w:rsidR="00D94D1D" w:rsidRPr="00764569">
        <w:rPr>
          <w:rFonts w:ascii="Calibri" w:hAnsi="Calibri"/>
        </w:rPr>
        <w:t xml:space="preserve"> implicated in violations of IHL</w:t>
      </w:r>
      <w:r w:rsidR="00F3615E" w:rsidRPr="00764569">
        <w:rPr>
          <w:rFonts w:ascii="Calibri" w:hAnsi="Calibri"/>
        </w:rPr>
        <w:t xml:space="preserve"> are subject to prosecution in their national courts.</w:t>
      </w:r>
      <w:r w:rsidR="00F3615E" w:rsidRPr="00764569">
        <w:rPr>
          <w:rStyle w:val="FootnoteReference"/>
          <w:rFonts w:ascii="Calibri" w:hAnsi="Calibri"/>
        </w:rPr>
        <w:footnoteReference w:id="67"/>
      </w:r>
    </w:p>
    <w:p w14:paraId="3BF6C9B5" w14:textId="77777777" w:rsidR="00AD36FC" w:rsidRDefault="00AD36FC" w:rsidP="00AD36FC">
      <w:pPr>
        <w:jc w:val="both"/>
        <w:rPr>
          <w:rFonts w:ascii="Calibri" w:hAnsi="Calibri"/>
          <w:b/>
          <w:sz w:val="28"/>
          <w:szCs w:val="28"/>
        </w:rPr>
      </w:pPr>
    </w:p>
    <w:p w14:paraId="05A4F031" w14:textId="2CCF9286" w:rsidR="00AD36FC" w:rsidRPr="004C0678" w:rsidRDefault="007A7F07" w:rsidP="007A7F07">
      <w:pPr>
        <w:pStyle w:val="Title"/>
        <w:jc w:val="center"/>
        <w:rPr>
          <w:sz w:val="32"/>
          <w:szCs w:val="32"/>
        </w:rPr>
      </w:pPr>
      <w:r w:rsidRPr="004C0678">
        <w:rPr>
          <w:sz w:val="32"/>
          <w:szCs w:val="32"/>
        </w:rPr>
        <w:t xml:space="preserve">HOW THE RESOLUTIONS ON </w:t>
      </w:r>
      <w:r>
        <w:rPr>
          <w:sz w:val="32"/>
          <w:szCs w:val="32"/>
        </w:rPr>
        <w:t>WOMEN, PEACE AND SECURITY</w:t>
      </w:r>
      <w:r w:rsidRPr="004C0678">
        <w:rPr>
          <w:sz w:val="32"/>
          <w:szCs w:val="32"/>
        </w:rPr>
        <w:t xml:space="preserve"> </w:t>
      </w:r>
      <w:r w:rsidR="005E6446" w:rsidRPr="004C0678">
        <w:rPr>
          <w:sz w:val="32"/>
          <w:szCs w:val="32"/>
        </w:rPr>
        <w:t xml:space="preserve">REFLECT </w:t>
      </w:r>
      <w:r w:rsidR="002E0E22" w:rsidRPr="004C0678">
        <w:rPr>
          <w:sz w:val="32"/>
          <w:szCs w:val="32"/>
        </w:rPr>
        <w:t xml:space="preserve">INTERNATIONAL </w:t>
      </w:r>
      <w:r w:rsidR="00AD36FC" w:rsidRPr="004C0678">
        <w:rPr>
          <w:sz w:val="32"/>
          <w:szCs w:val="32"/>
        </w:rPr>
        <w:t>CRIMINAL LAW</w:t>
      </w:r>
    </w:p>
    <w:p w14:paraId="239F3FC6" w14:textId="77777777" w:rsidR="00AD36FC" w:rsidRDefault="00AD36FC" w:rsidP="00AD36FC">
      <w:pPr>
        <w:jc w:val="both"/>
        <w:rPr>
          <w:rFonts w:ascii="Calibri" w:hAnsi="Calibri"/>
          <w:b/>
          <w:sz w:val="28"/>
          <w:szCs w:val="28"/>
        </w:rPr>
      </w:pPr>
    </w:p>
    <w:p w14:paraId="0DCAE56A" w14:textId="3592B818" w:rsidR="003F32C3" w:rsidRPr="00764569" w:rsidRDefault="00AD36FC" w:rsidP="001A6D91">
      <w:pPr>
        <w:spacing w:line="360" w:lineRule="auto"/>
        <w:jc w:val="both"/>
        <w:rPr>
          <w:rFonts w:ascii="Calibri" w:hAnsi="Calibri" w:cs="Times New Roman"/>
        </w:rPr>
      </w:pPr>
      <w:r w:rsidRPr="00764569">
        <w:rPr>
          <w:rFonts w:ascii="Calibri" w:hAnsi="Calibri"/>
        </w:rPr>
        <w:t xml:space="preserve">The </w:t>
      </w:r>
      <w:r w:rsidR="005E6446" w:rsidRPr="00764569">
        <w:rPr>
          <w:rFonts w:ascii="Calibri" w:hAnsi="Calibri"/>
        </w:rPr>
        <w:t>r</w:t>
      </w:r>
      <w:r w:rsidRPr="00764569">
        <w:rPr>
          <w:rFonts w:ascii="Calibri" w:hAnsi="Calibri"/>
        </w:rPr>
        <w:t xml:space="preserve">esolutions emphasize </w:t>
      </w:r>
      <w:r w:rsidR="002E0E22" w:rsidRPr="00764569">
        <w:rPr>
          <w:rFonts w:ascii="Calibri" w:hAnsi="Calibri"/>
        </w:rPr>
        <w:t>the</w:t>
      </w:r>
      <w:r w:rsidRPr="00764569">
        <w:rPr>
          <w:rFonts w:ascii="Calibri" w:hAnsi="Calibri"/>
        </w:rPr>
        <w:t xml:space="preserve"> responsibility of all </w:t>
      </w:r>
      <w:r w:rsidR="002E0E22" w:rsidRPr="00764569">
        <w:rPr>
          <w:rFonts w:ascii="Calibri" w:hAnsi="Calibri"/>
        </w:rPr>
        <w:t>parties</w:t>
      </w:r>
      <w:r w:rsidR="007B62FB" w:rsidRPr="00764569">
        <w:rPr>
          <w:rFonts w:ascii="Calibri" w:hAnsi="Calibri"/>
        </w:rPr>
        <w:t xml:space="preserve"> </w:t>
      </w:r>
      <w:r w:rsidRPr="00764569">
        <w:rPr>
          <w:rFonts w:ascii="Calibri" w:hAnsi="Calibri"/>
        </w:rPr>
        <w:t xml:space="preserve">to </w:t>
      </w:r>
      <w:r w:rsidR="007B62FB" w:rsidRPr="00764569">
        <w:rPr>
          <w:rFonts w:ascii="Calibri" w:hAnsi="Calibri"/>
          <w:b/>
          <w:color w:val="4F81BD" w:themeColor="accent1"/>
        </w:rPr>
        <w:t>end</w:t>
      </w:r>
      <w:r w:rsidRPr="00764569">
        <w:rPr>
          <w:rFonts w:ascii="Calibri" w:hAnsi="Calibri"/>
          <w:b/>
          <w:color w:val="4F81BD" w:themeColor="accent1"/>
        </w:rPr>
        <w:t xml:space="preserve"> impunity</w:t>
      </w:r>
      <w:r w:rsidRPr="00764569">
        <w:rPr>
          <w:rFonts w:ascii="Calibri" w:hAnsi="Calibri"/>
        </w:rPr>
        <w:t xml:space="preserve"> and</w:t>
      </w:r>
      <w:r w:rsidR="002E0E22" w:rsidRPr="00764569">
        <w:rPr>
          <w:rFonts w:ascii="Calibri" w:hAnsi="Calibri"/>
        </w:rPr>
        <w:t xml:space="preserve"> for states</w:t>
      </w:r>
      <w:r w:rsidRPr="00764569">
        <w:rPr>
          <w:rFonts w:ascii="Calibri" w:hAnsi="Calibri"/>
        </w:rPr>
        <w:t xml:space="preserve"> to prosecute </w:t>
      </w:r>
      <w:r w:rsidR="002E0E22" w:rsidRPr="00764569">
        <w:rPr>
          <w:rFonts w:ascii="Calibri" w:hAnsi="Calibri"/>
        </w:rPr>
        <w:t xml:space="preserve">perpetrators of </w:t>
      </w:r>
      <w:r w:rsidR="007143F1" w:rsidRPr="00764569">
        <w:rPr>
          <w:rFonts w:ascii="Calibri" w:hAnsi="Calibri"/>
          <w:b/>
          <w:color w:val="4F81BD" w:themeColor="accent1"/>
        </w:rPr>
        <w:t>war crimes and crimes against humanity</w:t>
      </w:r>
      <w:r w:rsidRPr="00764569">
        <w:rPr>
          <w:rFonts w:ascii="Calibri" w:hAnsi="Calibri"/>
          <w:b/>
          <w:color w:val="4F81BD" w:themeColor="accent1"/>
        </w:rPr>
        <w:t xml:space="preserve"> committed against women and girls in armed conflicts, including rape and sexual violence</w:t>
      </w:r>
      <w:r w:rsidRPr="00764569">
        <w:rPr>
          <w:rFonts w:ascii="Calibri" w:hAnsi="Calibri"/>
        </w:rPr>
        <w:t>.</w:t>
      </w:r>
      <w:r w:rsidRPr="00764569">
        <w:rPr>
          <w:rStyle w:val="FootnoteReference"/>
          <w:rFonts w:ascii="Calibri" w:hAnsi="Calibri"/>
        </w:rPr>
        <w:footnoteReference w:id="68"/>
      </w:r>
      <w:r w:rsidRPr="00764569">
        <w:rPr>
          <w:rFonts w:ascii="Calibri" w:hAnsi="Calibri"/>
        </w:rPr>
        <w:t xml:space="preserve"> </w:t>
      </w:r>
      <w:r w:rsidR="0037328A" w:rsidRPr="00764569">
        <w:rPr>
          <w:rFonts w:ascii="Calibri" w:hAnsi="Calibri"/>
        </w:rPr>
        <w:t>They go beyond SCR 1325 by explicitly recognising rape as a war crime and crime against humanity, drawing on obligations</w:t>
      </w:r>
      <w:r w:rsidR="003F32C3" w:rsidRPr="00764569">
        <w:rPr>
          <w:rFonts w:ascii="Calibri" w:hAnsi="Calibri"/>
        </w:rPr>
        <w:t xml:space="preserve"> from</w:t>
      </w:r>
      <w:r w:rsidR="0037328A" w:rsidRPr="00764569">
        <w:rPr>
          <w:rFonts w:ascii="Calibri" w:hAnsi="Calibri"/>
        </w:rPr>
        <w:t xml:space="preserve"> the Rome Statute. </w:t>
      </w:r>
      <w:r w:rsidR="007B62FB" w:rsidRPr="00764569">
        <w:rPr>
          <w:rFonts w:ascii="Calibri" w:hAnsi="Calibri"/>
        </w:rPr>
        <w:t>SCR 2122 reinforces the recognition in SCR 1325 of states’ obligations to</w:t>
      </w:r>
      <w:r w:rsidRPr="00764569">
        <w:rPr>
          <w:rFonts w:ascii="Calibri" w:hAnsi="Calibri"/>
        </w:rPr>
        <w:t xml:space="preserve"> prosecute those responsible for crimes against </w:t>
      </w:r>
      <w:r w:rsidRPr="00764569">
        <w:rPr>
          <w:rFonts w:ascii="Calibri" w:hAnsi="Calibri"/>
        </w:rPr>
        <w:lastRenderedPageBreak/>
        <w:t>humanity, genocide or war crimes, reflecting the language of the Rome Statute.</w:t>
      </w:r>
      <w:r w:rsidRPr="00764569">
        <w:rPr>
          <w:rStyle w:val="FootnoteReference"/>
          <w:rFonts w:ascii="Calibri" w:hAnsi="Calibri"/>
        </w:rPr>
        <w:footnoteReference w:id="69"/>
      </w:r>
      <w:r w:rsidRPr="00764569">
        <w:rPr>
          <w:rFonts w:ascii="Calibri" w:hAnsi="Calibri"/>
        </w:rPr>
        <w:t xml:space="preserve"> </w:t>
      </w:r>
      <w:r w:rsidR="001A1021" w:rsidRPr="00764569">
        <w:rPr>
          <w:rFonts w:ascii="Calibri" w:hAnsi="Calibri"/>
        </w:rPr>
        <w:t>SCR</w:t>
      </w:r>
      <w:r w:rsidRPr="00764569">
        <w:rPr>
          <w:rFonts w:ascii="Calibri" w:hAnsi="Calibri"/>
        </w:rPr>
        <w:t xml:space="preserve"> 2106 states that sexual violence </w:t>
      </w:r>
      <w:r w:rsidR="00AE4168" w:rsidRPr="00764569">
        <w:rPr>
          <w:rFonts w:ascii="Calibri" w:hAnsi="Calibri"/>
        </w:rPr>
        <w:t>can amount to</w:t>
      </w:r>
      <w:r w:rsidRPr="00764569">
        <w:rPr>
          <w:rFonts w:ascii="Calibri" w:hAnsi="Calibri"/>
        </w:rPr>
        <w:t xml:space="preserve"> a crime against humanity, genocide or a war crime in accordance with the Rome Statute.</w:t>
      </w:r>
      <w:r w:rsidRPr="00764569">
        <w:rPr>
          <w:rStyle w:val="FootnoteReference"/>
          <w:rFonts w:ascii="Calibri" w:hAnsi="Calibri"/>
        </w:rPr>
        <w:footnoteReference w:id="70"/>
      </w:r>
      <w:r w:rsidRPr="00764569">
        <w:rPr>
          <w:rFonts w:ascii="Calibri" w:hAnsi="Calibri"/>
        </w:rPr>
        <w:t xml:space="preserve"> </w:t>
      </w:r>
      <w:r w:rsidR="008B66A0" w:rsidRPr="00764569">
        <w:rPr>
          <w:rFonts w:ascii="Calibri" w:hAnsi="Calibri"/>
        </w:rPr>
        <w:t>SCR</w:t>
      </w:r>
      <w:r w:rsidR="0037328A" w:rsidRPr="00764569">
        <w:rPr>
          <w:rFonts w:ascii="Calibri" w:hAnsi="Calibri"/>
        </w:rPr>
        <w:t>s</w:t>
      </w:r>
      <w:r w:rsidR="008B66A0" w:rsidRPr="00764569">
        <w:rPr>
          <w:rFonts w:ascii="Calibri" w:hAnsi="Calibri"/>
        </w:rPr>
        <w:t xml:space="preserve"> 1820</w:t>
      </w:r>
      <w:r w:rsidR="00993394" w:rsidRPr="00764569">
        <w:rPr>
          <w:rFonts w:ascii="Calibri" w:hAnsi="Calibri"/>
        </w:rPr>
        <w:t>, 1888,</w:t>
      </w:r>
      <w:r w:rsidR="001A1021" w:rsidRPr="00764569">
        <w:rPr>
          <w:rFonts w:ascii="Calibri" w:hAnsi="Calibri"/>
        </w:rPr>
        <w:t xml:space="preserve"> </w:t>
      </w:r>
      <w:r w:rsidR="0037328A" w:rsidRPr="00764569">
        <w:rPr>
          <w:rFonts w:ascii="Calibri" w:hAnsi="Calibri"/>
        </w:rPr>
        <w:t>1960</w:t>
      </w:r>
      <w:r w:rsidR="00993394" w:rsidRPr="00764569">
        <w:rPr>
          <w:rFonts w:ascii="Calibri" w:hAnsi="Calibri"/>
        </w:rPr>
        <w:t xml:space="preserve"> and 2106 </w:t>
      </w:r>
      <w:r w:rsidR="0037328A" w:rsidRPr="00764569">
        <w:rPr>
          <w:rFonts w:ascii="Calibri" w:hAnsi="Calibri"/>
        </w:rPr>
        <w:t>recall</w:t>
      </w:r>
      <w:r w:rsidR="001A1021" w:rsidRPr="00764569">
        <w:rPr>
          <w:rFonts w:ascii="Calibri" w:hAnsi="Calibri"/>
        </w:rPr>
        <w:t xml:space="preserve"> the inclusion of sexual violence offences in </w:t>
      </w:r>
      <w:r w:rsidR="008B66A0" w:rsidRPr="00764569">
        <w:rPr>
          <w:rFonts w:ascii="Calibri" w:hAnsi="Calibri"/>
        </w:rPr>
        <w:t>the Rome Statute and t</w:t>
      </w:r>
      <w:r w:rsidR="00353E20" w:rsidRPr="00764569">
        <w:rPr>
          <w:rFonts w:ascii="Calibri" w:hAnsi="Calibri"/>
        </w:rPr>
        <w:t xml:space="preserve">he statutes </w:t>
      </w:r>
      <w:r w:rsidR="001A1021" w:rsidRPr="00764569">
        <w:rPr>
          <w:rFonts w:ascii="Calibri" w:hAnsi="Calibri"/>
        </w:rPr>
        <w:t>of the</w:t>
      </w:r>
      <w:r w:rsidR="00353E20" w:rsidRPr="00764569">
        <w:rPr>
          <w:rFonts w:ascii="Calibri" w:hAnsi="Calibri"/>
        </w:rPr>
        <w:t xml:space="preserve"> UN</w:t>
      </w:r>
      <w:r w:rsidR="001A1021" w:rsidRPr="00764569">
        <w:rPr>
          <w:rFonts w:ascii="Calibri" w:hAnsi="Calibri"/>
        </w:rPr>
        <w:t xml:space="preserve"> ad hoc criminal tribunals</w:t>
      </w:r>
      <w:r w:rsidR="0037328A" w:rsidRPr="00764569">
        <w:rPr>
          <w:rFonts w:ascii="Calibri" w:hAnsi="Calibri"/>
        </w:rPr>
        <w:t>,</w:t>
      </w:r>
      <w:r w:rsidR="001A1021" w:rsidRPr="00764569">
        <w:rPr>
          <w:rStyle w:val="FootnoteReference"/>
          <w:rFonts w:ascii="Calibri" w:hAnsi="Calibri"/>
        </w:rPr>
        <w:footnoteReference w:id="71"/>
      </w:r>
      <w:r w:rsidR="0037328A" w:rsidRPr="00764569">
        <w:rPr>
          <w:rFonts w:ascii="Calibri" w:hAnsi="Calibri"/>
        </w:rPr>
        <w:t xml:space="preserve"> while SCR 2122 notes the work of the In</w:t>
      </w:r>
      <w:r w:rsidR="003F32C3" w:rsidRPr="00764569">
        <w:rPr>
          <w:rFonts w:ascii="Calibri" w:hAnsi="Calibri"/>
        </w:rPr>
        <w:t>ternational Criminal Court (ICC)</w:t>
      </w:r>
      <w:r w:rsidR="0037328A" w:rsidRPr="00764569">
        <w:rPr>
          <w:rFonts w:ascii="Calibri" w:hAnsi="Calibri"/>
        </w:rPr>
        <w:t xml:space="preserve"> </w:t>
      </w:r>
      <w:r w:rsidR="009565DB" w:rsidRPr="00764569">
        <w:rPr>
          <w:rFonts w:ascii="Calibri" w:hAnsi="Calibri"/>
        </w:rPr>
        <w:t xml:space="preserve">the </w:t>
      </w:r>
      <w:r w:rsidR="0037328A" w:rsidRPr="00764569">
        <w:rPr>
          <w:rFonts w:ascii="Calibri" w:hAnsi="Calibri"/>
        </w:rPr>
        <w:t>ad hoc and mixed tribunals</w:t>
      </w:r>
      <w:r w:rsidR="009565DB" w:rsidRPr="00764569">
        <w:rPr>
          <w:rFonts w:ascii="Calibri" w:hAnsi="Calibri"/>
        </w:rPr>
        <w:t>,</w:t>
      </w:r>
      <w:r w:rsidR="0037328A" w:rsidRPr="00764569">
        <w:rPr>
          <w:rFonts w:ascii="Calibri" w:hAnsi="Calibri"/>
        </w:rPr>
        <w:t xml:space="preserve"> and specialized chambers in national tribunals in ending impunity.</w:t>
      </w:r>
      <w:r w:rsidR="0037328A" w:rsidRPr="00764569">
        <w:rPr>
          <w:rStyle w:val="FootnoteReference"/>
          <w:rFonts w:ascii="Calibri" w:hAnsi="Calibri"/>
        </w:rPr>
        <w:footnoteReference w:id="72"/>
      </w:r>
      <w:r w:rsidR="001A1021" w:rsidRPr="00764569">
        <w:rPr>
          <w:rFonts w:ascii="Calibri" w:hAnsi="Calibri"/>
        </w:rPr>
        <w:t xml:space="preserve"> </w:t>
      </w:r>
      <w:r w:rsidRPr="00764569">
        <w:rPr>
          <w:rFonts w:ascii="Calibri" w:hAnsi="Calibri"/>
        </w:rPr>
        <w:t xml:space="preserve">Several resolutions draw </w:t>
      </w:r>
      <w:r w:rsidR="0037328A" w:rsidRPr="00764569">
        <w:rPr>
          <w:rFonts w:ascii="Calibri" w:hAnsi="Calibri"/>
        </w:rPr>
        <w:t>on</w:t>
      </w:r>
      <w:r w:rsidRPr="00764569">
        <w:rPr>
          <w:rFonts w:ascii="Calibri" w:hAnsi="Calibri"/>
        </w:rPr>
        <w:t xml:space="preserve"> the language of crimes against humanity in the Rome Statute</w:t>
      </w:r>
      <w:r w:rsidR="003F32C3" w:rsidRPr="00764569">
        <w:rPr>
          <w:rFonts w:ascii="Calibri" w:hAnsi="Calibri"/>
        </w:rPr>
        <w:t>,</w:t>
      </w:r>
      <w:r w:rsidRPr="00764569">
        <w:rPr>
          <w:rFonts w:ascii="Calibri" w:hAnsi="Calibri"/>
        </w:rPr>
        <w:t xml:space="preserve"> </w:t>
      </w:r>
      <w:r w:rsidR="003F32C3" w:rsidRPr="00764569">
        <w:rPr>
          <w:rFonts w:ascii="Calibri" w:hAnsi="Calibri"/>
        </w:rPr>
        <w:t>recognizing that conflicts can involve a</w:t>
      </w:r>
      <w:r w:rsidRPr="00764569">
        <w:rPr>
          <w:rFonts w:ascii="Calibri" w:hAnsi="Calibri"/>
        </w:rPr>
        <w:t xml:space="preserve"> “widespread or systematic attack against a civilian population”.</w:t>
      </w:r>
      <w:r w:rsidR="009139C5" w:rsidRPr="00764569">
        <w:rPr>
          <w:rStyle w:val="FootnoteReference"/>
          <w:rFonts w:ascii="Calibri" w:hAnsi="Calibri"/>
        </w:rPr>
        <w:t xml:space="preserve"> </w:t>
      </w:r>
      <w:r w:rsidR="009139C5" w:rsidRPr="00764569">
        <w:rPr>
          <w:rStyle w:val="FootnoteReference"/>
          <w:rFonts w:ascii="Calibri" w:hAnsi="Calibri"/>
        </w:rPr>
        <w:footnoteReference w:id="73"/>
      </w:r>
      <w:r w:rsidRPr="00764569">
        <w:rPr>
          <w:rFonts w:ascii="Calibri" w:hAnsi="Calibri"/>
        </w:rPr>
        <w:t xml:space="preserve"> </w:t>
      </w:r>
      <w:r w:rsidR="003F32C3" w:rsidRPr="00764569">
        <w:rPr>
          <w:rFonts w:ascii="Calibri" w:hAnsi="Calibri"/>
        </w:rPr>
        <w:t>There is a greater emphasis on ending impunity</w:t>
      </w:r>
      <w:r w:rsidR="00AE4168" w:rsidRPr="00764569">
        <w:rPr>
          <w:rFonts w:ascii="Calibri" w:hAnsi="Calibri"/>
        </w:rPr>
        <w:t xml:space="preserve"> in the resolutions compared to SCR 1325. </w:t>
      </w:r>
      <w:r w:rsidR="003F32C3" w:rsidRPr="00764569">
        <w:rPr>
          <w:rFonts w:ascii="Calibri" w:hAnsi="Calibri"/>
        </w:rPr>
        <w:t xml:space="preserve">SCR 1960 requests the Secretary-General </w:t>
      </w:r>
      <w:r w:rsidR="00AE4168" w:rsidRPr="00764569">
        <w:rPr>
          <w:rFonts w:ascii="Calibri" w:hAnsi="Calibri"/>
        </w:rPr>
        <w:t>for</w:t>
      </w:r>
      <w:r w:rsidR="003F32C3" w:rsidRPr="00764569">
        <w:rPr>
          <w:rFonts w:ascii="Calibri" w:hAnsi="Calibri"/>
        </w:rPr>
        <w:t xml:space="preserve"> detailed information on those suspected of committing or being responsible for patterns of sexual violence in armed conflict. The Resolution also calls upon those parties to </w:t>
      </w:r>
      <w:r w:rsidR="00AE4168" w:rsidRPr="00764569">
        <w:rPr>
          <w:rFonts w:ascii="Calibri" w:hAnsi="Calibri"/>
        </w:rPr>
        <w:t>enforce specific commitments on timely</w:t>
      </w:r>
      <w:r w:rsidR="003F32C3" w:rsidRPr="00764569">
        <w:rPr>
          <w:rFonts w:ascii="Calibri" w:hAnsi="Calibri"/>
        </w:rPr>
        <w:t xml:space="preserve"> investigations of alleged abuses.</w:t>
      </w:r>
      <w:r w:rsidR="003F32C3" w:rsidRPr="00764569">
        <w:rPr>
          <w:rStyle w:val="FootnoteReference"/>
          <w:rFonts w:ascii="Calibri" w:hAnsi="Calibri"/>
        </w:rPr>
        <w:footnoteReference w:id="74"/>
      </w:r>
      <w:r w:rsidR="00957E0D" w:rsidRPr="00764569">
        <w:rPr>
          <w:rFonts w:ascii="Calibri" w:hAnsi="Calibri"/>
        </w:rPr>
        <w:t xml:space="preserve"> SCR 1820 reaffirms that need to exclude sexual violence from amnesty provisions in conflict resolution processes.</w:t>
      </w:r>
      <w:r w:rsidR="00957E0D" w:rsidRPr="00764569">
        <w:rPr>
          <w:rStyle w:val="FootnoteReference"/>
          <w:rFonts w:ascii="Calibri" w:hAnsi="Calibri"/>
        </w:rPr>
        <w:footnoteReference w:id="75"/>
      </w:r>
    </w:p>
    <w:p w14:paraId="52A2F90F" w14:textId="77777777" w:rsidR="003742A9" w:rsidRDefault="00A6225E" w:rsidP="003742A9">
      <w:pPr>
        <w:pStyle w:val="Heading1"/>
        <w:keepLines/>
        <w:spacing w:before="360" w:after="0"/>
        <w:jc w:val="center"/>
        <w:rPr>
          <w:b w:val="0"/>
          <w:color w:val="4F81BD" w:themeColor="accent1"/>
          <w:spacing w:val="20"/>
          <w:kern w:val="0"/>
          <w:szCs w:val="28"/>
          <w:lang w:val="en-GB"/>
        </w:rPr>
      </w:pPr>
      <w:r>
        <w:rPr>
          <w:rFonts w:ascii="Calibri" w:hAnsi="Calibri"/>
        </w:rPr>
        <w:br w:type="page"/>
      </w:r>
    </w:p>
    <w:p w14:paraId="4C477718" w14:textId="21DF5A3C" w:rsidR="000B6204" w:rsidRPr="000E78A5" w:rsidRDefault="000B6204" w:rsidP="000B6204">
      <w:pPr>
        <w:pStyle w:val="Heading3"/>
        <w:keepLines/>
        <w:spacing w:before="20" w:after="0"/>
        <w:jc w:val="center"/>
        <w:rPr>
          <w:b w:val="0"/>
          <w:color w:val="1F497D" w:themeColor="text2"/>
          <w:spacing w:val="14"/>
          <w:sz w:val="32"/>
          <w:szCs w:val="32"/>
          <w:lang w:val="en-GB"/>
        </w:rPr>
      </w:pPr>
      <w:bookmarkStart w:id="5" w:name="_Toc416867083"/>
      <w:r>
        <w:rPr>
          <w:b w:val="0"/>
          <w:color w:val="1F497D" w:themeColor="text2"/>
          <w:spacing w:val="14"/>
          <w:sz w:val="32"/>
          <w:szCs w:val="32"/>
          <w:lang w:val="en-GB"/>
        </w:rPr>
        <w:lastRenderedPageBreak/>
        <w:t xml:space="preserve">UNDERSTANDING SCR 1325 IN AN INTEGRATED WAY WITH THE CEDAW GENERAL RECOMMENDATION NO. 30 </w:t>
      </w:r>
      <w:bookmarkEnd w:id="5"/>
    </w:p>
    <w:p w14:paraId="01397C14" w14:textId="77777777" w:rsidR="004E5EBC" w:rsidRPr="000B6204" w:rsidRDefault="004E5EBC" w:rsidP="004E5EBC">
      <w:pPr>
        <w:jc w:val="both"/>
        <w:rPr>
          <w:rFonts w:ascii="Calibri" w:hAnsi="Calibri"/>
          <w:sz w:val="32"/>
          <w:szCs w:val="32"/>
        </w:rPr>
      </w:pPr>
    </w:p>
    <w:p w14:paraId="6F08B5F5" w14:textId="74CED1C4" w:rsidR="00293648" w:rsidRPr="00764569" w:rsidRDefault="00945579" w:rsidP="00087097">
      <w:pPr>
        <w:spacing w:line="360" w:lineRule="auto"/>
        <w:jc w:val="both"/>
        <w:rPr>
          <w:rFonts w:ascii="Calibri" w:hAnsi="Calibri"/>
        </w:rPr>
      </w:pPr>
      <w:r w:rsidRPr="00764569">
        <w:rPr>
          <w:rFonts w:ascii="Calibri" w:hAnsi="Calibri"/>
        </w:rPr>
        <w:t xml:space="preserve">SCR 1325 and its related resolutions </w:t>
      </w:r>
      <w:r w:rsidR="00725F72" w:rsidRPr="00764569">
        <w:rPr>
          <w:rFonts w:ascii="Calibri" w:hAnsi="Calibri"/>
        </w:rPr>
        <w:t>should be understood</w:t>
      </w:r>
      <w:r w:rsidRPr="00764569">
        <w:rPr>
          <w:rFonts w:ascii="Calibri" w:hAnsi="Calibri"/>
        </w:rPr>
        <w:t xml:space="preserve"> together with CEDAW</w:t>
      </w:r>
      <w:r w:rsidR="00725F72" w:rsidRPr="00764569">
        <w:rPr>
          <w:rFonts w:ascii="Calibri" w:hAnsi="Calibri"/>
        </w:rPr>
        <w:t xml:space="preserve"> as complementary</w:t>
      </w:r>
      <w:r w:rsidR="002E4178" w:rsidRPr="00764569">
        <w:rPr>
          <w:rFonts w:ascii="Calibri" w:hAnsi="Calibri"/>
        </w:rPr>
        <w:t xml:space="preserve"> and mutually reinforcing elements</w:t>
      </w:r>
      <w:r w:rsidR="00725F72" w:rsidRPr="00764569">
        <w:rPr>
          <w:rFonts w:ascii="Calibri" w:hAnsi="Calibri"/>
        </w:rPr>
        <w:t xml:space="preserve"> of the legal framework</w:t>
      </w:r>
      <w:r w:rsidR="001B6F53" w:rsidRPr="00764569">
        <w:rPr>
          <w:rFonts w:ascii="Calibri" w:hAnsi="Calibri"/>
        </w:rPr>
        <w:t xml:space="preserve">. </w:t>
      </w:r>
      <w:r w:rsidR="004E5EBC" w:rsidRPr="00764569">
        <w:rPr>
          <w:rFonts w:ascii="Calibri" w:hAnsi="Calibri"/>
        </w:rPr>
        <w:t xml:space="preserve">The </w:t>
      </w:r>
      <w:r w:rsidR="0080751A" w:rsidRPr="00764569">
        <w:rPr>
          <w:rFonts w:ascii="Calibri" w:hAnsi="Calibri"/>
        </w:rPr>
        <w:t xml:space="preserve">CEDAW </w:t>
      </w:r>
      <w:r w:rsidR="004E5EBC" w:rsidRPr="00764569">
        <w:rPr>
          <w:rFonts w:ascii="Calibri" w:hAnsi="Calibri"/>
        </w:rPr>
        <w:t xml:space="preserve">GR No. 30 acts as a bridge between SCR 1325 and CEDAW, </w:t>
      </w:r>
      <w:r w:rsidR="002E4178" w:rsidRPr="00764569">
        <w:rPr>
          <w:rFonts w:ascii="Calibri" w:hAnsi="Calibri"/>
        </w:rPr>
        <w:t>containing</w:t>
      </w:r>
      <w:r w:rsidR="004E5EBC" w:rsidRPr="00764569">
        <w:rPr>
          <w:rFonts w:ascii="Calibri" w:hAnsi="Calibri"/>
        </w:rPr>
        <w:t xml:space="preserve"> a comprehensive package of </w:t>
      </w:r>
      <w:r w:rsidR="002E4178" w:rsidRPr="00764569">
        <w:rPr>
          <w:rFonts w:ascii="Calibri" w:hAnsi="Calibri"/>
        </w:rPr>
        <w:t>protections</w:t>
      </w:r>
      <w:r w:rsidR="004E5EBC" w:rsidRPr="00764569">
        <w:rPr>
          <w:rFonts w:ascii="Calibri" w:hAnsi="Calibri"/>
        </w:rPr>
        <w:t xml:space="preserve"> </w:t>
      </w:r>
      <w:r w:rsidR="001B6F53" w:rsidRPr="00764569">
        <w:rPr>
          <w:rFonts w:ascii="Calibri" w:hAnsi="Calibri"/>
        </w:rPr>
        <w:t>that provide for transformative equality</w:t>
      </w:r>
      <w:r w:rsidR="00143162" w:rsidRPr="00764569">
        <w:rPr>
          <w:rFonts w:ascii="Calibri" w:hAnsi="Calibri"/>
        </w:rPr>
        <w:t xml:space="preserve"> and that go beyond the language of the resolutions on women, peace and security</w:t>
      </w:r>
      <w:r w:rsidR="004E5EBC" w:rsidRPr="00764569">
        <w:rPr>
          <w:rFonts w:ascii="Calibri" w:hAnsi="Calibri"/>
        </w:rPr>
        <w:t xml:space="preserve">. </w:t>
      </w:r>
      <w:r w:rsidR="00725F72" w:rsidRPr="00764569">
        <w:rPr>
          <w:rFonts w:ascii="Calibri" w:hAnsi="Calibri"/>
        </w:rPr>
        <w:t>This submission agrees with the CEDAW Committee’s integrated approach</w:t>
      </w:r>
      <w:r w:rsidR="00D50014" w:rsidRPr="00764569">
        <w:rPr>
          <w:rFonts w:ascii="Calibri" w:hAnsi="Calibri"/>
        </w:rPr>
        <w:t xml:space="preserve">, outlined in </w:t>
      </w:r>
      <w:r w:rsidR="00143162" w:rsidRPr="00764569">
        <w:rPr>
          <w:rFonts w:ascii="Calibri" w:hAnsi="Calibri"/>
        </w:rPr>
        <w:t>the GR</w:t>
      </w:r>
      <w:r w:rsidR="00D50014" w:rsidRPr="00764569">
        <w:rPr>
          <w:rFonts w:ascii="Calibri" w:hAnsi="Calibri"/>
        </w:rPr>
        <w:t>, to implement</w:t>
      </w:r>
      <w:r w:rsidR="00725F72" w:rsidRPr="00764569">
        <w:rPr>
          <w:rFonts w:ascii="Calibri" w:hAnsi="Calibri"/>
        </w:rPr>
        <w:t xml:space="preserve"> the Security Council agen</w:t>
      </w:r>
      <w:r w:rsidR="00191504" w:rsidRPr="00764569">
        <w:rPr>
          <w:rFonts w:ascii="Calibri" w:hAnsi="Calibri"/>
        </w:rPr>
        <w:t>da on women, peace and security</w:t>
      </w:r>
      <w:r w:rsidR="00725F72" w:rsidRPr="00764569">
        <w:rPr>
          <w:rFonts w:ascii="Calibri" w:hAnsi="Calibri"/>
        </w:rPr>
        <w:t xml:space="preserve"> </w:t>
      </w:r>
      <w:r w:rsidR="00E01C3D" w:rsidRPr="00764569">
        <w:rPr>
          <w:rFonts w:ascii="Calibri" w:hAnsi="Calibri"/>
        </w:rPr>
        <w:t>as part of a legal</w:t>
      </w:r>
      <w:r w:rsidR="00725F72" w:rsidRPr="00764569">
        <w:rPr>
          <w:rFonts w:ascii="Calibri" w:hAnsi="Calibri"/>
        </w:rPr>
        <w:t xml:space="preserve"> </w:t>
      </w:r>
      <w:r w:rsidR="00B56133" w:rsidRPr="00764569">
        <w:rPr>
          <w:rFonts w:ascii="Calibri" w:hAnsi="Calibri"/>
        </w:rPr>
        <w:t xml:space="preserve">framework grounded in CEDAW. </w:t>
      </w:r>
      <w:r w:rsidR="004E5EBC" w:rsidRPr="00764569">
        <w:rPr>
          <w:rFonts w:ascii="Calibri" w:hAnsi="Calibri"/>
        </w:rPr>
        <w:t>This involves States Parties:</w:t>
      </w:r>
      <w:r w:rsidR="004E5EBC" w:rsidRPr="00764569">
        <w:rPr>
          <w:rStyle w:val="FootnoteReference"/>
          <w:rFonts w:ascii="Calibri" w:hAnsi="Calibri"/>
        </w:rPr>
        <w:footnoteReference w:id="76"/>
      </w:r>
    </w:p>
    <w:p w14:paraId="69D73A0D" w14:textId="77777777" w:rsidR="00E4120D" w:rsidRPr="00764569" w:rsidRDefault="00E4120D" w:rsidP="004E5EBC">
      <w:pPr>
        <w:jc w:val="both"/>
        <w:rPr>
          <w:rFonts w:ascii="Calibri" w:hAnsi="Calibri"/>
        </w:rPr>
      </w:pPr>
    </w:p>
    <w:p w14:paraId="3C396FAA" w14:textId="2B65A099" w:rsidR="00293648" w:rsidRPr="00764569" w:rsidRDefault="004E5EBC" w:rsidP="00087097">
      <w:pPr>
        <w:pStyle w:val="ListParagraph"/>
        <w:numPr>
          <w:ilvl w:val="0"/>
          <w:numId w:val="6"/>
        </w:numPr>
        <w:spacing w:line="360" w:lineRule="auto"/>
        <w:jc w:val="both"/>
        <w:rPr>
          <w:rFonts w:ascii="Calibri" w:hAnsi="Calibri"/>
        </w:rPr>
      </w:pPr>
      <w:r w:rsidRPr="00764569">
        <w:rPr>
          <w:rFonts w:ascii="Calibri" w:hAnsi="Calibri"/>
        </w:rPr>
        <w:t xml:space="preserve">Ensuring that </w:t>
      </w:r>
      <w:r w:rsidR="000D6C7D" w:rsidRPr="00764569">
        <w:rPr>
          <w:rFonts w:ascii="Calibri" w:hAnsi="Calibri"/>
          <w:b/>
          <w:color w:val="4F81BD" w:themeColor="accent1"/>
        </w:rPr>
        <w:t>N</w:t>
      </w:r>
      <w:r w:rsidR="0080751A" w:rsidRPr="00764569">
        <w:rPr>
          <w:rFonts w:ascii="Calibri" w:hAnsi="Calibri"/>
          <w:b/>
          <w:color w:val="4F81BD" w:themeColor="accent1"/>
        </w:rPr>
        <w:t>ational Action Plans (N</w:t>
      </w:r>
      <w:r w:rsidR="000D6C7D" w:rsidRPr="00764569">
        <w:rPr>
          <w:rFonts w:ascii="Calibri" w:hAnsi="Calibri"/>
          <w:b/>
          <w:color w:val="4F81BD" w:themeColor="accent1"/>
        </w:rPr>
        <w:t>APs</w:t>
      </w:r>
      <w:r w:rsidR="0080751A" w:rsidRPr="00764569">
        <w:rPr>
          <w:rFonts w:ascii="Calibri" w:hAnsi="Calibri"/>
          <w:b/>
          <w:color w:val="4F81BD" w:themeColor="accent1"/>
        </w:rPr>
        <w:t>)</w:t>
      </w:r>
      <w:r w:rsidRPr="00764569">
        <w:rPr>
          <w:rFonts w:ascii="Calibri" w:hAnsi="Calibri"/>
        </w:rPr>
        <w:t xml:space="preserve"> and strategies to implement SCR 1325 and subsequent resolution</w:t>
      </w:r>
      <w:r w:rsidR="00276BE6" w:rsidRPr="00764569">
        <w:rPr>
          <w:rFonts w:ascii="Calibri" w:hAnsi="Calibri"/>
        </w:rPr>
        <w:t>s on women, peace and security</w:t>
      </w:r>
      <w:r w:rsidRPr="00764569">
        <w:rPr>
          <w:rFonts w:ascii="Calibri" w:hAnsi="Calibri"/>
        </w:rPr>
        <w:t xml:space="preserve"> </w:t>
      </w:r>
      <w:r w:rsidRPr="00764569">
        <w:rPr>
          <w:rFonts w:ascii="Calibri" w:hAnsi="Calibri"/>
          <w:b/>
          <w:color w:val="4F81BD" w:themeColor="accent1"/>
        </w:rPr>
        <w:t>comply with CEDAW</w:t>
      </w:r>
      <w:r w:rsidRPr="00764569">
        <w:rPr>
          <w:rFonts w:ascii="Calibri" w:hAnsi="Calibri"/>
        </w:rPr>
        <w:t xml:space="preserve">, and that </w:t>
      </w:r>
      <w:r w:rsidR="00CC72DB" w:rsidRPr="00764569">
        <w:rPr>
          <w:rFonts w:ascii="Calibri" w:hAnsi="Calibri"/>
        </w:rPr>
        <w:t>there are</w:t>
      </w:r>
      <w:r w:rsidRPr="00764569">
        <w:rPr>
          <w:rFonts w:ascii="Calibri" w:hAnsi="Calibri"/>
        </w:rPr>
        <w:t xml:space="preserve"> </w:t>
      </w:r>
      <w:r w:rsidRPr="00764569">
        <w:rPr>
          <w:rFonts w:ascii="Calibri" w:hAnsi="Calibri"/>
          <w:b/>
          <w:color w:val="4F81BD" w:themeColor="accent1"/>
        </w:rPr>
        <w:t>adequate budgets</w:t>
      </w:r>
      <w:r w:rsidRPr="00764569">
        <w:rPr>
          <w:rFonts w:ascii="Calibri" w:hAnsi="Calibri"/>
        </w:rPr>
        <w:t xml:space="preserve"> to implement both NAPs and CEDAW.</w:t>
      </w:r>
    </w:p>
    <w:p w14:paraId="027DA9BF" w14:textId="0E5589DC" w:rsidR="00293648" w:rsidRPr="00764569" w:rsidRDefault="004E5EBC" w:rsidP="00087097">
      <w:pPr>
        <w:pStyle w:val="ListParagraph"/>
        <w:numPr>
          <w:ilvl w:val="0"/>
          <w:numId w:val="6"/>
        </w:numPr>
        <w:spacing w:line="360" w:lineRule="auto"/>
        <w:jc w:val="both"/>
        <w:rPr>
          <w:rFonts w:ascii="Calibri" w:hAnsi="Calibri"/>
        </w:rPr>
      </w:pPr>
      <w:r w:rsidRPr="00764569">
        <w:rPr>
          <w:rFonts w:ascii="Calibri" w:hAnsi="Calibri"/>
        </w:rPr>
        <w:t xml:space="preserve">Ensuring that the implementation of Security Council commitments reflects a model of </w:t>
      </w:r>
      <w:r w:rsidRPr="00764569">
        <w:rPr>
          <w:rFonts w:ascii="Calibri" w:hAnsi="Calibri"/>
          <w:b/>
          <w:color w:val="4F81BD" w:themeColor="accent1"/>
        </w:rPr>
        <w:t>substantive equality</w:t>
      </w:r>
      <w:r w:rsidRPr="00764569">
        <w:rPr>
          <w:rFonts w:ascii="Calibri" w:hAnsi="Calibri"/>
          <w:color w:val="4F81BD" w:themeColor="accent1"/>
        </w:rPr>
        <w:t xml:space="preserve"> </w:t>
      </w:r>
      <w:r w:rsidRPr="00764569">
        <w:rPr>
          <w:rFonts w:ascii="Calibri" w:hAnsi="Calibri"/>
        </w:rPr>
        <w:t xml:space="preserve">and takes into account the impact of conflict and post-conflict contexts on all rights in CEDAW, in addition to violations </w:t>
      </w:r>
      <w:r w:rsidR="002937FA" w:rsidRPr="00764569">
        <w:rPr>
          <w:rFonts w:ascii="Calibri" w:hAnsi="Calibri"/>
        </w:rPr>
        <w:t xml:space="preserve">involving </w:t>
      </w:r>
      <w:r w:rsidRPr="00764569">
        <w:rPr>
          <w:rFonts w:ascii="Calibri" w:hAnsi="Calibri"/>
        </w:rPr>
        <w:t xml:space="preserve">conflict-related GBV. </w:t>
      </w:r>
    </w:p>
    <w:p w14:paraId="01CFE17E" w14:textId="560D4936" w:rsidR="00293648" w:rsidRPr="00764569" w:rsidRDefault="004E5EBC" w:rsidP="00087097">
      <w:pPr>
        <w:pStyle w:val="ListParagraph"/>
        <w:numPr>
          <w:ilvl w:val="0"/>
          <w:numId w:val="6"/>
        </w:numPr>
        <w:spacing w:line="360" w:lineRule="auto"/>
        <w:jc w:val="both"/>
        <w:rPr>
          <w:rFonts w:ascii="Calibri" w:hAnsi="Calibri"/>
        </w:rPr>
      </w:pPr>
      <w:r w:rsidRPr="00764569">
        <w:rPr>
          <w:rFonts w:ascii="Calibri" w:hAnsi="Calibri"/>
        </w:rPr>
        <w:t xml:space="preserve">Cooperating with all UN networks, departments, agencies, funds and programmes throughout the </w:t>
      </w:r>
      <w:r w:rsidRPr="00764569">
        <w:rPr>
          <w:rFonts w:ascii="Calibri" w:hAnsi="Calibri"/>
          <w:b/>
          <w:color w:val="4F81BD" w:themeColor="accent1"/>
        </w:rPr>
        <w:t xml:space="preserve">conflict </w:t>
      </w:r>
      <w:r w:rsidR="0080751A" w:rsidRPr="00764569">
        <w:rPr>
          <w:rFonts w:ascii="Calibri" w:hAnsi="Calibri"/>
          <w:b/>
          <w:color w:val="4F81BD" w:themeColor="accent1"/>
        </w:rPr>
        <w:t>process</w:t>
      </w:r>
      <w:r w:rsidRPr="00764569">
        <w:rPr>
          <w:rFonts w:ascii="Calibri" w:hAnsi="Calibri"/>
          <w:b/>
          <w:color w:val="4F81BD" w:themeColor="accent1"/>
        </w:rPr>
        <w:t xml:space="preserve"> (prevention, conflict, conflict resolution and post-conflict reconstruction</w:t>
      </w:r>
      <w:r w:rsidR="001D0F5F" w:rsidRPr="00764569">
        <w:rPr>
          <w:rFonts w:ascii="Calibri" w:hAnsi="Calibri"/>
          <w:b/>
          <w:color w:val="4F81BD" w:themeColor="accent1"/>
        </w:rPr>
        <w:t xml:space="preserve"> including transitional justice situations</w:t>
      </w:r>
      <w:r w:rsidRPr="00764569">
        <w:rPr>
          <w:rFonts w:ascii="Calibri" w:hAnsi="Calibri"/>
          <w:b/>
          <w:color w:val="4F81BD" w:themeColor="accent1"/>
        </w:rPr>
        <w:t>)</w:t>
      </w:r>
      <w:r w:rsidRPr="00764569">
        <w:rPr>
          <w:rFonts w:ascii="Calibri" w:hAnsi="Calibri"/>
        </w:rPr>
        <w:t>.</w:t>
      </w:r>
    </w:p>
    <w:p w14:paraId="7DB894AD" w14:textId="77777777" w:rsidR="002937FA" w:rsidRPr="00764569" w:rsidRDefault="004E5EBC" w:rsidP="00087097">
      <w:pPr>
        <w:pStyle w:val="ListParagraph"/>
        <w:numPr>
          <w:ilvl w:val="0"/>
          <w:numId w:val="6"/>
        </w:numPr>
        <w:spacing w:line="360" w:lineRule="auto"/>
        <w:jc w:val="both"/>
        <w:rPr>
          <w:rFonts w:ascii="Calibri" w:hAnsi="Calibri"/>
        </w:rPr>
      </w:pPr>
      <w:r w:rsidRPr="00764569">
        <w:rPr>
          <w:rFonts w:ascii="Calibri" w:hAnsi="Calibri"/>
        </w:rPr>
        <w:t xml:space="preserve">Collaborating with </w:t>
      </w:r>
      <w:r w:rsidRPr="00764569">
        <w:rPr>
          <w:rFonts w:ascii="Calibri" w:hAnsi="Calibri"/>
          <w:b/>
          <w:color w:val="4F81BD" w:themeColor="accent1"/>
        </w:rPr>
        <w:t>civil society and NGOs</w:t>
      </w:r>
      <w:r w:rsidRPr="00764569">
        <w:rPr>
          <w:rFonts w:ascii="Calibri" w:hAnsi="Calibri"/>
        </w:rPr>
        <w:t xml:space="preserve"> working on the Security Council agenda on WPS.</w:t>
      </w:r>
    </w:p>
    <w:p w14:paraId="1F3A3359" w14:textId="6C3A01D3" w:rsidR="001D0F5F" w:rsidRPr="00764569" w:rsidRDefault="00CB02AD" w:rsidP="00087097">
      <w:pPr>
        <w:pStyle w:val="ListParagraph"/>
        <w:numPr>
          <w:ilvl w:val="0"/>
          <w:numId w:val="6"/>
        </w:numPr>
        <w:spacing w:line="360" w:lineRule="auto"/>
        <w:jc w:val="both"/>
        <w:rPr>
          <w:rFonts w:ascii="Calibri" w:hAnsi="Calibri"/>
        </w:rPr>
      </w:pPr>
      <w:r w:rsidRPr="00764569">
        <w:rPr>
          <w:rFonts w:ascii="Calibri" w:hAnsi="Calibri"/>
        </w:rPr>
        <w:t xml:space="preserve">Providing information on the </w:t>
      </w:r>
      <w:r w:rsidRPr="00764569">
        <w:rPr>
          <w:rFonts w:ascii="Calibri" w:hAnsi="Calibri"/>
          <w:b/>
          <w:color w:val="4F81BD" w:themeColor="accent1"/>
        </w:rPr>
        <w:t>implementation</w:t>
      </w:r>
      <w:r w:rsidRPr="00764569">
        <w:rPr>
          <w:rFonts w:ascii="Calibri" w:hAnsi="Calibri"/>
          <w:b/>
        </w:rPr>
        <w:t xml:space="preserve"> </w:t>
      </w:r>
      <w:r w:rsidRPr="00764569">
        <w:rPr>
          <w:rFonts w:ascii="Calibri" w:hAnsi="Calibri"/>
        </w:rPr>
        <w:t xml:space="preserve">of the Security Council agenda on women, peace and security, in particular </w:t>
      </w:r>
      <w:r w:rsidRPr="00764569">
        <w:rPr>
          <w:rFonts w:ascii="Calibri" w:hAnsi="Calibri"/>
          <w:b/>
          <w:color w:val="4F81BD" w:themeColor="accent1"/>
        </w:rPr>
        <w:t>SCRs 1325, 1820, 1888, 1889, 1960 and 2010</w:t>
      </w:r>
      <w:r w:rsidRPr="00764569">
        <w:rPr>
          <w:rFonts w:ascii="Calibri" w:hAnsi="Calibri"/>
        </w:rPr>
        <w:t xml:space="preserve">, including by specifically reporting on compliance with any agreed UN benchmarks or indicators developed as part of that agenda, reporting on the legal framework, policies and programmes, and collecting sex-disaggregated data. </w:t>
      </w:r>
    </w:p>
    <w:p w14:paraId="50AB076C" w14:textId="77777777" w:rsidR="00CB02AD" w:rsidRPr="00764569" w:rsidRDefault="00CB02AD" w:rsidP="00CB02AD">
      <w:pPr>
        <w:jc w:val="both"/>
        <w:rPr>
          <w:rFonts w:ascii="Calibri" w:hAnsi="Calibri"/>
        </w:rPr>
      </w:pPr>
    </w:p>
    <w:p w14:paraId="3BC07877" w14:textId="3822E56E" w:rsidR="004E5EBC" w:rsidRPr="00764569" w:rsidRDefault="004E5EBC" w:rsidP="00087097">
      <w:pPr>
        <w:spacing w:line="360" w:lineRule="auto"/>
        <w:jc w:val="both"/>
        <w:rPr>
          <w:rFonts w:ascii="Calibri" w:hAnsi="Calibri"/>
        </w:rPr>
      </w:pPr>
      <w:r w:rsidRPr="00764569">
        <w:rPr>
          <w:rFonts w:ascii="Calibri" w:hAnsi="Calibri"/>
        </w:rPr>
        <w:t>The CEDAW GR No. 30 contains several path–breaking recommendations</w:t>
      </w:r>
      <w:r w:rsidR="0037328A" w:rsidRPr="00764569">
        <w:rPr>
          <w:rFonts w:ascii="Calibri" w:hAnsi="Calibri"/>
        </w:rPr>
        <w:t xml:space="preserve"> that </w:t>
      </w:r>
      <w:r w:rsidR="00B56133" w:rsidRPr="00764569">
        <w:rPr>
          <w:rFonts w:ascii="Calibri" w:hAnsi="Calibri"/>
        </w:rPr>
        <w:t>provide for</w:t>
      </w:r>
      <w:r w:rsidR="000D6C7D" w:rsidRPr="00764569">
        <w:rPr>
          <w:rFonts w:ascii="Calibri" w:hAnsi="Calibri"/>
        </w:rPr>
        <w:t xml:space="preserve"> substantive </w:t>
      </w:r>
      <w:r w:rsidR="00B56133" w:rsidRPr="00764569">
        <w:rPr>
          <w:rFonts w:ascii="Calibri" w:hAnsi="Calibri"/>
        </w:rPr>
        <w:t>and</w:t>
      </w:r>
      <w:r w:rsidR="000D6C7D" w:rsidRPr="00764569">
        <w:rPr>
          <w:rFonts w:ascii="Calibri" w:hAnsi="Calibri"/>
        </w:rPr>
        <w:t xml:space="preserve"> </w:t>
      </w:r>
      <w:r w:rsidR="0037328A" w:rsidRPr="00764569">
        <w:rPr>
          <w:rFonts w:ascii="Calibri" w:hAnsi="Calibri"/>
        </w:rPr>
        <w:t>transformative equality</w:t>
      </w:r>
      <w:r w:rsidRPr="00764569">
        <w:rPr>
          <w:rFonts w:ascii="Calibri" w:hAnsi="Calibri"/>
        </w:rPr>
        <w:t xml:space="preserve">. </w:t>
      </w:r>
      <w:r w:rsidR="00116007" w:rsidRPr="00764569">
        <w:rPr>
          <w:rFonts w:ascii="Calibri" w:hAnsi="Calibri"/>
        </w:rPr>
        <w:t>The following</w:t>
      </w:r>
      <w:r w:rsidR="000D6C7D" w:rsidRPr="00764569">
        <w:rPr>
          <w:rFonts w:ascii="Calibri" w:hAnsi="Calibri"/>
        </w:rPr>
        <w:t xml:space="preserve"> seven key </w:t>
      </w:r>
      <w:r w:rsidR="00116007" w:rsidRPr="00764569">
        <w:rPr>
          <w:rFonts w:ascii="Calibri" w:hAnsi="Calibri"/>
        </w:rPr>
        <w:t>elements of</w:t>
      </w:r>
      <w:r w:rsidR="000D6C7D" w:rsidRPr="00764569">
        <w:rPr>
          <w:rFonts w:ascii="Calibri" w:hAnsi="Calibri"/>
        </w:rPr>
        <w:t xml:space="preserve"> GR No. 30 </w:t>
      </w:r>
      <w:r w:rsidR="00276BE6" w:rsidRPr="00764569">
        <w:rPr>
          <w:rFonts w:ascii="Calibri" w:hAnsi="Calibri"/>
        </w:rPr>
        <w:t>should be</w:t>
      </w:r>
      <w:r w:rsidR="003C2297" w:rsidRPr="00764569">
        <w:rPr>
          <w:rFonts w:ascii="Calibri" w:hAnsi="Calibri"/>
        </w:rPr>
        <w:t xml:space="preserve"> read together with SCR 1325, and</w:t>
      </w:r>
      <w:r w:rsidR="00276BE6" w:rsidRPr="00764569">
        <w:rPr>
          <w:rFonts w:ascii="Calibri" w:hAnsi="Calibri"/>
        </w:rPr>
        <w:t xml:space="preserve"> understood as complementing the protections in</w:t>
      </w:r>
      <w:r w:rsidR="000D6C7D" w:rsidRPr="00764569">
        <w:rPr>
          <w:rFonts w:ascii="Calibri" w:hAnsi="Calibri"/>
        </w:rPr>
        <w:t xml:space="preserve"> </w:t>
      </w:r>
      <w:r w:rsidR="003C2297" w:rsidRPr="00764569">
        <w:rPr>
          <w:rFonts w:ascii="Calibri" w:hAnsi="Calibri"/>
        </w:rPr>
        <w:t>the Security Council resolutions on women, peace and security</w:t>
      </w:r>
      <w:r w:rsidR="00276BE6" w:rsidRPr="00764569">
        <w:rPr>
          <w:rFonts w:ascii="Calibri" w:hAnsi="Calibri"/>
        </w:rPr>
        <w:t>.</w:t>
      </w:r>
      <w:r w:rsidRPr="00764569">
        <w:rPr>
          <w:rStyle w:val="FootnoteReference"/>
          <w:rFonts w:ascii="Calibri" w:hAnsi="Calibri"/>
        </w:rPr>
        <w:footnoteReference w:id="77"/>
      </w:r>
      <w:r w:rsidRPr="00764569">
        <w:rPr>
          <w:rFonts w:ascii="Calibri" w:hAnsi="Calibri"/>
        </w:rPr>
        <w:t xml:space="preserve">  </w:t>
      </w:r>
    </w:p>
    <w:p w14:paraId="61DA3635" w14:textId="77777777" w:rsidR="004E5EBC" w:rsidRPr="00764569" w:rsidRDefault="004E5EBC" w:rsidP="004E5EBC">
      <w:pPr>
        <w:rPr>
          <w:rFonts w:ascii="Calibri" w:hAnsi="Calibri"/>
        </w:rPr>
      </w:pPr>
    </w:p>
    <w:p w14:paraId="0B5E8C50" w14:textId="6A575ADD" w:rsidR="004E5EBC" w:rsidRPr="00764569" w:rsidRDefault="004E5EBC" w:rsidP="00087097">
      <w:pPr>
        <w:pStyle w:val="ListParagraph"/>
        <w:numPr>
          <w:ilvl w:val="0"/>
          <w:numId w:val="5"/>
        </w:numPr>
        <w:spacing w:line="360" w:lineRule="auto"/>
        <w:jc w:val="both"/>
        <w:rPr>
          <w:rFonts w:ascii="Calibri" w:hAnsi="Calibri"/>
        </w:rPr>
      </w:pPr>
      <w:r w:rsidRPr="00764569">
        <w:rPr>
          <w:rFonts w:ascii="Calibri" w:hAnsi="Calibri"/>
        </w:rPr>
        <w:t xml:space="preserve">An </w:t>
      </w:r>
      <w:r w:rsidRPr="00764569">
        <w:rPr>
          <w:rFonts w:ascii="Calibri" w:hAnsi="Calibri"/>
          <w:b/>
          <w:color w:val="4F81BD" w:themeColor="accent1"/>
        </w:rPr>
        <w:t xml:space="preserve">expanded </w:t>
      </w:r>
      <w:r w:rsidR="00791788" w:rsidRPr="00764569">
        <w:rPr>
          <w:rFonts w:ascii="Calibri" w:hAnsi="Calibri"/>
          <w:b/>
          <w:color w:val="4F81BD" w:themeColor="accent1"/>
        </w:rPr>
        <w:t>understanding of conflict and conflict-related situations</w:t>
      </w:r>
      <w:r w:rsidRPr="00764569">
        <w:rPr>
          <w:rFonts w:ascii="Calibri" w:hAnsi="Calibri"/>
        </w:rPr>
        <w:t xml:space="preserve">, which </w:t>
      </w:r>
      <w:r w:rsidR="00276BE6" w:rsidRPr="00764569">
        <w:rPr>
          <w:rFonts w:ascii="Calibri" w:hAnsi="Calibri"/>
        </w:rPr>
        <w:t>covers</w:t>
      </w:r>
      <w:r w:rsidRPr="00764569">
        <w:rPr>
          <w:rFonts w:ascii="Calibri" w:hAnsi="Calibri"/>
        </w:rPr>
        <w:t xml:space="preserve"> situations that may not be </w:t>
      </w:r>
      <w:r w:rsidR="00791788" w:rsidRPr="00764569">
        <w:rPr>
          <w:rFonts w:ascii="Calibri" w:hAnsi="Calibri"/>
        </w:rPr>
        <w:t>defined as</w:t>
      </w:r>
      <w:r w:rsidRPr="00764569">
        <w:rPr>
          <w:rFonts w:ascii="Calibri" w:hAnsi="Calibri"/>
        </w:rPr>
        <w:t xml:space="preserve"> armed conflicts under international </w:t>
      </w:r>
      <w:r w:rsidR="00791788" w:rsidRPr="00764569">
        <w:rPr>
          <w:rFonts w:ascii="Calibri" w:hAnsi="Calibri"/>
        </w:rPr>
        <w:t xml:space="preserve">law. These include: </w:t>
      </w:r>
      <w:r w:rsidRPr="00764569">
        <w:rPr>
          <w:rFonts w:ascii="Calibri" w:hAnsi="Calibri"/>
        </w:rPr>
        <w:t>international and non-international armed conflicts, si</w:t>
      </w:r>
      <w:r w:rsidR="00737F90" w:rsidRPr="00764569">
        <w:rPr>
          <w:rFonts w:ascii="Calibri" w:hAnsi="Calibri"/>
        </w:rPr>
        <w:t xml:space="preserve">tuations of foreign occupation, </w:t>
      </w:r>
      <w:r w:rsidRPr="00764569">
        <w:rPr>
          <w:rFonts w:ascii="Calibri" w:hAnsi="Calibri"/>
        </w:rPr>
        <w:t>other forms of occupation and post-conflict s</w:t>
      </w:r>
      <w:r w:rsidR="00737F90" w:rsidRPr="00764569">
        <w:rPr>
          <w:rFonts w:ascii="Calibri" w:hAnsi="Calibri"/>
        </w:rPr>
        <w:t>ituations</w:t>
      </w:r>
      <w:r w:rsidRPr="00764569">
        <w:rPr>
          <w:rFonts w:ascii="Calibri" w:hAnsi="Calibri"/>
        </w:rPr>
        <w:t>.</w:t>
      </w:r>
      <w:r w:rsidRPr="00764569">
        <w:rPr>
          <w:rStyle w:val="FootnoteReference"/>
          <w:rFonts w:ascii="Calibri" w:hAnsi="Calibri"/>
        </w:rPr>
        <w:footnoteReference w:id="78"/>
      </w:r>
      <w:r w:rsidR="00737F90" w:rsidRPr="00764569">
        <w:rPr>
          <w:rFonts w:ascii="Calibri" w:hAnsi="Calibri"/>
        </w:rPr>
        <w:t xml:space="preserve"> The</w:t>
      </w:r>
      <w:r w:rsidR="00445B87" w:rsidRPr="00764569">
        <w:rPr>
          <w:rFonts w:ascii="Calibri" w:hAnsi="Calibri"/>
        </w:rPr>
        <w:t xml:space="preserve"> </w:t>
      </w:r>
      <w:r w:rsidR="00985EAF" w:rsidRPr="00764569">
        <w:rPr>
          <w:rFonts w:ascii="Calibri" w:hAnsi="Calibri"/>
        </w:rPr>
        <w:t>wid</w:t>
      </w:r>
      <w:r w:rsidR="00B56133" w:rsidRPr="00764569">
        <w:rPr>
          <w:rFonts w:ascii="Calibri" w:hAnsi="Calibri"/>
        </w:rPr>
        <w:t>e-ranging</w:t>
      </w:r>
      <w:r w:rsidR="00737F90" w:rsidRPr="00764569">
        <w:rPr>
          <w:rFonts w:ascii="Calibri" w:hAnsi="Calibri"/>
        </w:rPr>
        <w:t xml:space="preserve"> scope of the CEDAW GR No. 30</w:t>
      </w:r>
      <w:r w:rsidR="00B56133" w:rsidRPr="00764569">
        <w:rPr>
          <w:rFonts w:ascii="Calibri" w:hAnsi="Calibri"/>
        </w:rPr>
        <w:t xml:space="preserve"> </w:t>
      </w:r>
      <w:r w:rsidR="00445B87" w:rsidRPr="00764569">
        <w:rPr>
          <w:rFonts w:ascii="Calibri" w:hAnsi="Calibri"/>
        </w:rPr>
        <w:t xml:space="preserve">allows for transformative equality if the rights of women and girls are recognised in all </w:t>
      </w:r>
      <w:r w:rsidR="00B56133" w:rsidRPr="00764569">
        <w:rPr>
          <w:rFonts w:ascii="Calibri" w:hAnsi="Calibri"/>
        </w:rPr>
        <w:t xml:space="preserve">of </w:t>
      </w:r>
      <w:r w:rsidR="00445B87" w:rsidRPr="00764569">
        <w:rPr>
          <w:rFonts w:ascii="Calibri" w:hAnsi="Calibri"/>
        </w:rPr>
        <w:t xml:space="preserve">these contexts, especially those not usually </w:t>
      </w:r>
      <w:r w:rsidR="00737F90" w:rsidRPr="00764569">
        <w:rPr>
          <w:rFonts w:ascii="Calibri" w:hAnsi="Calibri"/>
        </w:rPr>
        <w:t xml:space="preserve">covered under international law. </w:t>
      </w:r>
    </w:p>
    <w:p w14:paraId="4539929C" w14:textId="77777777" w:rsidR="004E5EBC" w:rsidRPr="00764569" w:rsidRDefault="004E5EBC" w:rsidP="004E5EBC">
      <w:pPr>
        <w:pStyle w:val="ListParagraph"/>
        <w:jc w:val="both"/>
        <w:rPr>
          <w:rFonts w:ascii="Calibri" w:hAnsi="Calibri"/>
        </w:rPr>
      </w:pPr>
    </w:p>
    <w:p w14:paraId="4CBA3154" w14:textId="4C5F5015" w:rsidR="004E5EBC" w:rsidRPr="00764569" w:rsidRDefault="004E5EBC" w:rsidP="00087097">
      <w:pPr>
        <w:pStyle w:val="ListParagraph"/>
        <w:numPr>
          <w:ilvl w:val="0"/>
          <w:numId w:val="5"/>
        </w:numPr>
        <w:spacing w:line="360" w:lineRule="auto"/>
        <w:jc w:val="both"/>
        <w:rPr>
          <w:rFonts w:ascii="Calibri" w:hAnsi="Calibri"/>
        </w:rPr>
      </w:pPr>
      <w:r w:rsidRPr="00764569">
        <w:rPr>
          <w:rFonts w:ascii="Calibri" w:hAnsi="Calibri"/>
        </w:rPr>
        <w:t xml:space="preserve">The application of </w:t>
      </w:r>
      <w:r w:rsidRPr="00764569">
        <w:rPr>
          <w:rFonts w:ascii="Calibri" w:hAnsi="Calibri"/>
          <w:b/>
          <w:color w:val="4F81BD" w:themeColor="accent1"/>
        </w:rPr>
        <w:t>extra-territorial responsibility to state and non-state actors</w:t>
      </w:r>
      <w:r w:rsidRPr="00764569">
        <w:rPr>
          <w:rFonts w:ascii="Calibri" w:hAnsi="Calibri"/>
        </w:rPr>
        <w:t xml:space="preserve">. </w:t>
      </w:r>
      <w:r w:rsidR="003976F2" w:rsidRPr="00764569">
        <w:rPr>
          <w:rFonts w:ascii="Calibri" w:hAnsi="Calibri"/>
        </w:rPr>
        <w:t>CEDAW is unique among international human rights treaties in enforcing</w:t>
      </w:r>
      <w:r w:rsidRPr="00764569">
        <w:rPr>
          <w:rFonts w:ascii="Calibri" w:hAnsi="Calibri"/>
        </w:rPr>
        <w:t xml:space="preserve"> due diligence obligations</w:t>
      </w:r>
      <w:r w:rsidR="003976F2" w:rsidRPr="00764569">
        <w:rPr>
          <w:rFonts w:ascii="Calibri" w:hAnsi="Calibri"/>
        </w:rPr>
        <w:t xml:space="preserve"> on states</w:t>
      </w:r>
      <w:r w:rsidRPr="00764569">
        <w:rPr>
          <w:rFonts w:ascii="Calibri" w:hAnsi="Calibri"/>
        </w:rPr>
        <w:t xml:space="preserve"> concerning acts of private individuals or entities that violate </w:t>
      </w:r>
      <w:r w:rsidR="003976F2" w:rsidRPr="00764569">
        <w:rPr>
          <w:rFonts w:ascii="Calibri" w:hAnsi="Calibri"/>
        </w:rPr>
        <w:t>the Convention</w:t>
      </w:r>
      <w:r w:rsidRPr="00764569">
        <w:rPr>
          <w:rFonts w:ascii="Calibri" w:hAnsi="Calibri"/>
        </w:rPr>
        <w:t>.</w:t>
      </w:r>
      <w:r w:rsidR="00445B87" w:rsidRPr="00764569">
        <w:rPr>
          <w:rFonts w:ascii="Calibri" w:hAnsi="Calibri"/>
        </w:rPr>
        <w:t xml:space="preserve"> </w:t>
      </w:r>
      <w:r w:rsidR="00985EAF" w:rsidRPr="00764569">
        <w:rPr>
          <w:rFonts w:ascii="Calibri" w:hAnsi="Calibri"/>
        </w:rPr>
        <w:t>This provides</w:t>
      </w:r>
      <w:r w:rsidR="00445B87" w:rsidRPr="00764569">
        <w:rPr>
          <w:rFonts w:ascii="Calibri" w:hAnsi="Calibri"/>
        </w:rPr>
        <w:t xml:space="preserve"> for transformative equality by enforcing accountability on non-state actors</w:t>
      </w:r>
      <w:r w:rsidR="00985EAF" w:rsidRPr="00764569">
        <w:rPr>
          <w:rFonts w:ascii="Calibri" w:hAnsi="Calibri"/>
        </w:rPr>
        <w:t xml:space="preserve"> that are  </w:t>
      </w:r>
      <w:r w:rsidR="00445B87" w:rsidRPr="00764569">
        <w:rPr>
          <w:rFonts w:ascii="Calibri" w:hAnsi="Calibri"/>
        </w:rPr>
        <w:t xml:space="preserve"> traditionally not </w:t>
      </w:r>
      <w:r w:rsidR="00985EAF" w:rsidRPr="00764569">
        <w:rPr>
          <w:rFonts w:ascii="Calibri" w:hAnsi="Calibri"/>
        </w:rPr>
        <w:t xml:space="preserve">held </w:t>
      </w:r>
      <w:r w:rsidR="00445B87" w:rsidRPr="00764569">
        <w:rPr>
          <w:rFonts w:ascii="Calibri" w:hAnsi="Calibri"/>
        </w:rPr>
        <w:t xml:space="preserve">accountable under international law e.g. officials enjoying diplomatic immunity, private security companies, </w:t>
      </w:r>
      <w:r w:rsidR="00472DA2" w:rsidRPr="00764569">
        <w:rPr>
          <w:rFonts w:ascii="Calibri" w:hAnsi="Calibri"/>
        </w:rPr>
        <w:t>and transnational</w:t>
      </w:r>
      <w:r w:rsidR="00445B87" w:rsidRPr="00764569">
        <w:rPr>
          <w:rFonts w:ascii="Calibri" w:hAnsi="Calibri"/>
        </w:rPr>
        <w:t xml:space="preserve"> corporations. </w:t>
      </w:r>
      <w:r w:rsidRPr="00764569">
        <w:rPr>
          <w:rFonts w:ascii="Calibri" w:hAnsi="Calibri"/>
        </w:rPr>
        <w:t xml:space="preserve">The Committee also recommends the comprehensive application of CEDAW and other international human rights instruments and humanitarian law in the exercise of territorial or extra-territorial jurisdiction, whether acting individually or as members of international or intergovernmental organizations and coalitions. This </w:t>
      </w:r>
      <w:r w:rsidR="00116007" w:rsidRPr="00764569">
        <w:rPr>
          <w:rFonts w:ascii="Calibri" w:hAnsi="Calibri"/>
        </w:rPr>
        <w:t xml:space="preserve">addresses </w:t>
      </w:r>
      <w:r w:rsidRPr="00764569">
        <w:rPr>
          <w:rFonts w:ascii="Calibri" w:hAnsi="Calibri"/>
        </w:rPr>
        <w:t xml:space="preserve">sexual violence against women and girls by peacekeepers, armed and non-state armed groups, </w:t>
      </w:r>
      <w:r w:rsidR="003976F2" w:rsidRPr="00764569">
        <w:rPr>
          <w:rFonts w:ascii="Calibri" w:hAnsi="Calibri"/>
        </w:rPr>
        <w:t xml:space="preserve">and </w:t>
      </w:r>
      <w:r w:rsidRPr="00764569">
        <w:rPr>
          <w:rFonts w:ascii="Calibri" w:hAnsi="Calibri"/>
        </w:rPr>
        <w:t>diplomats.</w:t>
      </w:r>
      <w:r w:rsidR="00985EAF" w:rsidRPr="00764569">
        <w:rPr>
          <w:rStyle w:val="FootnoteReference"/>
          <w:rFonts w:ascii="Calibri" w:hAnsi="Calibri"/>
        </w:rPr>
        <w:t xml:space="preserve"> </w:t>
      </w:r>
      <w:r w:rsidR="00985EAF" w:rsidRPr="00764569">
        <w:rPr>
          <w:rStyle w:val="FootnoteReference"/>
          <w:rFonts w:ascii="Calibri" w:hAnsi="Calibri"/>
        </w:rPr>
        <w:footnoteReference w:id="79"/>
      </w:r>
      <w:r w:rsidR="00985EAF" w:rsidRPr="00764569">
        <w:rPr>
          <w:rFonts w:ascii="Calibri" w:hAnsi="Calibri"/>
        </w:rPr>
        <w:t xml:space="preserve"> </w:t>
      </w:r>
      <w:r w:rsidRPr="00764569">
        <w:rPr>
          <w:rFonts w:ascii="Calibri" w:hAnsi="Calibri"/>
        </w:rPr>
        <w:t xml:space="preserve"> </w:t>
      </w:r>
    </w:p>
    <w:p w14:paraId="1E03485F" w14:textId="77777777" w:rsidR="004E5EBC" w:rsidRPr="00764569" w:rsidRDefault="004E5EBC" w:rsidP="004E5EBC">
      <w:pPr>
        <w:jc w:val="both"/>
        <w:rPr>
          <w:rFonts w:ascii="Calibri" w:hAnsi="Calibri"/>
        </w:rPr>
      </w:pPr>
    </w:p>
    <w:p w14:paraId="7EFC2AB7" w14:textId="2881C6C0" w:rsidR="004E5EBC" w:rsidRPr="00764569" w:rsidRDefault="004E5EBC" w:rsidP="00087097">
      <w:pPr>
        <w:pStyle w:val="ListParagraph"/>
        <w:numPr>
          <w:ilvl w:val="0"/>
          <w:numId w:val="5"/>
        </w:numPr>
        <w:spacing w:line="360" w:lineRule="auto"/>
        <w:jc w:val="both"/>
        <w:rPr>
          <w:rFonts w:ascii="Calibri" w:hAnsi="Calibri"/>
        </w:rPr>
      </w:pPr>
      <w:r w:rsidRPr="00764569">
        <w:rPr>
          <w:rFonts w:ascii="Calibri" w:hAnsi="Calibri"/>
        </w:rPr>
        <w:t xml:space="preserve">A preventive approach to addressing women’s roles </w:t>
      </w:r>
      <w:r w:rsidR="00592DA3" w:rsidRPr="00764569">
        <w:rPr>
          <w:rFonts w:ascii="Calibri" w:hAnsi="Calibri"/>
        </w:rPr>
        <w:t>throughout</w:t>
      </w:r>
      <w:r w:rsidRPr="00764569">
        <w:rPr>
          <w:rFonts w:ascii="Calibri" w:hAnsi="Calibri"/>
        </w:rPr>
        <w:t xml:space="preserve"> the </w:t>
      </w:r>
      <w:r w:rsidRPr="00764569">
        <w:rPr>
          <w:rFonts w:ascii="Calibri" w:hAnsi="Calibri"/>
          <w:b/>
          <w:color w:val="4F81BD" w:themeColor="accent1"/>
        </w:rPr>
        <w:t xml:space="preserve">conflict </w:t>
      </w:r>
      <w:r w:rsidR="006F6011" w:rsidRPr="00764569">
        <w:rPr>
          <w:rFonts w:ascii="Calibri" w:hAnsi="Calibri"/>
          <w:b/>
          <w:color w:val="4F81BD" w:themeColor="accent1"/>
        </w:rPr>
        <w:t>process</w:t>
      </w:r>
      <w:r w:rsidR="00445B87" w:rsidRPr="00764569">
        <w:rPr>
          <w:rFonts w:ascii="Calibri" w:hAnsi="Calibri"/>
        </w:rPr>
        <w:t xml:space="preserve">, which provides for </w:t>
      </w:r>
      <w:r w:rsidR="00592DA3" w:rsidRPr="00764569">
        <w:rPr>
          <w:rFonts w:ascii="Calibri" w:hAnsi="Calibri"/>
        </w:rPr>
        <w:t xml:space="preserve">transformative equality by requiring structural and systemic changes to society at all stages of </w:t>
      </w:r>
      <w:r w:rsidR="006F6011" w:rsidRPr="00764569">
        <w:rPr>
          <w:rFonts w:ascii="Calibri" w:hAnsi="Calibri"/>
        </w:rPr>
        <w:t>conflict</w:t>
      </w:r>
      <w:r w:rsidR="00592DA3" w:rsidRPr="00764569">
        <w:rPr>
          <w:rFonts w:ascii="Calibri" w:hAnsi="Calibri"/>
        </w:rPr>
        <w:t xml:space="preserve">. </w:t>
      </w:r>
      <w:r w:rsidRPr="00764569">
        <w:rPr>
          <w:rFonts w:ascii="Calibri" w:hAnsi="Calibri"/>
        </w:rPr>
        <w:t xml:space="preserve">This </w:t>
      </w:r>
      <w:r w:rsidR="006F6011" w:rsidRPr="00764569">
        <w:rPr>
          <w:rFonts w:ascii="Calibri" w:hAnsi="Calibri"/>
        </w:rPr>
        <w:t xml:space="preserve">approach </w:t>
      </w:r>
      <w:r w:rsidRPr="00764569">
        <w:rPr>
          <w:rFonts w:ascii="Calibri" w:hAnsi="Calibri"/>
        </w:rPr>
        <w:t xml:space="preserve">includes recommendations </w:t>
      </w:r>
      <w:r w:rsidR="006F6011" w:rsidRPr="00764569">
        <w:rPr>
          <w:rFonts w:ascii="Calibri" w:hAnsi="Calibri"/>
        </w:rPr>
        <w:t>on</w:t>
      </w:r>
      <w:r w:rsidR="00087097" w:rsidRPr="00764569">
        <w:rPr>
          <w:rFonts w:ascii="Calibri" w:hAnsi="Calibri"/>
        </w:rPr>
        <w:t xml:space="preserve"> </w:t>
      </w:r>
      <w:r w:rsidRPr="00764569">
        <w:rPr>
          <w:rFonts w:ascii="Calibri" w:hAnsi="Calibri"/>
        </w:rPr>
        <w:t xml:space="preserve">women’s participation in </w:t>
      </w:r>
      <w:r w:rsidRPr="00764569">
        <w:rPr>
          <w:rFonts w:ascii="Calibri" w:hAnsi="Calibri"/>
          <w:b/>
          <w:color w:val="4F81BD" w:themeColor="accent1"/>
        </w:rPr>
        <w:t>conflict prevention</w:t>
      </w:r>
      <w:r w:rsidRPr="00764569">
        <w:rPr>
          <w:rFonts w:ascii="Calibri" w:hAnsi="Calibri"/>
        </w:rPr>
        <w:t xml:space="preserve">, a comprehensive recognition of women’s rights during </w:t>
      </w:r>
      <w:r w:rsidRPr="00764569">
        <w:rPr>
          <w:rFonts w:ascii="Calibri" w:hAnsi="Calibri"/>
          <w:b/>
          <w:color w:val="4F81BD" w:themeColor="accent1"/>
        </w:rPr>
        <w:t>conflict</w:t>
      </w:r>
      <w:r w:rsidRPr="00764569">
        <w:rPr>
          <w:rFonts w:ascii="Calibri" w:hAnsi="Calibri"/>
        </w:rPr>
        <w:t xml:space="preserve">, and substantive recommendations on </w:t>
      </w:r>
      <w:r w:rsidRPr="00764569">
        <w:rPr>
          <w:rFonts w:ascii="Calibri" w:hAnsi="Calibri"/>
          <w:b/>
          <w:color w:val="4F81BD" w:themeColor="accent1"/>
        </w:rPr>
        <w:t>women’s substantive participation in conflict resolution, post-conflict and transitional justice</w:t>
      </w:r>
      <w:r w:rsidRPr="00764569">
        <w:rPr>
          <w:rFonts w:ascii="Calibri" w:hAnsi="Calibri"/>
        </w:rPr>
        <w:t xml:space="preserve"> settings. CEDAW obligations apply throughout the conflict </w:t>
      </w:r>
      <w:r w:rsidR="006F6011" w:rsidRPr="00764569">
        <w:rPr>
          <w:rFonts w:ascii="Calibri" w:hAnsi="Calibri"/>
        </w:rPr>
        <w:t>process</w:t>
      </w:r>
      <w:r w:rsidRPr="00764569">
        <w:rPr>
          <w:rFonts w:ascii="Calibri" w:hAnsi="Calibri"/>
        </w:rPr>
        <w:t>, from donor assistance in conflict prevention and humanitarian aid, to involvement in peace processes as third parties, to trade agreements negotiated in post-conflict contexts.</w:t>
      </w:r>
      <w:r w:rsidRPr="00764569">
        <w:rPr>
          <w:rStyle w:val="FootnoteReference"/>
          <w:rFonts w:ascii="Calibri" w:hAnsi="Calibri"/>
        </w:rPr>
        <w:t xml:space="preserve"> </w:t>
      </w:r>
      <w:r w:rsidR="003976F2" w:rsidRPr="00764569">
        <w:rPr>
          <w:rFonts w:ascii="Calibri" w:hAnsi="Calibri"/>
        </w:rPr>
        <w:t>The GR</w:t>
      </w:r>
      <w:r w:rsidR="006F6011" w:rsidRPr="00764569">
        <w:rPr>
          <w:rFonts w:ascii="Calibri" w:hAnsi="Calibri"/>
        </w:rPr>
        <w:t xml:space="preserve"> </w:t>
      </w:r>
      <w:r w:rsidR="003976F2" w:rsidRPr="00764569">
        <w:rPr>
          <w:rFonts w:ascii="Calibri" w:hAnsi="Calibri"/>
        </w:rPr>
        <w:t xml:space="preserve">even recognises the </w:t>
      </w:r>
      <w:r w:rsidR="007125C2" w:rsidRPr="00764569">
        <w:rPr>
          <w:rFonts w:ascii="Calibri" w:hAnsi="Calibri"/>
        </w:rPr>
        <w:t xml:space="preserve">displacement cycle, </w:t>
      </w:r>
      <w:r w:rsidR="006F6011" w:rsidRPr="00764569">
        <w:rPr>
          <w:rFonts w:ascii="Calibri" w:hAnsi="Calibri"/>
        </w:rPr>
        <w:t>affirming</w:t>
      </w:r>
      <w:r w:rsidR="007125C2" w:rsidRPr="00764569">
        <w:rPr>
          <w:rFonts w:ascii="Calibri" w:hAnsi="Calibri"/>
        </w:rPr>
        <w:t xml:space="preserve"> the </w:t>
      </w:r>
      <w:r w:rsidR="00A6205A" w:rsidRPr="00764569">
        <w:rPr>
          <w:rFonts w:ascii="Calibri" w:hAnsi="Calibri"/>
        </w:rPr>
        <w:t xml:space="preserve">needs of </w:t>
      </w:r>
      <w:r w:rsidR="007125C2" w:rsidRPr="00764569">
        <w:rPr>
          <w:rFonts w:ascii="Calibri" w:hAnsi="Calibri"/>
        </w:rPr>
        <w:t xml:space="preserve">refugee, IDP and stateless women </w:t>
      </w:r>
      <w:r w:rsidR="006F6011" w:rsidRPr="00764569">
        <w:rPr>
          <w:rFonts w:ascii="Calibri" w:hAnsi="Calibri"/>
        </w:rPr>
        <w:t>at all stages of conflict</w:t>
      </w:r>
      <w:r w:rsidR="003976F2" w:rsidRPr="00764569">
        <w:rPr>
          <w:rFonts w:ascii="Calibri" w:hAnsi="Calibri"/>
        </w:rPr>
        <w:t>.</w:t>
      </w:r>
      <w:r w:rsidR="002E4178" w:rsidRPr="00764569">
        <w:rPr>
          <w:rStyle w:val="FootnoteReference"/>
          <w:rFonts w:ascii="Calibri" w:hAnsi="Calibri"/>
        </w:rPr>
        <w:footnoteReference w:id="80"/>
      </w:r>
    </w:p>
    <w:p w14:paraId="2AFFB641" w14:textId="77777777" w:rsidR="004E5EBC" w:rsidRPr="00764569" w:rsidRDefault="004E5EBC" w:rsidP="004E5EBC">
      <w:pPr>
        <w:jc w:val="both"/>
        <w:rPr>
          <w:rFonts w:ascii="Calibri" w:hAnsi="Calibri"/>
        </w:rPr>
      </w:pPr>
    </w:p>
    <w:p w14:paraId="1DE4AE3C" w14:textId="5BEC9C8C" w:rsidR="004E5EBC" w:rsidRPr="00764569" w:rsidRDefault="006A5CC8" w:rsidP="00087097">
      <w:pPr>
        <w:pStyle w:val="ListParagraph"/>
        <w:numPr>
          <w:ilvl w:val="0"/>
          <w:numId w:val="5"/>
        </w:numPr>
        <w:spacing w:line="360" w:lineRule="auto"/>
        <w:jc w:val="both"/>
        <w:rPr>
          <w:rFonts w:ascii="Calibri" w:hAnsi="Calibri"/>
        </w:rPr>
      </w:pPr>
      <w:r w:rsidRPr="00764569">
        <w:rPr>
          <w:rFonts w:ascii="Calibri" w:hAnsi="Calibri"/>
        </w:rPr>
        <w:lastRenderedPageBreak/>
        <w:t xml:space="preserve">The </w:t>
      </w:r>
      <w:r w:rsidR="00985EAF" w:rsidRPr="00764569">
        <w:rPr>
          <w:rFonts w:ascii="Calibri" w:hAnsi="Calibri"/>
        </w:rPr>
        <w:t xml:space="preserve">intersectional </w:t>
      </w:r>
      <w:r w:rsidRPr="00764569">
        <w:rPr>
          <w:rFonts w:ascii="Calibri" w:hAnsi="Calibri"/>
        </w:rPr>
        <w:t>perspective</w:t>
      </w:r>
      <w:r w:rsidR="00985EAF" w:rsidRPr="00764569">
        <w:rPr>
          <w:rFonts w:ascii="Calibri" w:hAnsi="Calibri"/>
        </w:rPr>
        <w:t xml:space="preserve"> of </w:t>
      </w:r>
      <w:r w:rsidRPr="00764569">
        <w:rPr>
          <w:rFonts w:ascii="Calibri" w:hAnsi="Calibri"/>
        </w:rPr>
        <w:t>the rights of women and girls</w:t>
      </w:r>
      <w:r w:rsidR="006F6011" w:rsidRPr="00764569">
        <w:rPr>
          <w:rFonts w:ascii="Calibri" w:hAnsi="Calibri"/>
        </w:rPr>
        <w:t>, which</w:t>
      </w:r>
      <w:r w:rsidRPr="00764569">
        <w:rPr>
          <w:rFonts w:ascii="Calibri" w:hAnsi="Calibri"/>
        </w:rPr>
        <w:t xml:space="preserve"> </w:t>
      </w:r>
      <w:r w:rsidR="00985EAF" w:rsidRPr="00764569">
        <w:rPr>
          <w:rFonts w:ascii="Calibri" w:hAnsi="Calibri"/>
        </w:rPr>
        <w:t xml:space="preserve">follows </w:t>
      </w:r>
      <w:r w:rsidR="006F6011" w:rsidRPr="00764569">
        <w:rPr>
          <w:rFonts w:ascii="Calibri" w:hAnsi="Calibri"/>
        </w:rPr>
        <w:t>a transformative equality model</w:t>
      </w:r>
      <w:r w:rsidR="00985EAF" w:rsidRPr="00764569">
        <w:rPr>
          <w:rFonts w:ascii="Calibri" w:hAnsi="Calibri"/>
        </w:rPr>
        <w:t xml:space="preserve"> by addressing the multiple discriminations faced by women and girls. </w:t>
      </w:r>
      <w:r w:rsidR="004E5EBC" w:rsidRPr="00764569">
        <w:rPr>
          <w:rFonts w:ascii="Calibri" w:hAnsi="Calibri"/>
        </w:rPr>
        <w:t xml:space="preserve">The </w:t>
      </w:r>
      <w:r w:rsidRPr="00764569">
        <w:rPr>
          <w:rFonts w:ascii="Calibri" w:hAnsi="Calibri"/>
        </w:rPr>
        <w:t>Committee recognizes</w:t>
      </w:r>
      <w:r w:rsidR="004E5EBC" w:rsidRPr="00764569">
        <w:rPr>
          <w:rFonts w:ascii="Calibri" w:hAnsi="Calibri"/>
        </w:rPr>
        <w:t xml:space="preserve"> the rights</w:t>
      </w:r>
      <w:r w:rsidR="003976F2" w:rsidRPr="00764569">
        <w:rPr>
          <w:rFonts w:ascii="Calibri" w:hAnsi="Calibri"/>
        </w:rPr>
        <w:t xml:space="preserve"> of women displaced by conflict </w:t>
      </w:r>
      <w:r w:rsidR="004E5EBC" w:rsidRPr="00764569">
        <w:rPr>
          <w:rFonts w:ascii="Calibri" w:hAnsi="Calibri"/>
        </w:rPr>
        <w:t xml:space="preserve">including </w:t>
      </w:r>
      <w:r w:rsidR="004E5EBC" w:rsidRPr="00764569">
        <w:rPr>
          <w:rFonts w:ascii="Calibri" w:hAnsi="Calibri"/>
          <w:b/>
          <w:color w:val="4F81BD" w:themeColor="accent1"/>
        </w:rPr>
        <w:t>refugees, asylum seekers, internally displaced persons (IDPs) stateless persons,</w:t>
      </w:r>
      <w:r w:rsidR="004E5EBC" w:rsidRPr="00764569">
        <w:rPr>
          <w:rStyle w:val="FootnoteReference"/>
          <w:rFonts w:ascii="Calibri" w:hAnsi="Calibri"/>
          <w:color w:val="4F81BD" w:themeColor="accent1"/>
        </w:rPr>
        <w:footnoteReference w:id="81"/>
      </w:r>
      <w:r w:rsidR="004E5EBC" w:rsidRPr="00764569">
        <w:rPr>
          <w:rFonts w:ascii="Calibri" w:hAnsi="Calibri"/>
          <w:color w:val="4F81BD" w:themeColor="accent1"/>
        </w:rPr>
        <w:t xml:space="preserve"> </w:t>
      </w:r>
      <w:r w:rsidR="004E5EBC" w:rsidRPr="00764569">
        <w:rPr>
          <w:rFonts w:ascii="Calibri" w:hAnsi="Calibri"/>
          <w:b/>
          <w:color w:val="4F81BD" w:themeColor="accent1"/>
        </w:rPr>
        <w:t>and trafficked persons</w:t>
      </w:r>
      <w:r w:rsidR="00D355B8" w:rsidRPr="00764569">
        <w:rPr>
          <w:rFonts w:ascii="Calibri" w:hAnsi="Calibri"/>
        </w:rPr>
        <w:t xml:space="preserve">, including </w:t>
      </w:r>
      <w:r w:rsidR="00985EAF" w:rsidRPr="00764569">
        <w:rPr>
          <w:rFonts w:ascii="Calibri" w:hAnsi="Calibri"/>
        </w:rPr>
        <w:t>the right to be free</w:t>
      </w:r>
      <w:r w:rsidR="00D355B8" w:rsidRPr="00764569">
        <w:rPr>
          <w:rFonts w:ascii="Calibri" w:hAnsi="Calibri"/>
        </w:rPr>
        <w:t xml:space="preserve"> from GBV</w:t>
      </w:r>
      <w:r w:rsidR="002E4178" w:rsidRPr="00764569">
        <w:rPr>
          <w:rFonts w:ascii="Calibri" w:hAnsi="Calibri"/>
        </w:rPr>
        <w:t>.</w:t>
      </w:r>
      <w:r w:rsidR="004E5EBC" w:rsidRPr="00764569">
        <w:rPr>
          <w:rStyle w:val="FootnoteReference"/>
          <w:rFonts w:ascii="Calibri" w:hAnsi="Calibri"/>
        </w:rPr>
        <w:footnoteReference w:id="82"/>
      </w:r>
      <w:r w:rsidR="004E5EBC" w:rsidRPr="00764569">
        <w:rPr>
          <w:rFonts w:ascii="Calibri" w:hAnsi="Calibri"/>
        </w:rPr>
        <w:t xml:space="preserve"> Refugee, asylum seeker and IDP women are safeguarded in particular from forced and child marriage. The GR recognises intersectional </w:t>
      </w:r>
      <w:r w:rsidR="00A6205A" w:rsidRPr="00764569">
        <w:rPr>
          <w:rFonts w:ascii="Calibri" w:hAnsi="Calibri"/>
        </w:rPr>
        <w:t>identities of</w:t>
      </w:r>
      <w:r w:rsidR="004E5EBC" w:rsidRPr="00764569">
        <w:rPr>
          <w:rFonts w:ascii="Calibri" w:hAnsi="Calibri"/>
        </w:rPr>
        <w:t xml:space="preserve"> </w:t>
      </w:r>
      <w:r w:rsidR="003976F2" w:rsidRPr="00764569">
        <w:rPr>
          <w:rFonts w:ascii="Calibri" w:hAnsi="Calibri"/>
        </w:rPr>
        <w:t>r</w:t>
      </w:r>
      <w:r w:rsidR="004E5EBC" w:rsidRPr="00764569">
        <w:rPr>
          <w:rFonts w:ascii="Calibri" w:hAnsi="Calibri"/>
        </w:rPr>
        <w:t>efugee, asylum seeker and IDP women. These include: women with disabilities, older women, girls, widows, women who head households, pregnant women, women living with HIV/AIDS, rural women, indigenous women, women belonging to ethnic, national, sexual or religious minorities, and women human rights defenders.</w:t>
      </w:r>
      <w:r w:rsidR="004E5EBC" w:rsidRPr="00764569">
        <w:rPr>
          <w:rStyle w:val="FootnoteReference"/>
          <w:rFonts w:ascii="Calibri" w:hAnsi="Calibri"/>
        </w:rPr>
        <w:t xml:space="preserve"> </w:t>
      </w:r>
      <w:r w:rsidR="004E5EBC" w:rsidRPr="00764569">
        <w:rPr>
          <w:rStyle w:val="FootnoteReference"/>
          <w:rFonts w:ascii="Calibri" w:hAnsi="Calibri"/>
        </w:rPr>
        <w:footnoteReference w:id="83"/>
      </w:r>
      <w:r w:rsidR="004E5EBC" w:rsidRPr="00764569">
        <w:rPr>
          <w:rFonts w:ascii="Calibri" w:hAnsi="Calibri"/>
        </w:rPr>
        <w:t xml:space="preserve"> </w:t>
      </w:r>
    </w:p>
    <w:p w14:paraId="582DE810" w14:textId="77777777" w:rsidR="006A5CC8" w:rsidRPr="00764569" w:rsidRDefault="006A5CC8" w:rsidP="006A5CC8">
      <w:pPr>
        <w:jc w:val="both"/>
        <w:rPr>
          <w:rFonts w:ascii="Calibri" w:hAnsi="Calibri"/>
        </w:rPr>
      </w:pPr>
    </w:p>
    <w:p w14:paraId="45D0C600" w14:textId="77777777" w:rsidR="00621585" w:rsidRPr="00764569" w:rsidRDefault="004E5EBC" w:rsidP="00087097">
      <w:pPr>
        <w:pStyle w:val="ListParagraph"/>
        <w:numPr>
          <w:ilvl w:val="0"/>
          <w:numId w:val="5"/>
        </w:numPr>
        <w:spacing w:line="360" w:lineRule="auto"/>
        <w:jc w:val="both"/>
        <w:rPr>
          <w:rFonts w:ascii="Calibri" w:hAnsi="Calibri"/>
        </w:rPr>
      </w:pPr>
      <w:r w:rsidRPr="00764569">
        <w:rPr>
          <w:rFonts w:ascii="Calibri" w:hAnsi="Calibri"/>
        </w:rPr>
        <w:t xml:space="preserve">Recommendations on </w:t>
      </w:r>
      <w:r w:rsidR="001751B5" w:rsidRPr="00764569">
        <w:rPr>
          <w:rFonts w:ascii="Calibri" w:hAnsi="Calibri"/>
          <w:b/>
          <w:color w:val="4F81BD" w:themeColor="accent1"/>
        </w:rPr>
        <w:t xml:space="preserve">sexual and reproductive health </w:t>
      </w:r>
      <w:r w:rsidRPr="00764569">
        <w:rPr>
          <w:rFonts w:ascii="Calibri" w:hAnsi="Calibri"/>
          <w:b/>
          <w:color w:val="4F81BD" w:themeColor="accent1"/>
        </w:rPr>
        <w:t>including access to abortion</w:t>
      </w:r>
      <w:r w:rsidR="0017720C" w:rsidRPr="00764569">
        <w:rPr>
          <w:rFonts w:ascii="Calibri" w:hAnsi="Calibri"/>
        </w:rPr>
        <w:t xml:space="preserve"> that provide for transformative equa</w:t>
      </w:r>
      <w:r w:rsidR="002F5EDA" w:rsidRPr="00764569">
        <w:rPr>
          <w:rFonts w:ascii="Calibri" w:hAnsi="Calibri"/>
        </w:rPr>
        <w:t>lity</w:t>
      </w:r>
      <w:r w:rsidR="0017720C" w:rsidRPr="00764569">
        <w:rPr>
          <w:rFonts w:ascii="Calibri" w:hAnsi="Calibri"/>
        </w:rPr>
        <w:t>.</w:t>
      </w:r>
      <w:r w:rsidRPr="00764569">
        <w:rPr>
          <w:rFonts w:ascii="Calibri" w:hAnsi="Calibri"/>
        </w:rPr>
        <w:t xml:space="preserve"> The CEDAW Committee explicitly asks states to provide safe abortion services and post-abortion care as part of their obligation</w:t>
      </w:r>
      <w:r w:rsidR="00B22C5F" w:rsidRPr="00764569">
        <w:rPr>
          <w:rFonts w:ascii="Calibri" w:hAnsi="Calibri"/>
        </w:rPr>
        <w:t>s</w:t>
      </w:r>
      <w:r w:rsidRPr="00764569">
        <w:rPr>
          <w:rFonts w:ascii="Calibri" w:hAnsi="Calibri"/>
        </w:rPr>
        <w:t xml:space="preserve"> to provide </w:t>
      </w:r>
      <w:r w:rsidR="00B22C5F" w:rsidRPr="00764569">
        <w:rPr>
          <w:rFonts w:ascii="Calibri" w:hAnsi="Calibri"/>
        </w:rPr>
        <w:t xml:space="preserve">sexual and reproductive health </w:t>
      </w:r>
      <w:r w:rsidRPr="00764569">
        <w:rPr>
          <w:rFonts w:ascii="Calibri" w:hAnsi="Calibri"/>
        </w:rPr>
        <w:t xml:space="preserve">care, </w:t>
      </w:r>
      <w:r w:rsidR="006F6011" w:rsidRPr="00764569">
        <w:rPr>
          <w:rFonts w:ascii="Calibri" w:hAnsi="Calibri"/>
        </w:rPr>
        <w:t xml:space="preserve">going </w:t>
      </w:r>
      <w:r w:rsidR="00592DA3" w:rsidRPr="00764569">
        <w:rPr>
          <w:rFonts w:ascii="Calibri" w:hAnsi="Calibri"/>
        </w:rPr>
        <w:t>beyond</w:t>
      </w:r>
      <w:r w:rsidRPr="00764569">
        <w:rPr>
          <w:rFonts w:ascii="Calibri" w:hAnsi="Calibri"/>
        </w:rPr>
        <w:t xml:space="preserve"> SCR 2122 which only </w:t>
      </w:r>
      <w:r w:rsidR="00FA5BF7" w:rsidRPr="00764569">
        <w:rPr>
          <w:rFonts w:ascii="Calibri" w:hAnsi="Calibri"/>
        </w:rPr>
        <w:t>upholds the</w:t>
      </w:r>
      <w:r w:rsidRPr="00764569">
        <w:rPr>
          <w:rFonts w:ascii="Calibri" w:hAnsi="Calibri"/>
        </w:rPr>
        <w:t xml:space="preserve"> provision of </w:t>
      </w:r>
      <w:r w:rsidR="00FA5BF7" w:rsidRPr="00764569">
        <w:rPr>
          <w:rFonts w:ascii="Calibri" w:hAnsi="Calibri"/>
        </w:rPr>
        <w:t>the full range of sexual and reproductive health</w:t>
      </w:r>
      <w:r w:rsidRPr="00764569">
        <w:rPr>
          <w:rFonts w:ascii="Calibri" w:hAnsi="Calibri"/>
        </w:rPr>
        <w:t xml:space="preserve"> services for pregnancies resulting from rape in </w:t>
      </w:r>
      <w:r w:rsidR="00C30715" w:rsidRPr="00764569">
        <w:rPr>
          <w:rFonts w:ascii="Calibri" w:hAnsi="Calibri"/>
        </w:rPr>
        <w:t>conflict situations</w:t>
      </w:r>
      <w:r w:rsidR="00FA5BF7" w:rsidRPr="00764569">
        <w:rPr>
          <w:rFonts w:ascii="Calibri" w:hAnsi="Calibri"/>
        </w:rPr>
        <w:t>,</w:t>
      </w:r>
      <w:r w:rsidR="006F6011" w:rsidRPr="00764569">
        <w:rPr>
          <w:rFonts w:ascii="Calibri" w:hAnsi="Calibri"/>
        </w:rPr>
        <w:t xml:space="preserve"> and never mentions the word “abortion” itself</w:t>
      </w:r>
      <w:r w:rsidRPr="00764569">
        <w:rPr>
          <w:rFonts w:ascii="Calibri" w:hAnsi="Calibri"/>
        </w:rPr>
        <w:t xml:space="preserve">. The </w:t>
      </w:r>
      <w:r w:rsidR="00FA5BF7" w:rsidRPr="00764569">
        <w:rPr>
          <w:rFonts w:ascii="Calibri" w:hAnsi="Calibri"/>
        </w:rPr>
        <w:t xml:space="preserve">CEDAW </w:t>
      </w:r>
      <w:r w:rsidRPr="00764569">
        <w:rPr>
          <w:rFonts w:ascii="Calibri" w:hAnsi="Calibri"/>
        </w:rPr>
        <w:t>GR No. 30, building on</w:t>
      </w:r>
      <w:r w:rsidR="00FA5BF7" w:rsidRPr="00764569">
        <w:rPr>
          <w:rFonts w:ascii="Calibri" w:hAnsi="Calibri"/>
        </w:rPr>
        <w:t xml:space="preserve"> the comprehensive</w:t>
      </w:r>
      <w:r w:rsidRPr="00764569">
        <w:rPr>
          <w:rFonts w:ascii="Calibri" w:hAnsi="Calibri"/>
        </w:rPr>
        <w:t xml:space="preserve"> recommendations </w:t>
      </w:r>
      <w:r w:rsidR="001D6B5B" w:rsidRPr="00764569">
        <w:rPr>
          <w:rFonts w:ascii="Calibri" w:hAnsi="Calibri"/>
        </w:rPr>
        <w:t>on</w:t>
      </w:r>
      <w:r w:rsidRPr="00764569">
        <w:rPr>
          <w:rFonts w:ascii="Calibri" w:hAnsi="Calibri"/>
        </w:rPr>
        <w:t xml:space="preserve"> sexual and reproductive health services in preceding GRs including </w:t>
      </w:r>
      <w:r w:rsidR="00C30715" w:rsidRPr="00764569">
        <w:rPr>
          <w:rFonts w:ascii="Calibri" w:hAnsi="Calibri"/>
        </w:rPr>
        <w:t xml:space="preserve">the CEDAW </w:t>
      </w:r>
      <w:r w:rsidRPr="00764569">
        <w:rPr>
          <w:rFonts w:ascii="Calibri" w:hAnsi="Calibri"/>
        </w:rPr>
        <w:t>GR no. 26 on women migrant workers, recommend</w:t>
      </w:r>
      <w:r w:rsidR="00592DA3" w:rsidRPr="00764569">
        <w:rPr>
          <w:rFonts w:ascii="Calibri" w:hAnsi="Calibri"/>
        </w:rPr>
        <w:t>s</w:t>
      </w:r>
      <w:r w:rsidR="00CD274C" w:rsidRPr="00764569">
        <w:rPr>
          <w:rFonts w:ascii="Calibri" w:hAnsi="Calibri"/>
        </w:rPr>
        <w:t xml:space="preserve"> </w:t>
      </w:r>
      <w:r w:rsidRPr="00764569">
        <w:rPr>
          <w:rFonts w:ascii="Calibri" w:hAnsi="Calibri"/>
        </w:rPr>
        <w:t xml:space="preserve">access to a </w:t>
      </w:r>
      <w:r w:rsidR="00FA5BF7" w:rsidRPr="00764569">
        <w:rPr>
          <w:rFonts w:ascii="Calibri" w:hAnsi="Calibri"/>
        </w:rPr>
        <w:t xml:space="preserve">holistic </w:t>
      </w:r>
      <w:r w:rsidRPr="00764569">
        <w:rPr>
          <w:rFonts w:ascii="Calibri" w:hAnsi="Calibri"/>
        </w:rPr>
        <w:t xml:space="preserve">range of healthcare </w:t>
      </w:r>
      <w:r w:rsidR="001D6B5B" w:rsidRPr="00764569">
        <w:rPr>
          <w:rFonts w:ascii="Calibri" w:hAnsi="Calibri"/>
        </w:rPr>
        <w:t>measures</w:t>
      </w:r>
      <w:r w:rsidRPr="00764569">
        <w:rPr>
          <w:rFonts w:ascii="Calibri" w:hAnsi="Calibri"/>
        </w:rPr>
        <w:t xml:space="preserve"> including psychosocial support and maternal and obstetric services. It specifies issues </w:t>
      </w:r>
      <w:r w:rsidR="001D6B5B" w:rsidRPr="00764569">
        <w:rPr>
          <w:rFonts w:ascii="Calibri" w:hAnsi="Calibri"/>
        </w:rPr>
        <w:t>relevant</w:t>
      </w:r>
      <w:r w:rsidRPr="00764569">
        <w:rPr>
          <w:rFonts w:ascii="Calibri" w:hAnsi="Calibri"/>
        </w:rPr>
        <w:t xml:space="preserve"> to conflict </w:t>
      </w:r>
      <w:r w:rsidR="001D6B5B" w:rsidRPr="00764569">
        <w:rPr>
          <w:rFonts w:ascii="Calibri" w:hAnsi="Calibri"/>
        </w:rPr>
        <w:t>situations</w:t>
      </w:r>
      <w:r w:rsidRPr="00764569">
        <w:rPr>
          <w:rFonts w:ascii="Calibri" w:hAnsi="Calibri"/>
        </w:rPr>
        <w:t>: preventing and treating HIV/AID</w:t>
      </w:r>
      <w:r w:rsidR="001D6B5B" w:rsidRPr="00764569">
        <w:rPr>
          <w:rFonts w:ascii="Calibri" w:hAnsi="Calibri"/>
        </w:rPr>
        <w:t xml:space="preserve">S and recognizing that HIV/AIDS can be transmitted via rape as a weapon of war. </w:t>
      </w:r>
      <w:r w:rsidRPr="00764569">
        <w:rPr>
          <w:rStyle w:val="FootnoteReference"/>
          <w:rFonts w:ascii="Calibri" w:hAnsi="Calibri"/>
        </w:rPr>
        <w:footnoteReference w:id="84"/>
      </w:r>
      <w:r w:rsidRPr="00764569">
        <w:rPr>
          <w:rFonts w:ascii="Calibri" w:hAnsi="Calibri"/>
        </w:rPr>
        <w:t xml:space="preserve"> </w:t>
      </w:r>
      <w:r w:rsidR="001D6B5B" w:rsidRPr="00764569">
        <w:rPr>
          <w:rFonts w:ascii="Calibri" w:hAnsi="Calibri"/>
        </w:rPr>
        <w:t>It also recommends treating</w:t>
      </w:r>
      <w:r w:rsidRPr="00764569">
        <w:rPr>
          <w:rFonts w:ascii="Calibri" w:hAnsi="Calibri"/>
        </w:rPr>
        <w:t xml:space="preserve"> sexually transmitted illnesses, and injuries resulting from GBV including fistula.</w:t>
      </w:r>
      <w:r w:rsidR="00A85AED" w:rsidRPr="00764569">
        <w:rPr>
          <w:rFonts w:ascii="Calibri" w:hAnsi="Calibri"/>
        </w:rPr>
        <w:t xml:space="preserve"> </w:t>
      </w:r>
    </w:p>
    <w:p w14:paraId="019DB202" w14:textId="77777777" w:rsidR="00621585" w:rsidRPr="00764569" w:rsidRDefault="00621585" w:rsidP="00621585">
      <w:pPr>
        <w:pStyle w:val="ListParagraph"/>
        <w:jc w:val="both"/>
        <w:rPr>
          <w:rFonts w:ascii="Calibri" w:hAnsi="Calibri"/>
        </w:rPr>
      </w:pPr>
    </w:p>
    <w:p w14:paraId="68FD017F" w14:textId="646F8458" w:rsidR="004E5EBC" w:rsidRPr="00764569" w:rsidRDefault="0017720C" w:rsidP="00087097">
      <w:pPr>
        <w:pStyle w:val="ListParagraph"/>
        <w:spacing w:line="360" w:lineRule="auto"/>
        <w:jc w:val="both"/>
        <w:rPr>
          <w:rFonts w:ascii="Calibri" w:hAnsi="Calibri"/>
        </w:rPr>
      </w:pPr>
      <w:r w:rsidRPr="00764569">
        <w:rPr>
          <w:rFonts w:ascii="Calibri" w:hAnsi="Calibri"/>
        </w:rPr>
        <w:t>Several provisions add to states’ obligations to address GBV in SCR 1325 and related</w:t>
      </w:r>
      <w:r w:rsidR="005C41BB" w:rsidRPr="00764569">
        <w:rPr>
          <w:rFonts w:ascii="Calibri" w:hAnsi="Calibri"/>
        </w:rPr>
        <w:t xml:space="preserve"> resolutions, including the duties to:</w:t>
      </w:r>
      <w:r w:rsidRPr="00764569">
        <w:rPr>
          <w:rFonts w:ascii="Calibri" w:hAnsi="Calibri"/>
        </w:rPr>
        <w:t xml:space="preserve"> ensure women’s access to justice by adopting gender-sensitive investigation procedures to address SGBV; build the capacity of the judiciary including in transitional justice contexts; allocate adequate resources and adopting effective measures to </w:t>
      </w:r>
      <w:r w:rsidR="005C41BB" w:rsidRPr="00764569">
        <w:rPr>
          <w:rFonts w:ascii="Calibri" w:hAnsi="Calibri"/>
        </w:rPr>
        <w:t>ensure</w:t>
      </w:r>
      <w:r w:rsidRPr="00764569">
        <w:rPr>
          <w:rFonts w:ascii="Calibri" w:hAnsi="Calibri"/>
        </w:rPr>
        <w:t xml:space="preserve"> that victims of GBV especially SGBV can access comprehensive medical treatment, medical health care and psychosocial support;  and develop and disseminate standard operating procedures and referral pathways to link security actor</w:t>
      </w:r>
      <w:r w:rsidR="00621585" w:rsidRPr="00764569">
        <w:rPr>
          <w:rFonts w:ascii="Calibri" w:hAnsi="Calibri"/>
        </w:rPr>
        <w:t>s with service providers on GBV</w:t>
      </w:r>
      <w:r w:rsidRPr="00764569">
        <w:rPr>
          <w:rFonts w:ascii="Calibri" w:hAnsi="Calibri"/>
        </w:rPr>
        <w:t xml:space="preserve"> </w:t>
      </w:r>
      <w:r w:rsidR="00621585" w:rsidRPr="00764569">
        <w:rPr>
          <w:rFonts w:ascii="Calibri" w:hAnsi="Calibri"/>
        </w:rPr>
        <w:t>(</w:t>
      </w:r>
      <w:r w:rsidRPr="00764569">
        <w:rPr>
          <w:rFonts w:ascii="Calibri" w:hAnsi="Calibri"/>
        </w:rPr>
        <w:t xml:space="preserve">including one-stop shops with </w:t>
      </w:r>
      <w:r w:rsidRPr="00764569">
        <w:rPr>
          <w:rFonts w:ascii="Calibri" w:hAnsi="Calibri"/>
        </w:rPr>
        <w:lastRenderedPageBreak/>
        <w:t>medical, legal and psychosocial services for survivors, multipurpose community centres linking immediate assistance to economic and social empowerment and reintegration, and mobile clinics</w:t>
      </w:r>
      <w:r w:rsidR="00621585" w:rsidRPr="00764569">
        <w:rPr>
          <w:rFonts w:ascii="Calibri" w:hAnsi="Calibri"/>
        </w:rPr>
        <w:t>)</w:t>
      </w:r>
      <w:r w:rsidRPr="00764569">
        <w:rPr>
          <w:rFonts w:ascii="Calibri" w:hAnsi="Calibri"/>
        </w:rPr>
        <w:t>.</w:t>
      </w:r>
      <w:r w:rsidR="00C30715" w:rsidRPr="00764569">
        <w:rPr>
          <w:rStyle w:val="FootnoteReference"/>
          <w:rFonts w:ascii="Calibri" w:hAnsi="Calibri"/>
        </w:rPr>
        <w:footnoteReference w:id="85"/>
      </w:r>
    </w:p>
    <w:p w14:paraId="1941855E" w14:textId="77777777" w:rsidR="00A85AED" w:rsidRPr="00764569" w:rsidRDefault="00A85AED" w:rsidP="004E5EBC">
      <w:pPr>
        <w:jc w:val="both"/>
        <w:rPr>
          <w:rFonts w:ascii="Calibri" w:hAnsi="Calibri"/>
        </w:rPr>
      </w:pPr>
    </w:p>
    <w:p w14:paraId="19C2B465" w14:textId="77777777" w:rsidR="00621585" w:rsidRPr="00764569" w:rsidRDefault="004E5EBC" w:rsidP="00087097">
      <w:pPr>
        <w:pStyle w:val="ListParagraph"/>
        <w:numPr>
          <w:ilvl w:val="0"/>
          <w:numId w:val="5"/>
        </w:numPr>
        <w:spacing w:line="360" w:lineRule="auto"/>
        <w:jc w:val="both"/>
        <w:rPr>
          <w:rFonts w:ascii="Calibri" w:hAnsi="Calibri"/>
        </w:rPr>
      </w:pPr>
      <w:r w:rsidRPr="00764569">
        <w:rPr>
          <w:rFonts w:ascii="Calibri" w:hAnsi="Calibri"/>
          <w:b/>
          <w:color w:val="4F81BD" w:themeColor="accent1"/>
        </w:rPr>
        <w:t>Access to justice</w:t>
      </w:r>
      <w:r w:rsidRPr="00764569">
        <w:rPr>
          <w:rFonts w:ascii="Calibri" w:hAnsi="Calibri"/>
        </w:rPr>
        <w:t xml:space="preserve"> </w:t>
      </w:r>
      <w:r w:rsidR="00621585" w:rsidRPr="00764569">
        <w:rPr>
          <w:rFonts w:ascii="Calibri" w:hAnsi="Calibri"/>
        </w:rPr>
        <w:t xml:space="preserve">provisions </w:t>
      </w:r>
      <w:r w:rsidR="009A257C" w:rsidRPr="00764569">
        <w:rPr>
          <w:rFonts w:ascii="Calibri" w:hAnsi="Calibri"/>
        </w:rPr>
        <w:t>that include</w:t>
      </w:r>
      <w:r w:rsidRPr="00764569">
        <w:rPr>
          <w:rFonts w:ascii="Calibri" w:hAnsi="Calibri"/>
        </w:rPr>
        <w:t xml:space="preserve"> </w:t>
      </w:r>
      <w:r w:rsidR="0017720C" w:rsidRPr="00764569">
        <w:rPr>
          <w:rFonts w:ascii="Calibri" w:hAnsi="Calibri"/>
          <w:b/>
          <w:color w:val="4F81BD" w:themeColor="accent1"/>
        </w:rPr>
        <w:t>transformative</w:t>
      </w:r>
      <w:r w:rsidRPr="00764569">
        <w:rPr>
          <w:rFonts w:ascii="Calibri" w:hAnsi="Calibri"/>
          <w:b/>
          <w:color w:val="4F81BD" w:themeColor="accent1"/>
        </w:rPr>
        <w:t xml:space="preserve"> reparations</w:t>
      </w:r>
      <w:r w:rsidRPr="00764569">
        <w:rPr>
          <w:rFonts w:ascii="Calibri" w:hAnsi="Calibri"/>
        </w:rPr>
        <w:t xml:space="preserve">. </w:t>
      </w:r>
      <w:r w:rsidR="0017720C" w:rsidRPr="00764569">
        <w:rPr>
          <w:rFonts w:ascii="Calibri" w:hAnsi="Calibri"/>
        </w:rPr>
        <w:t xml:space="preserve">The </w:t>
      </w:r>
      <w:r w:rsidR="009A257C" w:rsidRPr="00764569">
        <w:rPr>
          <w:rFonts w:ascii="Calibri" w:hAnsi="Calibri"/>
        </w:rPr>
        <w:t>GR</w:t>
      </w:r>
      <w:r w:rsidR="0017720C" w:rsidRPr="00764569">
        <w:rPr>
          <w:rFonts w:ascii="Calibri" w:hAnsi="Calibri"/>
        </w:rPr>
        <w:t xml:space="preserve"> </w:t>
      </w:r>
      <w:r w:rsidR="009A257C" w:rsidRPr="00764569">
        <w:rPr>
          <w:rFonts w:ascii="Calibri" w:hAnsi="Calibri"/>
        </w:rPr>
        <w:t>recommends that states enforce comprehensive</w:t>
      </w:r>
      <w:r w:rsidR="0017720C" w:rsidRPr="00764569">
        <w:rPr>
          <w:rFonts w:ascii="Calibri" w:hAnsi="Calibri"/>
        </w:rPr>
        <w:t xml:space="preserve"> </w:t>
      </w:r>
      <w:r w:rsidR="009A257C" w:rsidRPr="00764569">
        <w:rPr>
          <w:rFonts w:ascii="Calibri" w:hAnsi="Calibri"/>
        </w:rPr>
        <w:t>transitional justice</w:t>
      </w:r>
      <w:r w:rsidR="009E3E6A" w:rsidRPr="00764569">
        <w:rPr>
          <w:rFonts w:ascii="Calibri" w:hAnsi="Calibri"/>
        </w:rPr>
        <w:t xml:space="preserve"> systems</w:t>
      </w:r>
      <w:r w:rsidR="0017720C" w:rsidRPr="00764569">
        <w:rPr>
          <w:rFonts w:ascii="Calibri" w:hAnsi="Calibri"/>
        </w:rPr>
        <w:t xml:space="preserve"> </w:t>
      </w:r>
      <w:r w:rsidR="009A257C" w:rsidRPr="00764569">
        <w:rPr>
          <w:rFonts w:ascii="Calibri" w:hAnsi="Calibri"/>
        </w:rPr>
        <w:t xml:space="preserve">that include judicial and non-judicial mechanisms like </w:t>
      </w:r>
      <w:r w:rsidR="0017720C" w:rsidRPr="00764569">
        <w:rPr>
          <w:rFonts w:ascii="Calibri" w:hAnsi="Calibri"/>
        </w:rPr>
        <w:t>truth commissions</w:t>
      </w:r>
      <w:r w:rsidR="009A257C" w:rsidRPr="00764569">
        <w:rPr>
          <w:rFonts w:ascii="Calibri" w:hAnsi="Calibri"/>
        </w:rPr>
        <w:t xml:space="preserve"> and reparations </w:t>
      </w:r>
      <w:r w:rsidR="009E3E6A" w:rsidRPr="00764569">
        <w:rPr>
          <w:rFonts w:ascii="Calibri" w:hAnsi="Calibri"/>
        </w:rPr>
        <w:t>that</w:t>
      </w:r>
      <w:r w:rsidR="009A257C" w:rsidRPr="00764569">
        <w:rPr>
          <w:rFonts w:ascii="Calibri" w:hAnsi="Calibri"/>
        </w:rPr>
        <w:t xml:space="preserve"> are gender-sensitive and promote women’s rights. </w:t>
      </w:r>
      <w:r w:rsidR="009E3E6A" w:rsidRPr="00764569">
        <w:rPr>
          <w:rFonts w:ascii="Calibri" w:hAnsi="Calibri"/>
        </w:rPr>
        <w:t xml:space="preserve">The GR </w:t>
      </w:r>
      <w:r w:rsidR="00592DA3" w:rsidRPr="00764569">
        <w:rPr>
          <w:rFonts w:ascii="Calibri" w:hAnsi="Calibri"/>
        </w:rPr>
        <w:t>addresses</w:t>
      </w:r>
      <w:r w:rsidR="009E3E6A" w:rsidRPr="00764569">
        <w:rPr>
          <w:rFonts w:ascii="Calibri" w:hAnsi="Calibri"/>
        </w:rPr>
        <w:t xml:space="preserve"> an expanded range of gender-based violations, including domestic and sexual enslavement, all violations of </w:t>
      </w:r>
      <w:r w:rsidR="00B22C5F" w:rsidRPr="00764569">
        <w:rPr>
          <w:rFonts w:ascii="Calibri" w:hAnsi="Calibri"/>
        </w:rPr>
        <w:t>sexual and reproductive health</w:t>
      </w:r>
      <w:r w:rsidR="009E3E6A" w:rsidRPr="00764569">
        <w:rPr>
          <w:rFonts w:ascii="Calibri" w:hAnsi="Calibri"/>
        </w:rPr>
        <w:t xml:space="preserve"> rights, forced marriage and forced displacement, in relation to GBV and violations of economic, social and cultural rights</w:t>
      </w:r>
      <w:r w:rsidR="00621585" w:rsidRPr="00764569">
        <w:rPr>
          <w:rFonts w:ascii="Calibri" w:hAnsi="Calibri"/>
        </w:rPr>
        <w:t xml:space="preserve"> (in addition to civil and political rights)</w:t>
      </w:r>
      <w:r w:rsidR="009E3E6A" w:rsidRPr="00764569">
        <w:rPr>
          <w:rFonts w:ascii="Calibri" w:hAnsi="Calibri"/>
        </w:rPr>
        <w:t xml:space="preserve">. </w:t>
      </w:r>
      <w:r w:rsidR="0017720C" w:rsidRPr="00764569">
        <w:rPr>
          <w:rFonts w:ascii="Calibri" w:hAnsi="Calibri"/>
        </w:rPr>
        <w:t xml:space="preserve"> </w:t>
      </w:r>
    </w:p>
    <w:p w14:paraId="5D88E055" w14:textId="77777777" w:rsidR="00621585" w:rsidRPr="00764569" w:rsidRDefault="00621585" w:rsidP="00621585">
      <w:pPr>
        <w:pStyle w:val="ListParagraph"/>
        <w:jc w:val="both"/>
        <w:rPr>
          <w:rFonts w:ascii="Calibri" w:hAnsi="Calibri"/>
        </w:rPr>
      </w:pPr>
    </w:p>
    <w:p w14:paraId="6D9C322B" w14:textId="4D9A1EF5" w:rsidR="009A257C" w:rsidRPr="00764569" w:rsidRDefault="00621585" w:rsidP="00087097">
      <w:pPr>
        <w:pStyle w:val="ListParagraph"/>
        <w:spacing w:line="360" w:lineRule="auto"/>
        <w:jc w:val="both"/>
        <w:rPr>
          <w:rFonts w:ascii="Calibri" w:hAnsi="Calibri"/>
        </w:rPr>
      </w:pPr>
      <w:r w:rsidRPr="00764569">
        <w:rPr>
          <w:rFonts w:ascii="Calibri" w:hAnsi="Calibri"/>
        </w:rPr>
        <w:t>Under the CEDAW GR No. 30, a</w:t>
      </w:r>
      <w:r w:rsidR="009A257C" w:rsidRPr="00764569">
        <w:rPr>
          <w:rFonts w:ascii="Calibri" w:hAnsi="Calibri"/>
        </w:rPr>
        <w:t xml:space="preserve">ccess to justice includes substantive guarantees against amnesties for gender-based violations and to ensure compliance with the decisions of </w:t>
      </w:r>
      <w:r w:rsidR="009E3E6A" w:rsidRPr="00764569">
        <w:rPr>
          <w:rFonts w:ascii="Calibri" w:hAnsi="Calibri"/>
        </w:rPr>
        <w:t xml:space="preserve">transitional justice mechanisms. It also prohibits discrimination against women when re-establishing the rule of law, and ensures that women take part in the design, operation and monitoring of transitional justice mechanisms to include their experience of conflict, to meet their needs and priorities, to address their violations, and ensure that they participate in designing reparations programmes. </w:t>
      </w:r>
      <w:r w:rsidRPr="00764569">
        <w:rPr>
          <w:rFonts w:ascii="Calibri" w:hAnsi="Calibri"/>
        </w:rPr>
        <w:t>A</w:t>
      </w:r>
      <w:r w:rsidR="009E3E6A" w:rsidRPr="00764569">
        <w:rPr>
          <w:rFonts w:ascii="Calibri" w:hAnsi="Calibri"/>
        </w:rPr>
        <w:t xml:space="preserve">ccess justice </w:t>
      </w:r>
      <w:r w:rsidRPr="00764569">
        <w:rPr>
          <w:rFonts w:ascii="Calibri" w:hAnsi="Calibri"/>
        </w:rPr>
        <w:t xml:space="preserve">also </w:t>
      </w:r>
      <w:r w:rsidR="009E3E6A" w:rsidRPr="00764569">
        <w:rPr>
          <w:rFonts w:ascii="Calibri" w:hAnsi="Calibri"/>
        </w:rPr>
        <w:t>includes the provision of legal aid, the creation of special courts like domestic and family violence courts and mobile courts for camps and settlements and remote areas, and the provision of shelters. Transformative equality also requires special criminal-procedure protections that protect identity during public hearings and require testimonies to be taken by female professionals</w:t>
      </w:r>
      <w:r w:rsidR="004E5EBC" w:rsidRPr="00764569">
        <w:rPr>
          <w:rFonts w:ascii="Calibri" w:hAnsi="Calibri"/>
        </w:rPr>
        <w:t xml:space="preserve">. </w:t>
      </w:r>
      <w:r w:rsidR="009E3E6A" w:rsidRPr="00764569">
        <w:rPr>
          <w:rFonts w:ascii="Calibri" w:hAnsi="Calibri"/>
        </w:rPr>
        <w:t xml:space="preserve">Justice systems must have gender-sensitive procedures that avoid revictimization and stigmatization, create special protection units and gender desks in police stations, undertake confidential and sensitive investigations, and ensure that the testimony of women and girls is equally weight in relation to men. Criminal accountability is enhanced by strengthening the capacity not only </w:t>
      </w:r>
      <w:r w:rsidRPr="00764569">
        <w:rPr>
          <w:rFonts w:ascii="Calibri" w:hAnsi="Calibri"/>
        </w:rPr>
        <w:t>of the judiciary but also of</w:t>
      </w:r>
      <w:r w:rsidR="009E3E6A" w:rsidRPr="00764569">
        <w:rPr>
          <w:rFonts w:ascii="Calibri" w:hAnsi="Calibri"/>
        </w:rPr>
        <w:t xml:space="preserve"> security, medical and judicial personnel dealing with forensic evidence related to SGBV</w:t>
      </w:r>
      <w:r w:rsidR="00262E65" w:rsidRPr="00764569">
        <w:rPr>
          <w:rFonts w:ascii="Calibri" w:hAnsi="Calibri"/>
        </w:rPr>
        <w:t xml:space="preserve"> in conflict and post-conflict </w:t>
      </w:r>
      <w:r w:rsidR="00592DA3" w:rsidRPr="00764569">
        <w:rPr>
          <w:rFonts w:ascii="Calibri" w:hAnsi="Calibri"/>
        </w:rPr>
        <w:t>situation</w:t>
      </w:r>
      <w:r w:rsidR="00262E65" w:rsidRPr="00764569">
        <w:rPr>
          <w:rFonts w:ascii="Calibri" w:hAnsi="Calibri"/>
        </w:rPr>
        <w:t>s</w:t>
      </w:r>
      <w:r w:rsidR="009E3E6A" w:rsidRPr="00764569">
        <w:rPr>
          <w:rFonts w:ascii="Calibri" w:hAnsi="Calibri"/>
        </w:rPr>
        <w:t>.</w:t>
      </w:r>
      <w:r w:rsidR="009E3E6A" w:rsidRPr="00764569">
        <w:rPr>
          <w:rStyle w:val="FootnoteReference"/>
          <w:rFonts w:ascii="Calibri" w:hAnsi="Calibri"/>
        </w:rPr>
        <w:footnoteReference w:id="86"/>
      </w:r>
    </w:p>
    <w:p w14:paraId="1C3D990E" w14:textId="77777777" w:rsidR="009A257C" w:rsidRPr="00764569" w:rsidRDefault="009A257C" w:rsidP="009A257C">
      <w:pPr>
        <w:spacing w:line="120" w:lineRule="exact"/>
      </w:pPr>
    </w:p>
    <w:p w14:paraId="1D0E4F68" w14:textId="77777777" w:rsidR="009A257C" w:rsidRPr="00764569" w:rsidRDefault="009A257C" w:rsidP="004E5EBC">
      <w:pPr>
        <w:jc w:val="both"/>
        <w:rPr>
          <w:rFonts w:ascii="Calibri" w:hAnsi="Calibri"/>
        </w:rPr>
      </w:pPr>
    </w:p>
    <w:p w14:paraId="3A8F4B46" w14:textId="2E4F6555" w:rsidR="00293648" w:rsidRPr="00764569" w:rsidRDefault="004E5EBC" w:rsidP="00087097">
      <w:pPr>
        <w:pStyle w:val="ListParagraph"/>
        <w:numPr>
          <w:ilvl w:val="0"/>
          <w:numId w:val="5"/>
        </w:numPr>
        <w:spacing w:line="360" w:lineRule="auto"/>
        <w:jc w:val="both"/>
        <w:rPr>
          <w:rFonts w:ascii="Calibri" w:hAnsi="Calibri"/>
        </w:rPr>
      </w:pPr>
      <w:r w:rsidRPr="00764569">
        <w:rPr>
          <w:rFonts w:ascii="Calibri" w:hAnsi="Calibri"/>
        </w:rPr>
        <w:t xml:space="preserve">The </w:t>
      </w:r>
      <w:r w:rsidR="00592DA3" w:rsidRPr="00764569">
        <w:rPr>
          <w:rFonts w:ascii="Calibri" w:hAnsi="Calibri"/>
        </w:rPr>
        <w:t xml:space="preserve">comprehensive </w:t>
      </w:r>
      <w:r w:rsidR="0017720C" w:rsidRPr="00764569">
        <w:rPr>
          <w:rFonts w:ascii="Calibri" w:hAnsi="Calibri"/>
        </w:rPr>
        <w:t xml:space="preserve">recognition of </w:t>
      </w:r>
      <w:r w:rsidRPr="00764569">
        <w:rPr>
          <w:rFonts w:ascii="Calibri" w:hAnsi="Calibri"/>
        </w:rPr>
        <w:t>women</w:t>
      </w:r>
      <w:r w:rsidR="00592DA3" w:rsidRPr="00764569">
        <w:rPr>
          <w:rFonts w:ascii="Calibri" w:hAnsi="Calibri"/>
        </w:rPr>
        <w:t xml:space="preserve"> and girls’</w:t>
      </w:r>
      <w:r w:rsidR="009E3E6A" w:rsidRPr="00764569">
        <w:rPr>
          <w:rFonts w:ascii="Calibri" w:hAnsi="Calibri"/>
        </w:rPr>
        <w:t xml:space="preserve"> human rights including</w:t>
      </w:r>
      <w:r w:rsidRPr="00764569">
        <w:rPr>
          <w:rFonts w:ascii="Calibri" w:hAnsi="Calibri"/>
        </w:rPr>
        <w:t xml:space="preserve"> </w:t>
      </w:r>
      <w:r w:rsidRPr="00764569">
        <w:rPr>
          <w:rFonts w:ascii="Calibri" w:hAnsi="Calibri"/>
          <w:b/>
          <w:color w:val="4F81BD" w:themeColor="accent1"/>
        </w:rPr>
        <w:t>economic, social and cultural rights</w:t>
      </w:r>
      <w:r w:rsidR="009E3E6A" w:rsidRPr="00764569">
        <w:rPr>
          <w:rFonts w:ascii="Calibri" w:hAnsi="Calibri"/>
        </w:rPr>
        <w:t xml:space="preserve">. </w:t>
      </w:r>
      <w:r w:rsidRPr="00764569">
        <w:rPr>
          <w:rFonts w:ascii="Calibri" w:hAnsi="Calibri"/>
        </w:rPr>
        <w:t xml:space="preserve">Whereas SCR 1325 focuses almost exclusively on women’s civil and political rights, and related resolutions </w:t>
      </w:r>
      <w:r w:rsidR="00116007" w:rsidRPr="00764569">
        <w:rPr>
          <w:rFonts w:ascii="Calibri" w:hAnsi="Calibri"/>
        </w:rPr>
        <w:t xml:space="preserve">briefly </w:t>
      </w:r>
      <w:r w:rsidR="00592DA3" w:rsidRPr="00764569">
        <w:rPr>
          <w:rFonts w:ascii="Calibri" w:hAnsi="Calibri"/>
        </w:rPr>
        <w:t>touch upon</w:t>
      </w:r>
      <w:r w:rsidR="00116007" w:rsidRPr="00764569">
        <w:rPr>
          <w:rFonts w:ascii="Calibri" w:hAnsi="Calibri"/>
        </w:rPr>
        <w:t xml:space="preserve"> economic, social and cultural rights</w:t>
      </w:r>
      <w:r w:rsidR="00621585" w:rsidRPr="00764569">
        <w:rPr>
          <w:rFonts w:ascii="Calibri" w:hAnsi="Calibri"/>
        </w:rPr>
        <w:t>, the CEDAW GR No. 30</w:t>
      </w:r>
      <w:r w:rsidR="009E3E6A" w:rsidRPr="00764569">
        <w:rPr>
          <w:rFonts w:ascii="Calibri" w:hAnsi="Calibri"/>
        </w:rPr>
        <w:t xml:space="preserve"> affirms tra</w:t>
      </w:r>
      <w:r w:rsidR="00592DA3" w:rsidRPr="00764569">
        <w:rPr>
          <w:rFonts w:ascii="Calibri" w:hAnsi="Calibri"/>
        </w:rPr>
        <w:t>nsformative equality through</w:t>
      </w:r>
      <w:r w:rsidR="009E3E6A" w:rsidRPr="00764569">
        <w:rPr>
          <w:rFonts w:ascii="Calibri" w:hAnsi="Calibri"/>
        </w:rPr>
        <w:t xml:space="preserve"> comprehensive </w:t>
      </w:r>
      <w:r w:rsidRPr="00764569">
        <w:rPr>
          <w:rFonts w:ascii="Calibri" w:hAnsi="Calibri"/>
        </w:rPr>
        <w:t>recommendations that</w:t>
      </w:r>
      <w:r w:rsidR="00592DA3" w:rsidRPr="00764569">
        <w:rPr>
          <w:rFonts w:ascii="Calibri" w:hAnsi="Calibri"/>
        </w:rPr>
        <w:t xml:space="preserve">: girls have access </w:t>
      </w:r>
      <w:r w:rsidR="00592DA3" w:rsidRPr="00764569">
        <w:rPr>
          <w:rFonts w:ascii="Calibri" w:hAnsi="Calibri"/>
        </w:rPr>
        <w:lastRenderedPageBreak/>
        <w:t xml:space="preserve">to education; </w:t>
      </w:r>
      <w:r w:rsidRPr="00764569">
        <w:rPr>
          <w:rFonts w:ascii="Calibri" w:hAnsi="Calibri"/>
        </w:rPr>
        <w:t>women and girls have adequate healthca</w:t>
      </w:r>
      <w:r w:rsidR="00592DA3" w:rsidRPr="00764569">
        <w:rPr>
          <w:rFonts w:ascii="Calibri" w:hAnsi="Calibri"/>
        </w:rPr>
        <w:t>re and employment opportunities;</w:t>
      </w:r>
      <w:r w:rsidRPr="00764569">
        <w:rPr>
          <w:rFonts w:ascii="Calibri" w:hAnsi="Calibri"/>
        </w:rPr>
        <w:t xml:space="preserve"> and rural women</w:t>
      </w:r>
      <w:r w:rsidR="00592DA3" w:rsidRPr="00764569">
        <w:rPr>
          <w:rFonts w:ascii="Calibri" w:hAnsi="Calibri"/>
        </w:rPr>
        <w:t xml:space="preserve"> are also empowered</w:t>
      </w:r>
      <w:r w:rsidRPr="00764569">
        <w:rPr>
          <w:rFonts w:ascii="Calibri" w:hAnsi="Calibri"/>
        </w:rPr>
        <w:t>. States are encouraged to end discrimination against women in marriage and family life, including addressing women’s access to land and property,</w:t>
      </w:r>
      <w:r w:rsidRPr="00764569">
        <w:rPr>
          <w:rStyle w:val="FootnoteReference"/>
          <w:rFonts w:ascii="Calibri" w:hAnsi="Calibri"/>
        </w:rPr>
        <w:footnoteReference w:id="87"/>
      </w:r>
      <w:r w:rsidRPr="00764569">
        <w:rPr>
          <w:rFonts w:ascii="Calibri" w:hAnsi="Calibri"/>
        </w:rPr>
        <w:t xml:space="preserve"> as these discriminations are compounded by the impacts of conflicts on women and girls. </w:t>
      </w:r>
      <w:r w:rsidRPr="00764569">
        <w:rPr>
          <w:rStyle w:val="FootnoteReference"/>
          <w:rFonts w:ascii="Calibri" w:hAnsi="Calibri"/>
        </w:rPr>
        <w:footnoteReference w:id="88"/>
      </w:r>
      <w:r w:rsidR="00265C8E" w:rsidRPr="00764569">
        <w:rPr>
          <w:rFonts w:ascii="Calibri" w:hAnsi="Calibri"/>
        </w:rPr>
        <w:t xml:space="preserve"> </w:t>
      </w:r>
    </w:p>
    <w:p w14:paraId="2D4CA309" w14:textId="301F0775" w:rsidR="00E4120D" w:rsidRPr="00764569" w:rsidRDefault="00764569" w:rsidP="00764569">
      <w:pPr>
        <w:rPr>
          <w:rFonts w:ascii="Calibri" w:hAnsi="Calibri"/>
        </w:rPr>
      </w:pPr>
      <w:r>
        <w:rPr>
          <w:rFonts w:ascii="Calibri" w:hAnsi="Calibri"/>
        </w:rPr>
        <w:br w:type="page"/>
      </w:r>
    </w:p>
    <w:p w14:paraId="7A172EC9" w14:textId="7CBA8F7A" w:rsidR="003B55B0" w:rsidRPr="000E78A5" w:rsidRDefault="003B55B0" w:rsidP="003B55B0">
      <w:pPr>
        <w:pStyle w:val="Heading3"/>
        <w:keepLines/>
        <w:spacing w:before="20" w:after="0"/>
        <w:jc w:val="center"/>
        <w:rPr>
          <w:b w:val="0"/>
          <w:color w:val="1F497D" w:themeColor="text2"/>
          <w:spacing w:val="14"/>
          <w:sz w:val="32"/>
          <w:szCs w:val="32"/>
          <w:lang w:val="en-GB"/>
        </w:rPr>
      </w:pPr>
      <w:bookmarkStart w:id="6" w:name="_Toc416867084"/>
      <w:r>
        <w:rPr>
          <w:b w:val="0"/>
          <w:color w:val="1F497D" w:themeColor="text2"/>
          <w:spacing w:val="14"/>
          <w:sz w:val="32"/>
          <w:szCs w:val="32"/>
          <w:lang w:val="en-GB"/>
        </w:rPr>
        <w:lastRenderedPageBreak/>
        <w:t>BEYOND CEDAW: SCR 1325 AND ‘SOFT LAW’ IN THE WIDER LEGAL FRAMEWORK</w:t>
      </w:r>
      <w:bookmarkEnd w:id="6"/>
    </w:p>
    <w:p w14:paraId="4B0B6994" w14:textId="77777777" w:rsidR="004E5EBC" w:rsidRDefault="004E5EBC" w:rsidP="004E5EBC">
      <w:pPr>
        <w:jc w:val="both"/>
        <w:rPr>
          <w:rFonts w:ascii="Calibri" w:hAnsi="Calibri"/>
        </w:rPr>
      </w:pPr>
    </w:p>
    <w:p w14:paraId="0FDE36F3" w14:textId="5B8AEC04" w:rsidR="004E5EBC" w:rsidRPr="00C72733" w:rsidRDefault="008B328E" w:rsidP="00087097">
      <w:pPr>
        <w:spacing w:line="360" w:lineRule="auto"/>
        <w:jc w:val="both"/>
        <w:rPr>
          <w:rFonts w:ascii="Calibri" w:hAnsi="Calibri"/>
        </w:rPr>
      </w:pPr>
      <w:r>
        <w:rPr>
          <w:rFonts w:ascii="Calibri" w:hAnsi="Calibri"/>
        </w:rPr>
        <w:t xml:space="preserve">While </w:t>
      </w:r>
      <w:r w:rsidR="004E5EBC">
        <w:rPr>
          <w:rFonts w:ascii="Calibri" w:hAnsi="Calibri"/>
        </w:rPr>
        <w:t>SCR 1325</w:t>
      </w:r>
      <w:r w:rsidR="00A6225E">
        <w:rPr>
          <w:rFonts w:ascii="Calibri" w:hAnsi="Calibri"/>
        </w:rPr>
        <w:t xml:space="preserve"> and its related resolutions should be read together with CEDAW and its GR No. 30, an integrated understanding of SCR 1325 does not end with CEDAW. </w:t>
      </w:r>
      <w:r w:rsidR="00415DA2">
        <w:rPr>
          <w:rFonts w:ascii="Calibri" w:hAnsi="Calibri"/>
        </w:rPr>
        <w:t>T</w:t>
      </w:r>
      <w:r w:rsidR="00F3615E">
        <w:rPr>
          <w:rFonts w:ascii="Calibri" w:hAnsi="Calibri"/>
        </w:rPr>
        <w:t>his submission argues that other elements of the</w:t>
      </w:r>
      <w:r>
        <w:rPr>
          <w:rFonts w:ascii="Calibri" w:hAnsi="Calibri"/>
        </w:rPr>
        <w:t xml:space="preserve"> legal</w:t>
      </w:r>
      <w:r w:rsidR="00F3615E">
        <w:rPr>
          <w:rFonts w:ascii="Calibri" w:hAnsi="Calibri"/>
        </w:rPr>
        <w:t xml:space="preserve"> framework must also be </w:t>
      </w:r>
      <w:r w:rsidR="00B22C5F">
        <w:rPr>
          <w:rFonts w:ascii="Calibri" w:hAnsi="Calibri"/>
        </w:rPr>
        <w:t>read together with the Security Council resolutions on women, peace and security, and CEDAW</w:t>
      </w:r>
      <w:r w:rsidR="00F3615E">
        <w:rPr>
          <w:rFonts w:ascii="Calibri" w:hAnsi="Calibri"/>
        </w:rPr>
        <w:t xml:space="preserve">, where they extend </w:t>
      </w:r>
      <w:r w:rsidR="00415DA2">
        <w:rPr>
          <w:rFonts w:ascii="Calibri" w:hAnsi="Calibri"/>
        </w:rPr>
        <w:t xml:space="preserve">and expand upon </w:t>
      </w:r>
      <w:r w:rsidR="00F3615E">
        <w:rPr>
          <w:rFonts w:ascii="Calibri" w:hAnsi="Calibri"/>
        </w:rPr>
        <w:t xml:space="preserve">the protections in </w:t>
      </w:r>
      <w:r w:rsidR="00B22C5F">
        <w:rPr>
          <w:rFonts w:ascii="Calibri" w:hAnsi="Calibri"/>
        </w:rPr>
        <w:t>these documents</w:t>
      </w:r>
      <w:r w:rsidR="00F3615E">
        <w:rPr>
          <w:rFonts w:ascii="Calibri" w:hAnsi="Calibri"/>
        </w:rPr>
        <w:t xml:space="preserve">. These include </w:t>
      </w:r>
      <w:r w:rsidR="00415DA2">
        <w:rPr>
          <w:rFonts w:ascii="Calibri" w:hAnsi="Calibri"/>
        </w:rPr>
        <w:t>three core documents</w:t>
      </w:r>
      <w:r w:rsidR="00B22C5F">
        <w:rPr>
          <w:rFonts w:ascii="Calibri" w:hAnsi="Calibri"/>
        </w:rPr>
        <w:t xml:space="preserve"> that are </w:t>
      </w:r>
      <w:r w:rsidR="003B55B0">
        <w:rPr>
          <w:rFonts w:ascii="Calibri" w:hAnsi="Calibri"/>
        </w:rPr>
        <w:t>‘</w:t>
      </w:r>
      <w:r w:rsidR="00B22C5F">
        <w:rPr>
          <w:rFonts w:ascii="Calibri" w:hAnsi="Calibri"/>
        </w:rPr>
        <w:t>soft law</w:t>
      </w:r>
      <w:r w:rsidR="003B55B0">
        <w:rPr>
          <w:rFonts w:ascii="Calibri" w:hAnsi="Calibri"/>
        </w:rPr>
        <w:t>’</w:t>
      </w:r>
      <w:r w:rsidR="00B22C5F">
        <w:rPr>
          <w:rFonts w:ascii="Calibri" w:hAnsi="Calibri"/>
        </w:rPr>
        <w:t xml:space="preserve"> but that provide blueprints for action</w:t>
      </w:r>
      <w:r w:rsidR="00621585">
        <w:rPr>
          <w:rFonts w:ascii="Calibri" w:hAnsi="Calibri"/>
        </w:rPr>
        <w:t xml:space="preserve"> that are </w:t>
      </w:r>
      <w:r w:rsidR="00B22C5F">
        <w:rPr>
          <w:rFonts w:ascii="Calibri" w:hAnsi="Calibri"/>
        </w:rPr>
        <w:t xml:space="preserve">supported by state practice. These are </w:t>
      </w:r>
      <w:r w:rsidR="00F3615E">
        <w:rPr>
          <w:rFonts w:ascii="Calibri" w:hAnsi="Calibri"/>
        </w:rPr>
        <w:t xml:space="preserve">the </w:t>
      </w:r>
      <w:r w:rsidR="00B22C5F">
        <w:rPr>
          <w:rFonts w:ascii="Calibri" w:hAnsi="Calibri"/>
        </w:rPr>
        <w:t>BPfA</w:t>
      </w:r>
      <w:r w:rsidR="00F3615E">
        <w:rPr>
          <w:rFonts w:ascii="Calibri" w:hAnsi="Calibri"/>
        </w:rPr>
        <w:t xml:space="preserve"> and </w:t>
      </w:r>
      <w:r w:rsidR="004E5EBC">
        <w:rPr>
          <w:rFonts w:ascii="Calibri" w:hAnsi="Calibri"/>
        </w:rPr>
        <w:t xml:space="preserve">the UNGA Outcome Document </w:t>
      </w:r>
      <w:r w:rsidR="00F3615E">
        <w:rPr>
          <w:rFonts w:ascii="Calibri" w:hAnsi="Calibri"/>
        </w:rPr>
        <w:t>(directly referenced in SCR 1325</w:t>
      </w:r>
      <w:r w:rsidR="007125C2">
        <w:rPr>
          <w:rFonts w:ascii="Calibri" w:hAnsi="Calibri"/>
        </w:rPr>
        <w:t xml:space="preserve"> and subsequent resolutions on WPS</w:t>
      </w:r>
      <w:r w:rsidR="00F3615E">
        <w:rPr>
          <w:rFonts w:ascii="Calibri" w:hAnsi="Calibri"/>
        </w:rPr>
        <w:t>)</w:t>
      </w:r>
      <w:r w:rsidR="004E5EBC">
        <w:rPr>
          <w:rFonts w:ascii="Calibri" w:hAnsi="Calibri"/>
        </w:rPr>
        <w:t xml:space="preserve"> and the </w:t>
      </w:r>
      <w:r w:rsidR="00B22C5F">
        <w:rPr>
          <w:rFonts w:ascii="Calibri" w:hAnsi="Calibri"/>
        </w:rPr>
        <w:t xml:space="preserve">CSW Agreed Conclusions 2013 (which, like the CEDAW GR No. 30, were </w:t>
      </w:r>
      <w:r w:rsidR="00621585">
        <w:rPr>
          <w:rFonts w:ascii="Calibri" w:hAnsi="Calibri"/>
        </w:rPr>
        <w:t>concluded</w:t>
      </w:r>
      <w:r w:rsidR="00B22C5F">
        <w:rPr>
          <w:rFonts w:ascii="Calibri" w:hAnsi="Calibri"/>
        </w:rPr>
        <w:t xml:space="preserve"> after the</w:t>
      </w:r>
      <w:r w:rsidR="00621585">
        <w:rPr>
          <w:rFonts w:ascii="Calibri" w:hAnsi="Calibri"/>
        </w:rPr>
        <w:t xml:space="preserve"> adoption of</w:t>
      </w:r>
      <w:r w:rsidR="00B22C5F">
        <w:rPr>
          <w:rFonts w:ascii="Calibri" w:hAnsi="Calibri"/>
        </w:rPr>
        <w:t xml:space="preserve"> SCR 1325</w:t>
      </w:r>
      <w:r w:rsidR="00415DA2">
        <w:rPr>
          <w:rFonts w:ascii="Calibri" w:hAnsi="Calibri"/>
        </w:rPr>
        <w:t>, and so are not referenced in the resolutions</w:t>
      </w:r>
      <w:r w:rsidR="00B22C5F">
        <w:rPr>
          <w:rFonts w:ascii="Calibri" w:hAnsi="Calibri"/>
        </w:rPr>
        <w:t>).</w:t>
      </w:r>
      <w:r w:rsidR="004E5EBC" w:rsidRPr="00797ECA">
        <w:rPr>
          <w:rFonts w:ascii="Calibri" w:hAnsi="Calibri"/>
        </w:rPr>
        <w:t xml:space="preserve"> </w:t>
      </w:r>
    </w:p>
    <w:p w14:paraId="5AEEB622" w14:textId="77777777" w:rsidR="004E5EBC" w:rsidRDefault="004E5EBC" w:rsidP="004E5EBC">
      <w:pPr>
        <w:jc w:val="both"/>
        <w:rPr>
          <w:rFonts w:ascii="Calibri" w:hAnsi="Calibri"/>
        </w:rPr>
      </w:pPr>
    </w:p>
    <w:p w14:paraId="12CE167D" w14:textId="7C807995" w:rsidR="004E5EBC" w:rsidRPr="00B27D2A" w:rsidRDefault="004E5EBC" w:rsidP="004E5EBC">
      <w:pPr>
        <w:rPr>
          <w:rFonts w:ascii="Calibri" w:hAnsi="Calibri"/>
          <w:b/>
          <w:color w:val="1F497D" w:themeColor="text2"/>
          <w:u w:val="single"/>
        </w:rPr>
      </w:pPr>
      <w:r w:rsidRPr="00B27D2A">
        <w:rPr>
          <w:rFonts w:ascii="Calibri" w:hAnsi="Calibri"/>
          <w:b/>
          <w:color w:val="1F497D" w:themeColor="text2"/>
          <w:u w:val="single"/>
        </w:rPr>
        <w:t>The Beijing Platform for Action</w:t>
      </w:r>
      <w:r w:rsidR="000813FB" w:rsidRPr="00B27D2A">
        <w:rPr>
          <w:rFonts w:ascii="Calibri" w:hAnsi="Calibri"/>
          <w:b/>
          <w:color w:val="1F497D" w:themeColor="text2"/>
          <w:u w:val="single"/>
        </w:rPr>
        <w:t>, 1995</w:t>
      </w:r>
      <w:r w:rsidRPr="00B27D2A">
        <w:rPr>
          <w:rFonts w:ascii="Calibri" w:hAnsi="Calibri"/>
          <w:b/>
          <w:color w:val="1F497D" w:themeColor="text2"/>
          <w:u w:val="single"/>
        </w:rPr>
        <w:t xml:space="preserve">: Critical Areas of Concern on Women in Armed Conflict and Violence against Women </w:t>
      </w:r>
    </w:p>
    <w:p w14:paraId="07416E9D" w14:textId="77777777" w:rsidR="004E5EBC" w:rsidRDefault="004E5EBC" w:rsidP="004E5EBC">
      <w:pPr>
        <w:jc w:val="both"/>
        <w:rPr>
          <w:rFonts w:ascii="Calibri" w:hAnsi="Calibri"/>
        </w:rPr>
      </w:pPr>
    </w:p>
    <w:p w14:paraId="4679E8B3" w14:textId="1A3DA8F2" w:rsidR="004E5EBC" w:rsidRDefault="004E5EBC" w:rsidP="00B27D2A">
      <w:pPr>
        <w:spacing w:line="360" w:lineRule="auto"/>
        <w:jc w:val="both"/>
        <w:rPr>
          <w:rFonts w:ascii="Calibri" w:hAnsi="Calibri"/>
        </w:rPr>
      </w:pPr>
      <w:r w:rsidRPr="00B71273">
        <w:rPr>
          <w:rFonts w:ascii="Calibri" w:hAnsi="Calibri"/>
        </w:rPr>
        <w:t>This year marks the 20</w:t>
      </w:r>
      <w:r w:rsidRPr="00B71273">
        <w:rPr>
          <w:rFonts w:ascii="Calibri" w:hAnsi="Calibri"/>
          <w:vertAlign w:val="superscript"/>
        </w:rPr>
        <w:t>th</w:t>
      </w:r>
      <w:r w:rsidRPr="00B71273">
        <w:rPr>
          <w:rFonts w:ascii="Calibri" w:hAnsi="Calibri"/>
        </w:rPr>
        <w:t xml:space="preserve"> anniversary of the </w:t>
      </w:r>
      <w:r w:rsidR="00B22C5F">
        <w:rPr>
          <w:rFonts w:ascii="Calibri" w:hAnsi="Calibri"/>
        </w:rPr>
        <w:t xml:space="preserve">BPfA, </w:t>
      </w:r>
      <w:r w:rsidR="00415DA2">
        <w:rPr>
          <w:rFonts w:ascii="Calibri" w:hAnsi="Calibri"/>
        </w:rPr>
        <w:t>which</w:t>
      </w:r>
      <w:r w:rsidR="00723F4F">
        <w:rPr>
          <w:rFonts w:ascii="Calibri" w:hAnsi="Calibri"/>
        </w:rPr>
        <w:t xml:space="preserve"> </w:t>
      </w:r>
      <w:r w:rsidR="000813FB">
        <w:rPr>
          <w:rFonts w:ascii="Calibri" w:hAnsi="Calibri"/>
        </w:rPr>
        <w:t>focused attention on</w:t>
      </w:r>
      <w:r w:rsidR="00B22C5F">
        <w:rPr>
          <w:rFonts w:ascii="Calibri" w:hAnsi="Calibri"/>
        </w:rPr>
        <w:t xml:space="preserve"> the women, peace and security agenda at the UN</w:t>
      </w:r>
      <w:r w:rsidR="00FF355E">
        <w:rPr>
          <w:rFonts w:ascii="Calibri" w:hAnsi="Calibri"/>
        </w:rPr>
        <w:t xml:space="preserve"> five years before the adoption of SCR 1325</w:t>
      </w:r>
      <w:r w:rsidR="001751B5">
        <w:rPr>
          <w:rFonts w:ascii="Calibri" w:hAnsi="Calibri"/>
        </w:rPr>
        <w:t xml:space="preserve">. </w:t>
      </w:r>
      <w:r w:rsidRPr="00B71273">
        <w:rPr>
          <w:rStyle w:val="FootnoteReference"/>
          <w:rFonts w:ascii="Calibri" w:hAnsi="Calibri"/>
        </w:rPr>
        <w:footnoteReference w:id="89"/>
      </w:r>
      <w:r w:rsidRPr="00B71273">
        <w:rPr>
          <w:rFonts w:ascii="Calibri" w:hAnsi="Calibri"/>
        </w:rPr>
        <w:t xml:space="preserve"> </w:t>
      </w:r>
      <w:r w:rsidR="00166E4C">
        <w:rPr>
          <w:rFonts w:ascii="Calibri" w:hAnsi="Calibri"/>
        </w:rPr>
        <w:t xml:space="preserve"> </w:t>
      </w:r>
      <w:r w:rsidR="00415DA2">
        <w:rPr>
          <w:rFonts w:ascii="Calibri" w:hAnsi="Calibri"/>
        </w:rPr>
        <w:t xml:space="preserve">While the </w:t>
      </w:r>
      <w:r w:rsidRPr="00B71273">
        <w:rPr>
          <w:rFonts w:ascii="Calibri" w:hAnsi="Calibri"/>
        </w:rPr>
        <w:t xml:space="preserve">SCR 1325 reasserts several </w:t>
      </w:r>
      <w:r w:rsidR="00723F4F">
        <w:rPr>
          <w:rFonts w:ascii="Calibri" w:hAnsi="Calibri"/>
        </w:rPr>
        <w:t>BPfA</w:t>
      </w:r>
      <w:r w:rsidRPr="00B71273">
        <w:rPr>
          <w:rFonts w:ascii="Calibri" w:hAnsi="Calibri"/>
        </w:rPr>
        <w:t xml:space="preserve"> goals, </w:t>
      </w:r>
      <w:r w:rsidR="00415DA2">
        <w:rPr>
          <w:rFonts w:ascii="Calibri" w:hAnsi="Calibri"/>
        </w:rPr>
        <w:t>the</w:t>
      </w:r>
      <w:r w:rsidRPr="00B71273">
        <w:rPr>
          <w:rFonts w:ascii="Calibri" w:hAnsi="Calibri"/>
        </w:rPr>
        <w:t xml:space="preserve"> BPfA </w:t>
      </w:r>
      <w:r w:rsidR="00723F4F">
        <w:rPr>
          <w:rFonts w:ascii="Calibri" w:hAnsi="Calibri"/>
        </w:rPr>
        <w:t>adds value to the legal framework by going beyond</w:t>
      </w:r>
      <w:r w:rsidR="00166E4C">
        <w:rPr>
          <w:rFonts w:ascii="Calibri" w:hAnsi="Calibri"/>
        </w:rPr>
        <w:t xml:space="preserve"> the language of SCR 1325</w:t>
      </w:r>
      <w:r w:rsidR="00C46541">
        <w:rPr>
          <w:rFonts w:ascii="Calibri" w:hAnsi="Calibri"/>
        </w:rPr>
        <w:t xml:space="preserve">. </w:t>
      </w:r>
      <w:r w:rsidRPr="00B71273">
        <w:rPr>
          <w:rFonts w:ascii="Calibri" w:hAnsi="Calibri"/>
        </w:rPr>
        <w:t>The BPfA</w:t>
      </w:r>
      <w:r w:rsidR="004722B9">
        <w:rPr>
          <w:rFonts w:ascii="Calibri" w:hAnsi="Calibri"/>
        </w:rPr>
        <w:t>, unlike</w:t>
      </w:r>
      <w:r w:rsidRPr="00B71273">
        <w:rPr>
          <w:rFonts w:ascii="Calibri" w:hAnsi="Calibri"/>
        </w:rPr>
        <w:t xml:space="preserve"> SCR 1325</w:t>
      </w:r>
      <w:r w:rsidR="00C46541">
        <w:rPr>
          <w:rFonts w:ascii="Calibri" w:hAnsi="Calibri"/>
        </w:rPr>
        <w:t>,</w:t>
      </w:r>
      <w:r w:rsidRPr="00B71273">
        <w:rPr>
          <w:rFonts w:ascii="Calibri" w:hAnsi="Calibri"/>
        </w:rPr>
        <w:t xml:space="preserve"> </w:t>
      </w:r>
      <w:r w:rsidR="004722B9">
        <w:rPr>
          <w:rFonts w:ascii="Calibri" w:hAnsi="Calibri"/>
        </w:rPr>
        <w:t xml:space="preserve">elaborates </w:t>
      </w:r>
      <w:r w:rsidR="000813FB">
        <w:rPr>
          <w:rFonts w:ascii="Calibri" w:hAnsi="Calibri"/>
        </w:rPr>
        <w:t xml:space="preserve">an </w:t>
      </w:r>
      <w:r w:rsidR="00FF355E" w:rsidRPr="00B27D2A">
        <w:rPr>
          <w:rFonts w:ascii="Calibri" w:hAnsi="Calibri"/>
          <w:b/>
          <w:color w:val="4F81BD" w:themeColor="accent1"/>
        </w:rPr>
        <w:t>intersectional</w:t>
      </w:r>
      <w:r w:rsidR="000813FB" w:rsidRPr="00B27D2A">
        <w:rPr>
          <w:rFonts w:ascii="Calibri" w:hAnsi="Calibri"/>
          <w:b/>
          <w:color w:val="4F81BD" w:themeColor="accent1"/>
        </w:rPr>
        <w:t xml:space="preserve"> view of violence</w:t>
      </w:r>
      <w:r w:rsidR="000813FB">
        <w:rPr>
          <w:rFonts w:ascii="Calibri" w:hAnsi="Calibri"/>
        </w:rPr>
        <w:t xml:space="preserve"> </w:t>
      </w:r>
      <w:r w:rsidR="00C46541">
        <w:rPr>
          <w:rFonts w:ascii="Calibri" w:hAnsi="Calibri"/>
        </w:rPr>
        <w:t xml:space="preserve">under two of its twelve critical areas of concern on </w:t>
      </w:r>
      <w:r w:rsidR="00C46541" w:rsidRPr="000813FB">
        <w:rPr>
          <w:rFonts w:ascii="Calibri" w:hAnsi="Calibri"/>
        </w:rPr>
        <w:t>women and armed conflict and violence against women</w:t>
      </w:r>
      <w:r w:rsidR="004722B9">
        <w:rPr>
          <w:rFonts w:ascii="Calibri" w:hAnsi="Calibri"/>
        </w:rPr>
        <w:t xml:space="preserve">. In doing so it </w:t>
      </w:r>
      <w:r w:rsidR="000813FB">
        <w:rPr>
          <w:rFonts w:ascii="Calibri" w:hAnsi="Calibri"/>
        </w:rPr>
        <w:t>provides</w:t>
      </w:r>
      <w:r w:rsidR="00723F4F">
        <w:rPr>
          <w:rFonts w:ascii="Calibri" w:hAnsi="Calibri"/>
        </w:rPr>
        <w:t xml:space="preserve"> for</w:t>
      </w:r>
      <w:r w:rsidR="00C46541">
        <w:rPr>
          <w:rFonts w:ascii="Calibri" w:hAnsi="Calibri"/>
        </w:rPr>
        <w:t xml:space="preserve"> transformative equality</w:t>
      </w:r>
      <w:r w:rsidRPr="00B71273">
        <w:rPr>
          <w:rFonts w:ascii="Calibri" w:hAnsi="Calibri"/>
        </w:rPr>
        <w:t xml:space="preserve">. </w:t>
      </w:r>
      <w:r w:rsidR="00C46541">
        <w:rPr>
          <w:rFonts w:ascii="Calibri" w:hAnsi="Calibri"/>
        </w:rPr>
        <w:t>Like CEDAW and the GR No. 30, the BPfA</w:t>
      </w:r>
      <w:r w:rsidRPr="00B71273">
        <w:rPr>
          <w:rFonts w:ascii="Calibri" w:hAnsi="Calibri"/>
        </w:rPr>
        <w:t xml:space="preserve"> takes a detailed, holistic vie</w:t>
      </w:r>
      <w:r w:rsidR="00C46541">
        <w:rPr>
          <w:rFonts w:ascii="Calibri" w:hAnsi="Calibri"/>
        </w:rPr>
        <w:t>w of women’s rights in conflict</w:t>
      </w:r>
      <w:r w:rsidRPr="00B71273">
        <w:rPr>
          <w:rFonts w:ascii="Calibri" w:hAnsi="Calibri"/>
        </w:rPr>
        <w:t xml:space="preserve">, </w:t>
      </w:r>
      <w:r w:rsidR="00D43CEA">
        <w:rPr>
          <w:rFonts w:ascii="Calibri" w:hAnsi="Calibri"/>
        </w:rPr>
        <w:t>engaging</w:t>
      </w:r>
      <w:r w:rsidRPr="00B71273">
        <w:rPr>
          <w:rFonts w:ascii="Calibri" w:hAnsi="Calibri"/>
        </w:rPr>
        <w:t xml:space="preserve"> with </w:t>
      </w:r>
      <w:r w:rsidR="00723F4F">
        <w:rPr>
          <w:rFonts w:ascii="Calibri" w:hAnsi="Calibri"/>
        </w:rPr>
        <w:t xml:space="preserve">the systemic and </w:t>
      </w:r>
      <w:r w:rsidRPr="00B71273">
        <w:rPr>
          <w:rFonts w:ascii="Calibri" w:hAnsi="Calibri"/>
        </w:rPr>
        <w:t xml:space="preserve">underlying social, economic, and psychological conditions that contribute to and perpetuate violence against women. </w:t>
      </w:r>
      <w:r w:rsidR="00F56849">
        <w:rPr>
          <w:rFonts w:ascii="Calibri" w:hAnsi="Calibri"/>
        </w:rPr>
        <w:t>The</w:t>
      </w:r>
      <w:r w:rsidR="008B328E">
        <w:rPr>
          <w:rFonts w:ascii="Calibri" w:hAnsi="Calibri"/>
        </w:rPr>
        <w:t xml:space="preserve"> BPfA also has </w:t>
      </w:r>
      <w:r w:rsidR="00415DA2">
        <w:rPr>
          <w:rFonts w:ascii="Calibri" w:hAnsi="Calibri"/>
        </w:rPr>
        <w:t>added value</w:t>
      </w:r>
      <w:r w:rsidR="00723F4F">
        <w:rPr>
          <w:rFonts w:ascii="Calibri" w:hAnsi="Calibri"/>
        </w:rPr>
        <w:t xml:space="preserve"> </w:t>
      </w:r>
      <w:r w:rsidR="008B328E">
        <w:rPr>
          <w:rFonts w:ascii="Calibri" w:hAnsi="Calibri"/>
        </w:rPr>
        <w:t>because of</w:t>
      </w:r>
      <w:r w:rsidR="00415DA2">
        <w:rPr>
          <w:rFonts w:ascii="Calibri" w:hAnsi="Calibri"/>
        </w:rPr>
        <w:t xml:space="preserve"> its</w:t>
      </w:r>
      <w:r w:rsidR="008B328E">
        <w:rPr>
          <w:rFonts w:ascii="Calibri" w:hAnsi="Calibri"/>
        </w:rPr>
        <w:t xml:space="preserve"> </w:t>
      </w:r>
      <w:r w:rsidR="008B328E" w:rsidRPr="00B27D2A">
        <w:rPr>
          <w:rFonts w:ascii="Calibri" w:hAnsi="Calibri"/>
          <w:b/>
          <w:color w:val="4F81BD" w:themeColor="accent1"/>
        </w:rPr>
        <w:t>appeal</w:t>
      </w:r>
      <w:r w:rsidRPr="00B27D2A">
        <w:rPr>
          <w:rFonts w:ascii="Calibri" w:hAnsi="Calibri"/>
          <w:b/>
          <w:color w:val="4F81BD" w:themeColor="accent1"/>
        </w:rPr>
        <w:t xml:space="preserve"> </w:t>
      </w:r>
      <w:r w:rsidR="00FF355E" w:rsidRPr="00B27D2A">
        <w:rPr>
          <w:rFonts w:ascii="Calibri" w:hAnsi="Calibri"/>
          <w:b/>
          <w:color w:val="4F81BD" w:themeColor="accent1"/>
        </w:rPr>
        <w:t>to a broader audience</w:t>
      </w:r>
      <w:r w:rsidR="00FF355E">
        <w:rPr>
          <w:rFonts w:ascii="Calibri" w:hAnsi="Calibri"/>
        </w:rPr>
        <w:t>, including governments and NGOS</w:t>
      </w:r>
      <w:r w:rsidRPr="00B71273">
        <w:rPr>
          <w:rFonts w:ascii="Calibri" w:hAnsi="Calibri"/>
        </w:rPr>
        <w:t xml:space="preserve"> at the community, national, regional, and international levels</w:t>
      </w:r>
      <w:r w:rsidR="00FF355E">
        <w:rPr>
          <w:rFonts w:ascii="Calibri" w:hAnsi="Calibri"/>
        </w:rPr>
        <w:t xml:space="preserve">. </w:t>
      </w:r>
      <w:r w:rsidRPr="00B71273">
        <w:rPr>
          <w:rFonts w:ascii="Calibri" w:hAnsi="Calibri"/>
        </w:rPr>
        <w:t xml:space="preserve"> </w:t>
      </w:r>
      <w:r w:rsidR="00FF355E">
        <w:rPr>
          <w:rFonts w:ascii="Calibri" w:hAnsi="Calibri"/>
        </w:rPr>
        <w:t>The</w:t>
      </w:r>
      <w:r w:rsidRPr="00B71273">
        <w:rPr>
          <w:rFonts w:ascii="Calibri" w:hAnsi="Calibri"/>
        </w:rPr>
        <w:t xml:space="preserve"> SCR 1325</w:t>
      </w:r>
      <w:r w:rsidR="00415DA2">
        <w:rPr>
          <w:rFonts w:ascii="Calibri" w:hAnsi="Calibri"/>
        </w:rPr>
        <w:t xml:space="preserve"> </w:t>
      </w:r>
      <w:r w:rsidRPr="00B71273">
        <w:rPr>
          <w:rFonts w:ascii="Calibri" w:hAnsi="Calibri"/>
        </w:rPr>
        <w:t xml:space="preserve">directs </w:t>
      </w:r>
      <w:r w:rsidR="00723F4F">
        <w:rPr>
          <w:rFonts w:ascii="Calibri" w:hAnsi="Calibri"/>
        </w:rPr>
        <w:t>its</w:t>
      </w:r>
      <w:r w:rsidRPr="00B71273">
        <w:rPr>
          <w:rFonts w:ascii="Calibri" w:hAnsi="Calibri"/>
        </w:rPr>
        <w:t xml:space="preserve"> commitments to the </w:t>
      </w:r>
      <w:r w:rsidR="00415DA2">
        <w:rPr>
          <w:rFonts w:ascii="Calibri" w:hAnsi="Calibri"/>
        </w:rPr>
        <w:t xml:space="preserve">Security </w:t>
      </w:r>
      <w:r w:rsidR="00F56849">
        <w:rPr>
          <w:rFonts w:ascii="Calibri" w:hAnsi="Calibri"/>
        </w:rPr>
        <w:t>Council,</w:t>
      </w:r>
      <w:r w:rsidRPr="00B71273">
        <w:rPr>
          <w:rFonts w:ascii="Calibri" w:hAnsi="Calibri"/>
        </w:rPr>
        <w:t xml:space="preserve"> Secretary General,</w:t>
      </w:r>
      <w:r w:rsidR="000F100C">
        <w:rPr>
          <w:rFonts w:ascii="Calibri" w:hAnsi="Calibri"/>
        </w:rPr>
        <w:t xml:space="preserve"> and Member-States</w:t>
      </w:r>
      <w:r w:rsidRPr="00B71273">
        <w:rPr>
          <w:rFonts w:ascii="Calibri" w:hAnsi="Calibri"/>
        </w:rPr>
        <w:t xml:space="preserve"> </w:t>
      </w:r>
      <w:r w:rsidR="000F100C">
        <w:rPr>
          <w:rFonts w:ascii="Calibri" w:hAnsi="Calibri"/>
        </w:rPr>
        <w:t>concerning</w:t>
      </w:r>
      <w:r w:rsidRPr="00B71273">
        <w:rPr>
          <w:rFonts w:ascii="Calibri" w:hAnsi="Calibri"/>
        </w:rPr>
        <w:t xml:space="preserve"> women’s role </w:t>
      </w:r>
      <w:r w:rsidR="000F100C">
        <w:rPr>
          <w:rFonts w:ascii="Calibri" w:hAnsi="Calibri"/>
        </w:rPr>
        <w:t>in</w:t>
      </w:r>
      <w:r w:rsidRPr="00B71273">
        <w:rPr>
          <w:rFonts w:ascii="Calibri" w:hAnsi="Calibri"/>
        </w:rPr>
        <w:t xml:space="preserve"> peace-building </w:t>
      </w:r>
      <w:r w:rsidRPr="00B71273">
        <w:rPr>
          <w:rFonts w:ascii="Calibri" w:hAnsi="Calibri"/>
          <w:i/>
        </w:rPr>
        <w:t>within</w:t>
      </w:r>
      <w:r w:rsidR="000F100C">
        <w:rPr>
          <w:rFonts w:ascii="Calibri" w:hAnsi="Calibri"/>
        </w:rPr>
        <w:t xml:space="preserve"> the UN</w:t>
      </w:r>
      <w:r w:rsidRPr="00B71273">
        <w:rPr>
          <w:rFonts w:ascii="Calibri" w:hAnsi="Calibri"/>
        </w:rPr>
        <w:t>.</w:t>
      </w:r>
      <w:r w:rsidRPr="00B71273">
        <w:rPr>
          <w:rStyle w:val="FootnoteReference"/>
          <w:rFonts w:ascii="Calibri" w:hAnsi="Calibri"/>
        </w:rPr>
        <w:footnoteReference w:id="90"/>
      </w:r>
      <w:r w:rsidRPr="00B71273">
        <w:rPr>
          <w:rFonts w:ascii="Calibri" w:hAnsi="Calibri"/>
        </w:rPr>
        <w:t xml:space="preserve"> </w:t>
      </w:r>
    </w:p>
    <w:p w14:paraId="4DE0E282" w14:textId="77777777" w:rsidR="004E5EBC" w:rsidRDefault="004E5EBC" w:rsidP="004E5EBC">
      <w:pPr>
        <w:jc w:val="both"/>
        <w:rPr>
          <w:rFonts w:ascii="Calibri" w:hAnsi="Calibri"/>
        </w:rPr>
      </w:pPr>
    </w:p>
    <w:p w14:paraId="475E7A01" w14:textId="30974126" w:rsidR="004E5EBC" w:rsidRDefault="00FF355E" w:rsidP="00B27D2A">
      <w:pPr>
        <w:spacing w:line="360" w:lineRule="auto"/>
        <w:jc w:val="both"/>
        <w:rPr>
          <w:rFonts w:ascii="Calibri" w:hAnsi="Calibri"/>
        </w:rPr>
      </w:pPr>
      <w:r>
        <w:rPr>
          <w:rFonts w:ascii="Calibri" w:hAnsi="Calibri"/>
        </w:rPr>
        <w:t>Many of the commitments in t</w:t>
      </w:r>
      <w:r w:rsidR="004E5EBC" w:rsidRPr="00B71273">
        <w:rPr>
          <w:rFonts w:ascii="Calibri" w:hAnsi="Calibri"/>
        </w:rPr>
        <w:t xml:space="preserve">he </w:t>
      </w:r>
      <w:r w:rsidR="004E5EBC">
        <w:rPr>
          <w:rFonts w:ascii="Calibri" w:hAnsi="Calibri"/>
        </w:rPr>
        <w:t>BPfA’s critical area of concern on</w:t>
      </w:r>
      <w:r w:rsidR="004E5EBC" w:rsidRPr="00B71273">
        <w:rPr>
          <w:rFonts w:ascii="Calibri" w:hAnsi="Calibri"/>
        </w:rPr>
        <w:t xml:space="preserve"> </w:t>
      </w:r>
      <w:r w:rsidRPr="00B27D2A">
        <w:rPr>
          <w:rFonts w:ascii="Calibri" w:hAnsi="Calibri"/>
          <w:b/>
          <w:color w:val="4F81BD" w:themeColor="accent1"/>
        </w:rPr>
        <w:t>women and armed conflict</w:t>
      </w:r>
      <w:r w:rsidR="004E5EBC" w:rsidRPr="00B71273">
        <w:rPr>
          <w:rFonts w:ascii="Calibri" w:hAnsi="Calibri"/>
        </w:rPr>
        <w:t xml:space="preserve"> are re-affirmed in SCR 1325: increased</w:t>
      </w:r>
      <w:r>
        <w:rPr>
          <w:rFonts w:ascii="Calibri" w:hAnsi="Calibri"/>
        </w:rPr>
        <w:t xml:space="preserve"> consideration for women’s:</w:t>
      </w:r>
      <w:r w:rsidR="004E5EBC" w:rsidRPr="00B71273">
        <w:rPr>
          <w:rFonts w:ascii="Calibri" w:hAnsi="Calibri"/>
        </w:rPr>
        <w:t xml:space="preserve"> participation in power structures and at all levels of decision-making;</w:t>
      </w:r>
      <w:r w:rsidR="004E5EBC" w:rsidRPr="00B71273">
        <w:rPr>
          <w:rStyle w:val="FootnoteReference"/>
          <w:rFonts w:ascii="Calibri" w:hAnsi="Calibri"/>
        </w:rPr>
        <w:footnoteReference w:id="91"/>
      </w:r>
      <w:r w:rsidR="004E5EBC" w:rsidRPr="00B71273">
        <w:rPr>
          <w:rFonts w:ascii="Calibri" w:hAnsi="Calibri"/>
        </w:rPr>
        <w:t xml:space="preserve"> involvement </w:t>
      </w:r>
      <w:r>
        <w:rPr>
          <w:rFonts w:ascii="Calibri" w:hAnsi="Calibri"/>
        </w:rPr>
        <w:t>in preventing and</w:t>
      </w:r>
      <w:r w:rsidR="004E5EBC" w:rsidRPr="00B71273">
        <w:rPr>
          <w:rFonts w:ascii="Calibri" w:hAnsi="Calibri"/>
        </w:rPr>
        <w:t xml:space="preserve"> </w:t>
      </w:r>
      <w:r>
        <w:rPr>
          <w:rFonts w:ascii="Calibri" w:hAnsi="Calibri"/>
        </w:rPr>
        <w:t>resolving</w:t>
      </w:r>
      <w:r w:rsidR="004E5EBC" w:rsidRPr="00B71273">
        <w:rPr>
          <w:rFonts w:ascii="Calibri" w:hAnsi="Calibri"/>
        </w:rPr>
        <w:t xml:space="preserve"> conflicts;</w:t>
      </w:r>
      <w:r w:rsidR="004E5EBC" w:rsidRPr="00B71273">
        <w:rPr>
          <w:rStyle w:val="FootnoteReference"/>
          <w:rFonts w:ascii="Calibri" w:hAnsi="Calibri"/>
        </w:rPr>
        <w:footnoteReference w:id="92"/>
      </w:r>
      <w:r w:rsidR="004E5EBC" w:rsidRPr="00B71273">
        <w:rPr>
          <w:rFonts w:ascii="Calibri" w:hAnsi="Calibri"/>
        </w:rPr>
        <w:t xml:space="preserve"> </w:t>
      </w:r>
      <w:r>
        <w:rPr>
          <w:rFonts w:ascii="Calibri" w:hAnsi="Calibri"/>
        </w:rPr>
        <w:t>protection</w:t>
      </w:r>
      <w:r w:rsidR="004E5EBC" w:rsidRPr="00B71273">
        <w:rPr>
          <w:rFonts w:ascii="Calibri" w:hAnsi="Calibri"/>
        </w:rPr>
        <w:t xml:space="preserve"> in situations of </w:t>
      </w:r>
      <w:r w:rsidR="004E5EBC" w:rsidRPr="00B71273">
        <w:rPr>
          <w:rFonts w:ascii="Calibri" w:hAnsi="Calibri"/>
        </w:rPr>
        <w:lastRenderedPageBreak/>
        <w:t>armed conflict;</w:t>
      </w:r>
      <w:r w:rsidR="004E5EBC" w:rsidRPr="00B71273">
        <w:rPr>
          <w:rStyle w:val="FootnoteReference"/>
          <w:rFonts w:ascii="Calibri" w:hAnsi="Calibri"/>
        </w:rPr>
        <w:footnoteReference w:id="93"/>
      </w:r>
      <w:r w:rsidR="004E5EBC" w:rsidRPr="00B71273">
        <w:rPr>
          <w:rFonts w:ascii="Calibri" w:hAnsi="Calibri"/>
        </w:rPr>
        <w:t xml:space="preserve"> </w:t>
      </w:r>
      <w:r>
        <w:rPr>
          <w:rFonts w:ascii="Calibri" w:hAnsi="Calibri"/>
        </w:rPr>
        <w:t xml:space="preserve">and </w:t>
      </w:r>
      <w:r w:rsidR="005135B6">
        <w:rPr>
          <w:rFonts w:ascii="Calibri" w:hAnsi="Calibri"/>
        </w:rPr>
        <w:t>protecting</w:t>
      </w:r>
      <w:r>
        <w:rPr>
          <w:rFonts w:ascii="Calibri" w:hAnsi="Calibri"/>
        </w:rPr>
        <w:t xml:space="preserve"> refugees</w:t>
      </w:r>
      <w:r w:rsidR="004E5EBC" w:rsidRPr="00B71273">
        <w:rPr>
          <w:rFonts w:ascii="Calibri" w:hAnsi="Calibri"/>
        </w:rPr>
        <w:t>.</w:t>
      </w:r>
      <w:r w:rsidR="004E5EBC" w:rsidRPr="00B71273">
        <w:rPr>
          <w:rStyle w:val="FootnoteReference"/>
          <w:rFonts w:ascii="Calibri" w:hAnsi="Calibri"/>
        </w:rPr>
        <w:footnoteReference w:id="94"/>
      </w:r>
      <w:r w:rsidR="004E5EBC" w:rsidRPr="00B71273">
        <w:rPr>
          <w:rFonts w:ascii="Calibri" w:hAnsi="Calibri"/>
        </w:rPr>
        <w:t xml:space="preserve"> However, the BPfA also prioritizes </w:t>
      </w:r>
      <w:r w:rsidR="00415DA2">
        <w:rPr>
          <w:rFonts w:ascii="Calibri" w:hAnsi="Calibri"/>
        </w:rPr>
        <w:t>prevent</w:t>
      </w:r>
      <w:r>
        <w:rPr>
          <w:rFonts w:ascii="Calibri" w:hAnsi="Calibri"/>
        </w:rPr>
        <w:t>ing</w:t>
      </w:r>
      <w:r w:rsidR="004E5EBC" w:rsidRPr="00B71273">
        <w:rPr>
          <w:rFonts w:ascii="Calibri" w:hAnsi="Calibri"/>
        </w:rPr>
        <w:t xml:space="preserve"> conflict and demilitarisation by calling for a reduction of excessive military spending, and control of </w:t>
      </w:r>
      <w:r>
        <w:rPr>
          <w:rFonts w:ascii="Calibri" w:hAnsi="Calibri"/>
        </w:rPr>
        <w:t>the arms trade</w:t>
      </w:r>
      <w:r w:rsidR="004E5EBC" w:rsidRPr="00B71273">
        <w:rPr>
          <w:rFonts w:ascii="Calibri" w:hAnsi="Calibri"/>
        </w:rPr>
        <w:t>.</w:t>
      </w:r>
      <w:r w:rsidR="004E5EBC" w:rsidRPr="00B71273">
        <w:rPr>
          <w:rStyle w:val="FootnoteReference"/>
          <w:rFonts w:ascii="Calibri" w:hAnsi="Calibri"/>
        </w:rPr>
        <w:footnoteReference w:id="95"/>
      </w:r>
      <w:r w:rsidR="004E5EBC" w:rsidRPr="00B71273">
        <w:rPr>
          <w:rFonts w:ascii="Calibri" w:hAnsi="Calibri"/>
        </w:rPr>
        <w:t xml:space="preserve"> Conversely, SCR 1325 focuses on </w:t>
      </w:r>
      <w:r w:rsidR="00D43CEA">
        <w:rPr>
          <w:rFonts w:ascii="Calibri" w:hAnsi="Calibri"/>
        </w:rPr>
        <w:t>making</w:t>
      </w:r>
      <w:r w:rsidR="004E5EBC" w:rsidRPr="00B71273">
        <w:rPr>
          <w:rFonts w:ascii="Calibri" w:hAnsi="Calibri"/>
        </w:rPr>
        <w:t xml:space="preserve"> conflict safer for women</w:t>
      </w:r>
      <w:r>
        <w:rPr>
          <w:rFonts w:ascii="Calibri" w:hAnsi="Calibri"/>
        </w:rPr>
        <w:t>, rather than considering the links between arms</w:t>
      </w:r>
      <w:r w:rsidR="00D43CEA">
        <w:rPr>
          <w:rFonts w:ascii="Calibri" w:hAnsi="Calibri"/>
        </w:rPr>
        <w:t xml:space="preserve"> trading</w:t>
      </w:r>
      <w:r>
        <w:rPr>
          <w:rFonts w:ascii="Calibri" w:hAnsi="Calibri"/>
        </w:rPr>
        <w:t>, militarization and conflict.</w:t>
      </w:r>
      <w:r w:rsidR="004E5EBC" w:rsidRPr="00B71273">
        <w:rPr>
          <w:rStyle w:val="FootnoteReference"/>
          <w:rFonts w:ascii="Calibri" w:hAnsi="Calibri"/>
        </w:rPr>
        <w:footnoteReference w:id="96"/>
      </w:r>
      <w:r w:rsidR="004E5EBC" w:rsidRPr="00B71273">
        <w:rPr>
          <w:rFonts w:ascii="Calibri" w:hAnsi="Calibri"/>
        </w:rPr>
        <w:t xml:space="preserve"> </w:t>
      </w:r>
    </w:p>
    <w:p w14:paraId="0E7B5DF8" w14:textId="77777777" w:rsidR="004E5EBC" w:rsidRDefault="004E5EBC" w:rsidP="004E5EBC">
      <w:pPr>
        <w:jc w:val="both"/>
        <w:rPr>
          <w:rFonts w:ascii="Calibri" w:hAnsi="Calibri"/>
        </w:rPr>
      </w:pPr>
    </w:p>
    <w:p w14:paraId="2DD0B242" w14:textId="48A463BB" w:rsidR="004E5EBC" w:rsidRDefault="004E5EBC" w:rsidP="00B27D2A">
      <w:pPr>
        <w:spacing w:line="360" w:lineRule="auto"/>
        <w:jc w:val="both"/>
        <w:rPr>
          <w:rFonts w:ascii="Calibri" w:hAnsi="Calibri"/>
        </w:rPr>
      </w:pPr>
      <w:r w:rsidRPr="00B71273">
        <w:rPr>
          <w:rFonts w:ascii="Calibri" w:hAnsi="Calibri"/>
        </w:rPr>
        <w:t>The BPfA</w:t>
      </w:r>
      <w:r w:rsidR="005135B6">
        <w:rPr>
          <w:rFonts w:ascii="Calibri" w:hAnsi="Calibri"/>
        </w:rPr>
        <w:t>’s</w:t>
      </w:r>
      <w:r w:rsidRPr="00B71273">
        <w:rPr>
          <w:rFonts w:ascii="Calibri" w:hAnsi="Calibri"/>
        </w:rPr>
        <w:t xml:space="preserve"> </w:t>
      </w:r>
      <w:r>
        <w:rPr>
          <w:rFonts w:ascii="Calibri" w:hAnsi="Calibri"/>
        </w:rPr>
        <w:t xml:space="preserve">critical area of concern </w:t>
      </w:r>
      <w:r w:rsidRPr="00B71273">
        <w:rPr>
          <w:rFonts w:ascii="Calibri" w:hAnsi="Calibri"/>
        </w:rPr>
        <w:t xml:space="preserve">on </w:t>
      </w:r>
      <w:r w:rsidR="00FF355E" w:rsidRPr="00B27D2A">
        <w:rPr>
          <w:rFonts w:ascii="Calibri" w:hAnsi="Calibri"/>
          <w:b/>
          <w:color w:val="4F81BD" w:themeColor="accent1"/>
        </w:rPr>
        <w:t>violence against women</w:t>
      </w:r>
      <w:r w:rsidRPr="00B71273">
        <w:rPr>
          <w:rFonts w:ascii="Calibri" w:hAnsi="Calibri"/>
        </w:rPr>
        <w:t xml:space="preserve"> establishes similarly ambitious objectives</w:t>
      </w:r>
      <w:r w:rsidR="00FF355E">
        <w:rPr>
          <w:rFonts w:ascii="Calibri" w:hAnsi="Calibri"/>
        </w:rPr>
        <w:t xml:space="preserve"> to prevent</w:t>
      </w:r>
      <w:r w:rsidRPr="00B71273">
        <w:rPr>
          <w:rFonts w:ascii="Calibri" w:hAnsi="Calibri"/>
        </w:rPr>
        <w:t xml:space="preserve"> and elim</w:t>
      </w:r>
      <w:r w:rsidR="00FF355E">
        <w:rPr>
          <w:rFonts w:ascii="Calibri" w:hAnsi="Calibri"/>
        </w:rPr>
        <w:t xml:space="preserve">inate </w:t>
      </w:r>
      <w:r>
        <w:rPr>
          <w:rFonts w:ascii="Calibri" w:hAnsi="Calibri"/>
        </w:rPr>
        <w:t xml:space="preserve">violence against women </w:t>
      </w:r>
      <w:r w:rsidRPr="00B71273">
        <w:rPr>
          <w:rFonts w:ascii="Calibri" w:hAnsi="Calibri"/>
        </w:rPr>
        <w:t xml:space="preserve">in conflict and non-conflict </w:t>
      </w:r>
      <w:r>
        <w:rPr>
          <w:rFonts w:ascii="Calibri" w:hAnsi="Calibri"/>
        </w:rPr>
        <w:t>setting</w:t>
      </w:r>
      <w:r w:rsidRPr="00B71273">
        <w:rPr>
          <w:rFonts w:ascii="Calibri" w:hAnsi="Calibri"/>
        </w:rPr>
        <w:t xml:space="preserve">s. </w:t>
      </w:r>
      <w:r w:rsidR="00262E65">
        <w:rPr>
          <w:rFonts w:ascii="Calibri" w:hAnsi="Calibri"/>
        </w:rPr>
        <w:t>T</w:t>
      </w:r>
      <w:r w:rsidRPr="00B71273">
        <w:rPr>
          <w:rFonts w:ascii="Calibri" w:hAnsi="Calibri"/>
        </w:rPr>
        <w:t xml:space="preserve">he BPfA articulates a much deeper, more expansive set of goals </w:t>
      </w:r>
      <w:r w:rsidR="00262E65">
        <w:rPr>
          <w:rFonts w:ascii="Calibri" w:hAnsi="Calibri"/>
        </w:rPr>
        <w:t>than SCR 1325</w:t>
      </w:r>
      <w:r w:rsidR="00FF355E">
        <w:rPr>
          <w:rFonts w:ascii="Calibri" w:hAnsi="Calibri"/>
        </w:rPr>
        <w:t xml:space="preserve"> regarding violence</w:t>
      </w:r>
      <w:r w:rsidRPr="00B71273">
        <w:rPr>
          <w:rFonts w:ascii="Calibri" w:hAnsi="Calibri"/>
        </w:rPr>
        <w:t xml:space="preserve">. </w:t>
      </w:r>
      <w:r w:rsidR="00FF355E">
        <w:rPr>
          <w:rFonts w:ascii="Calibri" w:hAnsi="Calibri"/>
        </w:rPr>
        <w:t>Reflecting the CEDAW GR No. 19</w:t>
      </w:r>
      <w:r w:rsidR="00D43CEA">
        <w:rPr>
          <w:rFonts w:ascii="Calibri" w:hAnsi="Calibri"/>
        </w:rPr>
        <w:t xml:space="preserve">, the BPfA </w:t>
      </w:r>
      <w:r w:rsidRPr="00B71273">
        <w:rPr>
          <w:rFonts w:ascii="Calibri" w:hAnsi="Calibri"/>
        </w:rPr>
        <w:t>defines violence very broadly, to include any gender-based act of violence that results (or can result) in harm to women, be it physical, sexual, or psychological, including threats of such acts.</w:t>
      </w:r>
      <w:r w:rsidRPr="00B71273">
        <w:rPr>
          <w:rStyle w:val="FootnoteReference"/>
          <w:rFonts w:ascii="Calibri" w:hAnsi="Calibri"/>
        </w:rPr>
        <w:footnoteReference w:id="97"/>
      </w:r>
      <w:r w:rsidRPr="00B71273">
        <w:rPr>
          <w:rFonts w:ascii="Calibri" w:hAnsi="Calibri"/>
        </w:rPr>
        <w:t xml:space="preserve"> </w:t>
      </w:r>
      <w:r w:rsidR="00071BFC">
        <w:rPr>
          <w:rFonts w:ascii="Calibri" w:hAnsi="Calibri"/>
        </w:rPr>
        <w:t xml:space="preserve">The BPfA </w:t>
      </w:r>
      <w:r w:rsidRPr="00B71273">
        <w:rPr>
          <w:rFonts w:ascii="Calibri" w:hAnsi="Calibri"/>
        </w:rPr>
        <w:t xml:space="preserve">sets out three nuanced strategic objectives for all levels of government, NGOs, international organizations, and the mass media, to eliminate </w:t>
      </w:r>
      <w:r w:rsidR="00262E65">
        <w:rPr>
          <w:rFonts w:ascii="Calibri" w:hAnsi="Calibri"/>
        </w:rPr>
        <w:t xml:space="preserve">violence, </w:t>
      </w:r>
      <w:r w:rsidRPr="00B71273">
        <w:rPr>
          <w:rFonts w:ascii="Calibri" w:hAnsi="Calibri"/>
        </w:rPr>
        <w:t>namely: 1) the adoption by governments of integrated measures to prevent and eliminate violence against women;</w:t>
      </w:r>
      <w:r w:rsidRPr="00B71273">
        <w:rPr>
          <w:rStyle w:val="FootnoteReference"/>
          <w:rFonts w:ascii="Calibri" w:hAnsi="Calibri"/>
        </w:rPr>
        <w:footnoteReference w:id="98"/>
      </w:r>
      <w:r w:rsidRPr="00B71273">
        <w:rPr>
          <w:rFonts w:ascii="Calibri" w:hAnsi="Calibri"/>
        </w:rPr>
        <w:t xml:space="preserve"> 2) the study of the causes and consequences of violence against women and the effectiveness of preventive measures;</w:t>
      </w:r>
      <w:r w:rsidRPr="00B71273">
        <w:rPr>
          <w:rStyle w:val="FootnoteReference"/>
          <w:rFonts w:ascii="Calibri" w:hAnsi="Calibri"/>
        </w:rPr>
        <w:footnoteReference w:id="99"/>
      </w:r>
      <w:r w:rsidRPr="00B71273">
        <w:rPr>
          <w:rFonts w:ascii="Calibri" w:hAnsi="Calibri"/>
        </w:rPr>
        <w:t xml:space="preserve"> and 3) the elimination of trafficking in women and assistance for victims of violence due to prostitution and trafficking.</w:t>
      </w:r>
      <w:r w:rsidRPr="00B71273">
        <w:rPr>
          <w:rStyle w:val="FootnoteReference"/>
          <w:rFonts w:ascii="Calibri" w:hAnsi="Calibri"/>
        </w:rPr>
        <w:footnoteReference w:id="100"/>
      </w:r>
      <w:r w:rsidRPr="00B71273">
        <w:rPr>
          <w:rFonts w:ascii="Calibri" w:hAnsi="Calibri"/>
        </w:rPr>
        <w:t xml:space="preserve"> </w:t>
      </w:r>
    </w:p>
    <w:p w14:paraId="3A536C89" w14:textId="77777777" w:rsidR="004E5EBC" w:rsidRPr="00A10B53" w:rsidRDefault="004E5EBC" w:rsidP="004E5EBC">
      <w:pPr>
        <w:jc w:val="both"/>
        <w:rPr>
          <w:rFonts w:ascii="Calibri" w:hAnsi="Calibri"/>
        </w:rPr>
      </w:pPr>
    </w:p>
    <w:p w14:paraId="6A02B94D" w14:textId="02EA95C6" w:rsidR="004E5CB0" w:rsidRPr="00B27D2A" w:rsidRDefault="00D43CEA" w:rsidP="004E5CB0">
      <w:pPr>
        <w:jc w:val="both"/>
        <w:rPr>
          <w:rFonts w:ascii="Calibri" w:eastAsia="Times New Roman" w:hAnsi="Calibri" w:cs="Times New Roman"/>
          <w:color w:val="1F497D" w:themeColor="text2"/>
        </w:rPr>
      </w:pPr>
      <w:r w:rsidRPr="00B27D2A">
        <w:rPr>
          <w:rFonts w:ascii="Calibri" w:eastAsia="Times New Roman" w:hAnsi="Calibri" w:cs="Times New Roman"/>
          <w:b/>
          <w:bCs/>
          <w:color w:val="1F497D" w:themeColor="text2"/>
          <w:u w:val="single"/>
        </w:rPr>
        <w:t>The UN</w:t>
      </w:r>
      <w:r w:rsidR="004E5CB0" w:rsidRPr="00B27D2A">
        <w:rPr>
          <w:rFonts w:ascii="Calibri" w:eastAsia="Times New Roman" w:hAnsi="Calibri" w:cs="Times New Roman"/>
          <w:b/>
          <w:bCs/>
          <w:color w:val="1F497D" w:themeColor="text2"/>
          <w:u w:val="single"/>
        </w:rPr>
        <w:t xml:space="preserve"> General Assembly Outcome Document on “Women, Development and Peace”</w:t>
      </w:r>
      <w:r w:rsidR="000813FB" w:rsidRPr="00B27D2A">
        <w:rPr>
          <w:rFonts w:ascii="Calibri" w:eastAsia="Times New Roman" w:hAnsi="Calibri" w:cs="Times New Roman"/>
          <w:b/>
          <w:bCs/>
          <w:color w:val="1F497D" w:themeColor="text2"/>
          <w:u w:val="single"/>
        </w:rPr>
        <w:t>, 2000</w:t>
      </w:r>
      <w:r w:rsidR="004E5CB0" w:rsidRPr="00B27D2A">
        <w:rPr>
          <w:rFonts w:ascii="Calibri" w:eastAsia="Times New Roman" w:hAnsi="Calibri" w:cs="Times New Roman"/>
          <w:b/>
          <w:bCs/>
          <w:color w:val="1F497D" w:themeColor="text2"/>
          <w:u w:val="single"/>
        </w:rPr>
        <w:t> </w:t>
      </w:r>
    </w:p>
    <w:p w14:paraId="058BA88D" w14:textId="77777777" w:rsidR="004E5CB0" w:rsidRPr="004E5CB0" w:rsidRDefault="004E5CB0" w:rsidP="004E5CB0">
      <w:pPr>
        <w:jc w:val="both"/>
        <w:rPr>
          <w:rFonts w:ascii="Calibri" w:eastAsia="Times New Roman" w:hAnsi="Calibri" w:cs="Times New Roman"/>
          <w:color w:val="000000"/>
        </w:rPr>
      </w:pPr>
    </w:p>
    <w:p w14:paraId="2A173A3C" w14:textId="3D956E91" w:rsidR="00865EA7" w:rsidRDefault="000F100C" w:rsidP="00B27D2A">
      <w:pPr>
        <w:spacing w:line="360" w:lineRule="auto"/>
        <w:jc w:val="both"/>
        <w:rPr>
          <w:rFonts w:ascii="Calibri" w:hAnsi="Calibri"/>
        </w:rPr>
      </w:pPr>
      <w:r>
        <w:rPr>
          <w:rFonts w:ascii="Calibri" w:hAnsi="Calibri"/>
        </w:rPr>
        <w:t>The UNGA Outcome Document</w:t>
      </w:r>
      <w:r w:rsidR="00071BFC">
        <w:rPr>
          <w:rStyle w:val="FootnoteReference"/>
          <w:rFonts w:ascii="Calibri" w:hAnsi="Calibri"/>
        </w:rPr>
        <w:footnoteReference w:id="101"/>
      </w:r>
      <w:r>
        <w:rPr>
          <w:rFonts w:ascii="Calibri" w:hAnsi="Calibri"/>
        </w:rPr>
        <w:t xml:space="preserve"> also provides a useful blueprint for action, </w:t>
      </w:r>
      <w:r w:rsidR="00D43CEA">
        <w:rPr>
          <w:rFonts w:ascii="Calibri" w:hAnsi="Calibri"/>
        </w:rPr>
        <w:t xml:space="preserve">which in </w:t>
      </w:r>
      <w:r w:rsidR="004E5CB0" w:rsidRPr="004E5CB0">
        <w:rPr>
          <w:rFonts w:ascii="Calibri" w:hAnsi="Calibri"/>
        </w:rPr>
        <w:t xml:space="preserve">contrast to SCR 1325, </w:t>
      </w:r>
      <w:r w:rsidR="00071BFC">
        <w:rPr>
          <w:rFonts w:ascii="Calibri" w:hAnsi="Calibri"/>
        </w:rPr>
        <w:t>contains recommendations</w:t>
      </w:r>
      <w:r w:rsidR="004E5CB0" w:rsidRPr="004E5CB0">
        <w:rPr>
          <w:rFonts w:ascii="Calibri" w:hAnsi="Calibri"/>
        </w:rPr>
        <w:t xml:space="preserve"> on </w:t>
      </w:r>
      <w:r w:rsidR="004E5CB0" w:rsidRPr="00B27D2A">
        <w:rPr>
          <w:rFonts w:ascii="Calibri" w:hAnsi="Calibri"/>
          <w:b/>
          <w:color w:val="4F81BD" w:themeColor="accent1"/>
          <w:sz w:val="26"/>
          <w:szCs w:val="26"/>
        </w:rPr>
        <w:t>violence against women in peacetime</w:t>
      </w:r>
      <w:r w:rsidR="00865EA7" w:rsidRPr="00B27D2A">
        <w:rPr>
          <w:rFonts w:ascii="Calibri" w:hAnsi="Calibri"/>
          <w:color w:val="4F81BD" w:themeColor="accent1"/>
          <w:sz w:val="26"/>
          <w:szCs w:val="26"/>
        </w:rPr>
        <w:t xml:space="preserve"> and </w:t>
      </w:r>
      <w:r w:rsidR="00865EA7" w:rsidRPr="00B27D2A">
        <w:rPr>
          <w:rFonts w:ascii="Calibri" w:hAnsi="Calibri"/>
          <w:b/>
          <w:color w:val="4F81BD" w:themeColor="accent1"/>
          <w:sz w:val="26"/>
          <w:szCs w:val="26"/>
        </w:rPr>
        <w:t>refugees and IDPs</w:t>
      </w:r>
      <w:r w:rsidR="00D43CEA">
        <w:rPr>
          <w:rFonts w:ascii="Calibri" w:hAnsi="Calibri"/>
        </w:rPr>
        <w:t xml:space="preserve"> that should form part of an integrated understanding of the Security Council resolutions on women, peace and security.</w:t>
      </w:r>
      <w:r w:rsidR="00865EA7">
        <w:rPr>
          <w:rFonts w:ascii="Calibri" w:hAnsi="Calibri"/>
        </w:rPr>
        <w:t xml:space="preserve"> Like the BPfA, the </w:t>
      </w:r>
      <w:r w:rsidR="00865EA7" w:rsidRPr="004E5CB0">
        <w:rPr>
          <w:rFonts w:ascii="Calibri" w:hAnsi="Calibri"/>
        </w:rPr>
        <w:t xml:space="preserve">Document makes several key points not </w:t>
      </w:r>
      <w:r w:rsidR="00D43CEA">
        <w:rPr>
          <w:rFonts w:ascii="Calibri" w:hAnsi="Calibri"/>
        </w:rPr>
        <w:t>addressed</w:t>
      </w:r>
      <w:r w:rsidR="00865EA7" w:rsidRPr="004E5CB0">
        <w:rPr>
          <w:rFonts w:ascii="Calibri" w:hAnsi="Calibri"/>
        </w:rPr>
        <w:t xml:space="preserve"> in SCR 1325</w:t>
      </w:r>
      <w:r w:rsidR="00865EA7">
        <w:rPr>
          <w:rFonts w:ascii="Calibri" w:hAnsi="Calibri"/>
        </w:rPr>
        <w:t xml:space="preserve"> and its related resolutions</w:t>
      </w:r>
      <w:r w:rsidR="00D43CEA">
        <w:rPr>
          <w:rFonts w:ascii="Calibri" w:hAnsi="Calibri"/>
        </w:rPr>
        <w:t xml:space="preserve">. It recognizes: the inextricable links between peace, </w:t>
      </w:r>
      <w:r w:rsidR="00865EA7" w:rsidRPr="004E5CB0">
        <w:rPr>
          <w:rFonts w:ascii="Calibri" w:hAnsi="Calibri"/>
        </w:rPr>
        <w:t>equality between women and men and development;</w:t>
      </w:r>
      <w:r w:rsidR="00865EA7" w:rsidRPr="004E5CB0">
        <w:rPr>
          <w:rStyle w:val="FootnoteReference"/>
          <w:rFonts w:ascii="Calibri" w:hAnsi="Calibri"/>
        </w:rPr>
        <w:footnoteReference w:id="102"/>
      </w:r>
      <w:r w:rsidR="00865EA7" w:rsidRPr="004E5CB0">
        <w:rPr>
          <w:rFonts w:ascii="Calibri" w:hAnsi="Calibri"/>
        </w:rPr>
        <w:t xml:space="preserve"> the impact of armed conflict on the increasing level of female-headed households;</w:t>
      </w:r>
      <w:r w:rsidR="00865EA7" w:rsidRPr="004E5CB0">
        <w:rPr>
          <w:rStyle w:val="FootnoteReference"/>
          <w:rFonts w:ascii="Calibri" w:hAnsi="Calibri"/>
        </w:rPr>
        <w:footnoteReference w:id="103"/>
      </w:r>
      <w:r w:rsidR="00865EA7" w:rsidRPr="004E5CB0">
        <w:rPr>
          <w:rFonts w:ascii="Calibri" w:hAnsi="Calibri"/>
        </w:rPr>
        <w:t xml:space="preserve"> </w:t>
      </w:r>
      <w:r w:rsidR="00865EA7" w:rsidRPr="004E5CB0">
        <w:rPr>
          <w:rFonts w:ascii="Calibri" w:hAnsi="Calibri"/>
        </w:rPr>
        <w:lastRenderedPageBreak/>
        <w:t xml:space="preserve">and </w:t>
      </w:r>
      <w:r w:rsidR="00865EA7">
        <w:rPr>
          <w:rFonts w:ascii="Calibri" w:hAnsi="Calibri"/>
        </w:rPr>
        <w:t>that</w:t>
      </w:r>
      <w:r w:rsidR="00865EA7" w:rsidRPr="004E5CB0">
        <w:rPr>
          <w:rFonts w:ascii="Calibri" w:hAnsi="Calibri"/>
        </w:rPr>
        <w:t xml:space="preserve"> excessive military expenditures detract from the social and economic development of women by diverting funds.</w:t>
      </w:r>
      <w:r w:rsidR="00865EA7" w:rsidRPr="004E5CB0">
        <w:rPr>
          <w:rStyle w:val="FootnoteReference"/>
          <w:rFonts w:ascii="Calibri" w:hAnsi="Calibri"/>
        </w:rPr>
        <w:footnoteReference w:id="104"/>
      </w:r>
      <w:r w:rsidR="00865EA7" w:rsidRPr="004E5CB0">
        <w:rPr>
          <w:rFonts w:ascii="Calibri" w:hAnsi="Calibri"/>
        </w:rPr>
        <w:t xml:space="preserve"> </w:t>
      </w:r>
    </w:p>
    <w:p w14:paraId="2854C0A8" w14:textId="77777777" w:rsidR="00865EA7" w:rsidRDefault="00865EA7" w:rsidP="004E5CB0">
      <w:pPr>
        <w:jc w:val="both"/>
        <w:rPr>
          <w:rFonts w:ascii="Calibri" w:hAnsi="Calibri"/>
        </w:rPr>
      </w:pPr>
    </w:p>
    <w:p w14:paraId="777C6EC8" w14:textId="7221756E" w:rsidR="00865EA7" w:rsidRDefault="00865EA7" w:rsidP="00B27D2A">
      <w:pPr>
        <w:spacing w:line="360" w:lineRule="auto"/>
        <w:jc w:val="both"/>
        <w:rPr>
          <w:rFonts w:ascii="Calibri" w:hAnsi="Calibri"/>
        </w:rPr>
      </w:pPr>
      <w:r>
        <w:rPr>
          <w:rFonts w:ascii="Calibri" w:hAnsi="Calibri"/>
        </w:rPr>
        <w:t>The</w:t>
      </w:r>
      <w:r w:rsidR="004E5CB0" w:rsidRPr="004E5CB0">
        <w:rPr>
          <w:rFonts w:ascii="Calibri" w:hAnsi="Calibri"/>
        </w:rPr>
        <w:t xml:space="preserve"> Document recognizes </w:t>
      </w:r>
      <w:r>
        <w:rPr>
          <w:rFonts w:ascii="Calibri" w:hAnsi="Calibri"/>
        </w:rPr>
        <w:t xml:space="preserve">progress on addressing </w:t>
      </w:r>
      <w:r w:rsidRPr="00B27D2A">
        <w:rPr>
          <w:rFonts w:ascii="Calibri" w:hAnsi="Calibri"/>
          <w:b/>
          <w:color w:val="4F81BD" w:themeColor="accent1"/>
        </w:rPr>
        <w:t>violence against women</w:t>
      </w:r>
      <w:r w:rsidR="000F100C">
        <w:rPr>
          <w:rFonts w:ascii="Calibri" w:hAnsi="Calibri"/>
        </w:rPr>
        <w:t>, notably reforms</w:t>
      </w:r>
      <w:r w:rsidR="004E5CB0" w:rsidRPr="004E5CB0">
        <w:rPr>
          <w:rFonts w:ascii="Calibri" w:hAnsi="Calibri"/>
        </w:rPr>
        <w:t xml:space="preserve"> by governments;</w:t>
      </w:r>
      <w:r w:rsidR="004E5CB0" w:rsidRPr="004E5CB0">
        <w:rPr>
          <w:rStyle w:val="FootnoteReference"/>
          <w:rFonts w:ascii="Calibri" w:hAnsi="Calibri"/>
        </w:rPr>
        <w:footnoteReference w:id="105"/>
      </w:r>
      <w:r w:rsidR="004E5CB0" w:rsidRPr="004E5CB0">
        <w:rPr>
          <w:rFonts w:ascii="Calibri" w:hAnsi="Calibri"/>
        </w:rPr>
        <w:t xml:space="preserve"> increased research and specialized studies on gender roles;</w:t>
      </w:r>
      <w:r w:rsidR="004E5CB0" w:rsidRPr="004E5CB0">
        <w:rPr>
          <w:rStyle w:val="FootnoteReference"/>
          <w:rFonts w:ascii="Calibri" w:hAnsi="Calibri"/>
        </w:rPr>
        <w:footnoteReference w:id="106"/>
      </w:r>
      <w:r w:rsidR="004E5CB0" w:rsidRPr="004E5CB0">
        <w:rPr>
          <w:rFonts w:ascii="Calibri" w:hAnsi="Calibri"/>
        </w:rPr>
        <w:t xml:space="preserve"> efforts </w:t>
      </w:r>
      <w:r w:rsidR="000F100C">
        <w:rPr>
          <w:rFonts w:ascii="Calibri" w:hAnsi="Calibri"/>
        </w:rPr>
        <w:t>to eradicate</w:t>
      </w:r>
      <w:r w:rsidR="004E5CB0" w:rsidRPr="004E5CB0">
        <w:rPr>
          <w:rFonts w:ascii="Calibri" w:hAnsi="Calibri"/>
        </w:rPr>
        <w:t xml:space="preserve"> harmful traditional practices, including female genital mutilation and the appointment of the Special Ambassador for the Elimination of Female Genital Mutilation by the United Nations Population Fund.</w:t>
      </w:r>
      <w:r w:rsidR="004E5CB0" w:rsidRPr="004E5CB0">
        <w:rPr>
          <w:rStyle w:val="FootnoteReference"/>
          <w:rFonts w:ascii="Calibri" w:hAnsi="Calibri"/>
        </w:rPr>
        <w:footnoteReference w:id="107"/>
      </w:r>
      <w:r w:rsidR="004E5CB0" w:rsidRPr="004E5CB0">
        <w:rPr>
          <w:rFonts w:ascii="Calibri" w:hAnsi="Calibri"/>
        </w:rPr>
        <w:t xml:space="preserve"> The many forms that violence can take are </w:t>
      </w:r>
      <w:r w:rsidR="00FF355E">
        <w:rPr>
          <w:rFonts w:ascii="Calibri" w:hAnsi="Calibri"/>
        </w:rPr>
        <w:t>elaborated on,</w:t>
      </w:r>
      <w:r w:rsidR="004E5CB0" w:rsidRPr="004E5CB0">
        <w:rPr>
          <w:rFonts w:ascii="Calibri" w:hAnsi="Calibri"/>
        </w:rPr>
        <w:t xml:space="preserve"> such as “physical, sexual and psychological violence occurring in the family, including battering, sexual abuse of female children in the household, dowry-related violence, marital rape, female genital mutilation and other traditional practices harmful to women, non-spousal violence and violence related to exploitation.”</w:t>
      </w:r>
      <w:r w:rsidR="004E5CB0" w:rsidRPr="004E5CB0">
        <w:rPr>
          <w:rStyle w:val="FootnoteReference"/>
          <w:rFonts w:ascii="Calibri" w:hAnsi="Calibri"/>
        </w:rPr>
        <w:footnoteReference w:id="108"/>
      </w:r>
      <w:r w:rsidR="004E5CB0" w:rsidRPr="004E5CB0">
        <w:rPr>
          <w:rFonts w:ascii="Calibri" w:hAnsi="Calibri"/>
        </w:rPr>
        <w:t xml:space="preserve"> </w:t>
      </w:r>
      <w:r w:rsidR="00071BFC">
        <w:rPr>
          <w:rFonts w:ascii="Calibri" w:hAnsi="Calibri"/>
        </w:rPr>
        <w:t>The Document notes problems</w:t>
      </w:r>
      <w:r w:rsidR="004E5CB0" w:rsidRPr="004E5CB0">
        <w:rPr>
          <w:rFonts w:ascii="Calibri" w:hAnsi="Calibri"/>
        </w:rPr>
        <w:t xml:space="preserve"> </w:t>
      </w:r>
      <w:r w:rsidR="000F100C">
        <w:rPr>
          <w:rFonts w:ascii="Calibri" w:hAnsi="Calibri"/>
        </w:rPr>
        <w:t>concerning</w:t>
      </w:r>
      <w:r w:rsidR="004E5CB0" w:rsidRPr="004E5CB0">
        <w:rPr>
          <w:rFonts w:ascii="Calibri" w:hAnsi="Calibri"/>
        </w:rPr>
        <w:t xml:space="preserve"> the use of new information and communication technologies for trafficking in women and children and for economic and sexual exploitation.</w:t>
      </w:r>
      <w:r w:rsidR="004E5CB0" w:rsidRPr="004E5CB0">
        <w:rPr>
          <w:rStyle w:val="FootnoteReference"/>
          <w:rFonts w:ascii="Calibri" w:hAnsi="Calibri"/>
        </w:rPr>
        <w:footnoteReference w:id="109"/>
      </w:r>
      <w:r w:rsidR="004E5CB0" w:rsidRPr="004E5CB0">
        <w:rPr>
          <w:rFonts w:ascii="Calibri" w:hAnsi="Calibri"/>
        </w:rPr>
        <w:t xml:space="preserve">  </w:t>
      </w:r>
    </w:p>
    <w:p w14:paraId="16ED48DA" w14:textId="77777777" w:rsidR="00865EA7" w:rsidRDefault="00865EA7" w:rsidP="004E5CB0">
      <w:pPr>
        <w:jc w:val="both"/>
        <w:rPr>
          <w:rFonts w:ascii="Calibri" w:hAnsi="Calibri"/>
        </w:rPr>
      </w:pPr>
    </w:p>
    <w:p w14:paraId="15140FEC" w14:textId="7BB2D6F4" w:rsidR="004E5CB0" w:rsidRPr="004E5CB0" w:rsidRDefault="000F100C" w:rsidP="00B27D2A">
      <w:pPr>
        <w:spacing w:line="360" w:lineRule="auto"/>
        <w:jc w:val="both"/>
        <w:rPr>
          <w:rFonts w:ascii="Calibri" w:hAnsi="Calibri"/>
        </w:rPr>
      </w:pPr>
      <w:r>
        <w:rPr>
          <w:rFonts w:ascii="Calibri" w:hAnsi="Calibri"/>
        </w:rPr>
        <w:t>The</w:t>
      </w:r>
      <w:r w:rsidR="004E5CB0" w:rsidRPr="004E5CB0">
        <w:rPr>
          <w:rFonts w:ascii="Calibri" w:hAnsi="Calibri"/>
        </w:rPr>
        <w:t xml:space="preserve"> Document</w:t>
      </w:r>
      <w:r w:rsidR="00865EA7">
        <w:rPr>
          <w:rFonts w:ascii="Calibri" w:hAnsi="Calibri"/>
        </w:rPr>
        <w:t xml:space="preserve"> </w:t>
      </w:r>
      <w:r w:rsidR="004E5CB0" w:rsidRPr="004E5CB0">
        <w:rPr>
          <w:rFonts w:ascii="Calibri" w:hAnsi="Calibri"/>
        </w:rPr>
        <w:t xml:space="preserve">dedicates significant </w:t>
      </w:r>
      <w:r w:rsidR="00262E65">
        <w:rPr>
          <w:rFonts w:ascii="Calibri" w:hAnsi="Calibri"/>
        </w:rPr>
        <w:t>attention</w:t>
      </w:r>
      <w:r w:rsidR="004E5CB0" w:rsidRPr="004E5CB0">
        <w:rPr>
          <w:rFonts w:ascii="Calibri" w:hAnsi="Calibri"/>
        </w:rPr>
        <w:t xml:space="preserve"> to </w:t>
      </w:r>
      <w:r w:rsidRPr="00B27D2A">
        <w:rPr>
          <w:rFonts w:ascii="Calibri" w:hAnsi="Calibri"/>
          <w:b/>
          <w:color w:val="4F81BD" w:themeColor="accent1"/>
        </w:rPr>
        <w:t>refugees</w:t>
      </w:r>
      <w:r w:rsidR="00262E65" w:rsidRPr="00B27D2A">
        <w:rPr>
          <w:rFonts w:ascii="Calibri" w:hAnsi="Calibri"/>
          <w:b/>
          <w:color w:val="4F81BD" w:themeColor="accent1"/>
        </w:rPr>
        <w:t xml:space="preserve"> and IDPs</w:t>
      </w:r>
      <w:r w:rsidR="004E5CB0" w:rsidRPr="004E5CB0">
        <w:rPr>
          <w:rFonts w:ascii="Calibri" w:hAnsi="Calibri"/>
        </w:rPr>
        <w:t xml:space="preserve">. </w:t>
      </w:r>
      <w:r w:rsidR="00865EA7">
        <w:rPr>
          <w:rFonts w:ascii="Calibri" w:hAnsi="Calibri"/>
        </w:rPr>
        <w:t>Progress on</w:t>
      </w:r>
      <w:r w:rsidR="004E5CB0" w:rsidRPr="004E5CB0">
        <w:rPr>
          <w:rFonts w:ascii="Calibri" w:hAnsi="Calibri"/>
        </w:rPr>
        <w:t xml:space="preserve"> </w:t>
      </w:r>
      <w:r w:rsidR="00865EA7">
        <w:rPr>
          <w:rFonts w:ascii="Calibri" w:hAnsi="Calibri"/>
        </w:rPr>
        <w:t>disseminating and implementing</w:t>
      </w:r>
      <w:r w:rsidR="004E5CB0" w:rsidRPr="004E5CB0">
        <w:rPr>
          <w:rFonts w:ascii="Calibri" w:hAnsi="Calibri"/>
        </w:rPr>
        <w:t xml:space="preserve"> guidelines for the protection of refugee women, and in addressing the needs of displaced women</w:t>
      </w:r>
      <w:r w:rsidR="00865EA7">
        <w:rPr>
          <w:rFonts w:ascii="Calibri" w:hAnsi="Calibri"/>
        </w:rPr>
        <w:t>, is noted</w:t>
      </w:r>
      <w:r w:rsidR="004E5CB0" w:rsidRPr="004E5CB0">
        <w:rPr>
          <w:rFonts w:ascii="Calibri" w:hAnsi="Calibri"/>
        </w:rPr>
        <w:t>.</w:t>
      </w:r>
      <w:r w:rsidR="004E5CB0" w:rsidRPr="004E5CB0">
        <w:rPr>
          <w:rStyle w:val="FootnoteReference"/>
          <w:rFonts w:ascii="Calibri" w:hAnsi="Calibri"/>
        </w:rPr>
        <w:footnoteReference w:id="110"/>
      </w:r>
      <w:r w:rsidR="004E5CB0" w:rsidRPr="004E5CB0">
        <w:rPr>
          <w:rFonts w:ascii="Calibri" w:hAnsi="Calibri"/>
        </w:rPr>
        <w:t xml:space="preserve"> However </w:t>
      </w:r>
      <w:r w:rsidR="00865EA7">
        <w:rPr>
          <w:rFonts w:ascii="Calibri" w:hAnsi="Calibri"/>
        </w:rPr>
        <w:t>the Document also highlights</w:t>
      </w:r>
      <w:r w:rsidR="004E5CB0" w:rsidRPr="004E5CB0">
        <w:rPr>
          <w:rFonts w:ascii="Calibri" w:hAnsi="Calibri"/>
        </w:rPr>
        <w:t xml:space="preserve"> the shortcomings of international assistance with respect to the increasing number of refugees.</w:t>
      </w:r>
      <w:r w:rsidR="004E5CB0" w:rsidRPr="004E5CB0">
        <w:rPr>
          <w:rStyle w:val="FootnoteReference"/>
          <w:rFonts w:ascii="Calibri" w:hAnsi="Calibri"/>
        </w:rPr>
        <w:footnoteReference w:id="111"/>
      </w:r>
      <w:r w:rsidR="004E5CB0">
        <w:rPr>
          <w:rFonts w:ascii="Calibri" w:hAnsi="Calibri"/>
        </w:rPr>
        <w:t xml:space="preserve"> </w:t>
      </w:r>
    </w:p>
    <w:p w14:paraId="3DB394FF" w14:textId="77777777" w:rsidR="004E5CB0" w:rsidRPr="004E5CB0" w:rsidRDefault="004E5CB0" w:rsidP="004E5CB0">
      <w:pPr>
        <w:jc w:val="both"/>
        <w:rPr>
          <w:rFonts w:ascii="Calibri" w:eastAsia="Times New Roman" w:hAnsi="Calibri" w:cs="Times New Roman"/>
          <w:color w:val="000000"/>
        </w:rPr>
      </w:pPr>
    </w:p>
    <w:p w14:paraId="2D67C052" w14:textId="422B1FE3" w:rsidR="004E5CB0" w:rsidRPr="00B27D2A" w:rsidRDefault="00C90972" w:rsidP="004E5CB0">
      <w:pPr>
        <w:jc w:val="both"/>
        <w:rPr>
          <w:rFonts w:ascii="Calibri" w:eastAsia="Times New Roman" w:hAnsi="Calibri" w:cs="Times New Roman"/>
          <w:color w:val="1F497D" w:themeColor="text2"/>
        </w:rPr>
      </w:pPr>
      <w:r w:rsidRPr="00B27D2A">
        <w:rPr>
          <w:rFonts w:ascii="Calibri" w:eastAsia="Times New Roman" w:hAnsi="Calibri" w:cs="Times New Roman"/>
          <w:b/>
          <w:bCs/>
          <w:color w:val="1F497D" w:themeColor="text2"/>
          <w:u w:val="single"/>
        </w:rPr>
        <w:t>The Agreed Conclusions</w:t>
      </w:r>
      <w:r w:rsidR="00D43CEA" w:rsidRPr="00B27D2A">
        <w:rPr>
          <w:rFonts w:ascii="Calibri" w:eastAsia="Times New Roman" w:hAnsi="Calibri" w:cs="Times New Roman"/>
          <w:b/>
          <w:bCs/>
          <w:color w:val="1F497D" w:themeColor="text2"/>
          <w:u w:val="single"/>
        </w:rPr>
        <w:t xml:space="preserve"> of the Commission on the Status of Women,</w:t>
      </w:r>
      <w:r w:rsidRPr="00B27D2A">
        <w:rPr>
          <w:rFonts w:ascii="Calibri" w:eastAsia="Times New Roman" w:hAnsi="Calibri" w:cs="Times New Roman"/>
          <w:b/>
          <w:bCs/>
          <w:color w:val="1F497D" w:themeColor="text2"/>
          <w:u w:val="single"/>
        </w:rPr>
        <w:t xml:space="preserve"> 2013</w:t>
      </w:r>
    </w:p>
    <w:p w14:paraId="75C2994E" w14:textId="77777777" w:rsidR="002D0031" w:rsidRDefault="002D0031" w:rsidP="004E5CB0">
      <w:pPr>
        <w:jc w:val="both"/>
        <w:rPr>
          <w:rFonts w:ascii="Calibri" w:hAnsi="Calibri"/>
        </w:rPr>
      </w:pPr>
    </w:p>
    <w:p w14:paraId="0049E0C9" w14:textId="6631A023" w:rsidR="004E5CB0" w:rsidRDefault="00865EA7" w:rsidP="00B27D2A">
      <w:pPr>
        <w:spacing w:line="360" w:lineRule="auto"/>
        <w:jc w:val="both"/>
        <w:rPr>
          <w:rFonts w:ascii="Calibri" w:hAnsi="Calibri"/>
        </w:rPr>
      </w:pPr>
      <w:r>
        <w:rPr>
          <w:rFonts w:ascii="Calibri" w:hAnsi="Calibri"/>
        </w:rPr>
        <w:t xml:space="preserve">The </w:t>
      </w:r>
      <w:r w:rsidR="002D1918">
        <w:rPr>
          <w:rFonts w:ascii="Calibri" w:hAnsi="Calibri"/>
        </w:rPr>
        <w:t xml:space="preserve">CSW </w:t>
      </w:r>
      <w:r>
        <w:rPr>
          <w:rFonts w:ascii="Calibri" w:hAnsi="Calibri"/>
        </w:rPr>
        <w:t xml:space="preserve">Agreed Conclusions </w:t>
      </w:r>
      <w:r w:rsidR="002D1918">
        <w:rPr>
          <w:rFonts w:ascii="Calibri" w:hAnsi="Calibri"/>
        </w:rPr>
        <w:t>2013</w:t>
      </w:r>
      <w:r w:rsidR="00071BFC">
        <w:rPr>
          <w:rStyle w:val="FootnoteReference"/>
          <w:rFonts w:ascii="Calibri" w:hAnsi="Calibri"/>
        </w:rPr>
        <w:footnoteReference w:id="112"/>
      </w:r>
      <w:r>
        <w:rPr>
          <w:rFonts w:ascii="Calibri" w:hAnsi="Calibri"/>
        </w:rPr>
        <w:t xml:space="preserve"> </w:t>
      </w:r>
      <w:r w:rsidR="00483893">
        <w:rPr>
          <w:rFonts w:ascii="Calibri" w:hAnsi="Calibri"/>
        </w:rPr>
        <w:t xml:space="preserve">build on </w:t>
      </w:r>
      <w:r w:rsidR="005253A3">
        <w:rPr>
          <w:rFonts w:ascii="Calibri" w:hAnsi="Calibri"/>
        </w:rPr>
        <w:t xml:space="preserve">the language of SCR 1325 and </w:t>
      </w:r>
      <w:r w:rsidR="00483893">
        <w:rPr>
          <w:rFonts w:ascii="Calibri" w:hAnsi="Calibri"/>
        </w:rPr>
        <w:t>other elements of the legal framework</w:t>
      </w:r>
      <w:r w:rsidR="00A6225E">
        <w:rPr>
          <w:rFonts w:ascii="Calibri" w:hAnsi="Calibri"/>
        </w:rPr>
        <w:t xml:space="preserve"> via their commitments </w:t>
      </w:r>
      <w:r w:rsidR="00C01F67">
        <w:rPr>
          <w:rFonts w:ascii="Calibri" w:hAnsi="Calibri"/>
        </w:rPr>
        <w:t>to</w:t>
      </w:r>
      <w:r w:rsidR="002D1918" w:rsidRPr="00764569">
        <w:rPr>
          <w:rFonts w:ascii="Calibri" w:hAnsi="Calibri"/>
        </w:rPr>
        <w:t>:</w:t>
      </w:r>
      <w:r w:rsidR="00D43CEA" w:rsidRPr="00764569">
        <w:rPr>
          <w:rFonts w:ascii="Calibri" w:hAnsi="Calibri"/>
        </w:rPr>
        <w:t xml:space="preserve"> </w:t>
      </w:r>
      <w:r w:rsidR="000813FB" w:rsidRPr="00764569">
        <w:rPr>
          <w:rFonts w:ascii="Calibri" w:hAnsi="Calibri"/>
          <w:b/>
          <w:color w:val="4F81BD" w:themeColor="accent1"/>
        </w:rPr>
        <w:t>comprehensively</w:t>
      </w:r>
      <w:r w:rsidR="000813FB" w:rsidRPr="00764569">
        <w:rPr>
          <w:rFonts w:ascii="Calibri" w:hAnsi="Calibri"/>
          <w:color w:val="4F81BD" w:themeColor="accent1"/>
        </w:rPr>
        <w:t xml:space="preserve"> </w:t>
      </w:r>
      <w:r w:rsidR="00A6225E" w:rsidRPr="00764569">
        <w:rPr>
          <w:rFonts w:ascii="Calibri" w:hAnsi="Calibri"/>
          <w:b/>
          <w:color w:val="4F81BD" w:themeColor="accent1"/>
        </w:rPr>
        <w:t>eliminate</w:t>
      </w:r>
      <w:r w:rsidR="00C01F67" w:rsidRPr="00764569">
        <w:rPr>
          <w:rFonts w:ascii="Calibri" w:hAnsi="Calibri"/>
          <w:b/>
          <w:color w:val="4F81BD" w:themeColor="accent1"/>
        </w:rPr>
        <w:t xml:space="preserve"> violence against all women and girls in public and private </w:t>
      </w:r>
      <w:r w:rsidR="00241F68" w:rsidRPr="00764569">
        <w:rPr>
          <w:rFonts w:ascii="Calibri" w:hAnsi="Calibri"/>
          <w:b/>
          <w:color w:val="4F81BD" w:themeColor="accent1"/>
        </w:rPr>
        <w:t>spheres</w:t>
      </w:r>
      <w:r w:rsidR="000813FB" w:rsidRPr="00764569">
        <w:rPr>
          <w:rFonts w:ascii="Calibri" w:hAnsi="Calibri"/>
          <w:b/>
          <w:color w:val="4F81BD" w:themeColor="accent1"/>
        </w:rPr>
        <w:t>, via short- and long-term measures</w:t>
      </w:r>
      <w:r w:rsidR="00C01F67">
        <w:rPr>
          <w:rFonts w:ascii="Calibri" w:hAnsi="Calibri"/>
        </w:rPr>
        <w:t xml:space="preserve">; </w:t>
      </w:r>
      <w:r w:rsidR="00721BD0">
        <w:rPr>
          <w:rFonts w:ascii="Calibri" w:hAnsi="Calibri"/>
        </w:rPr>
        <w:t>progres</w:t>
      </w:r>
      <w:r w:rsidR="00A6225E">
        <w:rPr>
          <w:rFonts w:ascii="Calibri" w:hAnsi="Calibri"/>
        </w:rPr>
        <w:t>s</w:t>
      </w:r>
      <w:r w:rsidR="00E1423B">
        <w:rPr>
          <w:rFonts w:ascii="Calibri" w:hAnsi="Calibri"/>
        </w:rPr>
        <w:t xml:space="preserve"> the </w:t>
      </w:r>
      <w:r w:rsidR="00E1423B" w:rsidRPr="00B27D2A">
        <w:rPr>
          <w:rFonts w:ascii="Calibri" w:hAnsi="Calibri"/>
          <w:b/>
          <w:color w:val="4F81BD" w:themeColor="accent1"/>
        </w:rPr>
        <w:t>Millennium Development Goals</w:t>
      </w:r>
      <w:r w:rsidR="00E1423B">
        <w:rPr>
          <w:rFonts w:ascii="Calibri" w:hAnsi="Calibri"/>
        </w:rPr>
        <w:t xml:space="preserve"> (MDGs) for women and girls in conflict and post-conflict situations;</w:t>
      </w:r>
      <w:r w:rsidR="002D1918">
        <w:rPr>
          <w:rFonts w:ascii="Calibri" w:hAnsi="Calibri"/>
        </w:rPr>
        <w:t xml:space="preserve"> and</w:t>
      </w:r>
      <w:r w:rsidR="00721BD0">
        <w:rPr>
          <w:rFonts w:ascii="Calibri" w:hAnsi="Calibri"/>
        </w:rPr>
        <w:t xml:space="preserve"> provid</w:t>
      </w:r>
      <w:r w:rsidR="00A6225E">
        <w:rPr>
          <w:rFonts w:ascii="Calibri" w:hAnsi="Calibri"/>
        </w:rPr>
        <w:t>e</w:t>
      </w:r>
      <w:r w:rsidR="002D1918">
        <w:rPr>
          <w:rFonts w:ascii="Calibri" w:hAnsi="Calibri"/>
        </w:rPr>
        <w:t xml:space="preserve"> </w:t>
      </w:r>
      <w:r w:rsidR="002D1918" w:rsidRPr="00B27D2A">
        <w:rPr>
          <w:rFonts w:ascii="Calibri" w:hAnsi="Calibri"/>
          <w:b/>
          <w:color w:val="4F81BD" w:themeColor="accent1"/>
        </w:rPr>
        <w:t>effective remedies</w:t>
      </w:r>
      <w:r w:rsidR="002D1918">
        <w:rPr>
          <w:rFonts w:ascii="Calibri" w:hAnsi="Calibri"/>
        </w:rPr>
        <w:t xml:space="preserve"> for victims</w:t>
      </w:r>
      <w:r w:rsidR="00A6225E">
        <w:rPr>
          <w:rFonts w:ascii="Calibri" w:hAnsi="Calibri"/>
        </w:rPr>
        <w:t xml:space="preserve"> based on an understanding of </w:t>
      </w:r>
      <w:r w:rsidR="00A6225E" w:rsidRPr="00764569">
        <w:rPr>
          <w:rFonts w:ascii="Calibri" w:hAnsi="Calibri"/>
          <w:b/>
          <w:color w:val="4F81BD" w:themeColor="accent1"/>
        </w:rPr>
        <w:t>the s</w:t>
      </w:r>
      <w:r w:rsidR="00A6225E" w:rsidRPr="00B27D2A">
        <w:rPr>
          <w:rFonts w:ascii="Calibri" w:hAnsi="Calibri"/>
          <w:b/>
          <w:color w:val="4F81BD" w:themeColor="accent1"/>
        </w:rPr>
        <w:t>ystemic impacts</w:t>
      </w:r>
      <w:r w:rsidR="002D1918" w:rsidRPr="00B27D2A">
        <w:rPr>
          <w:rFonts w:ascii="Calibri" w:hAnsi="Calibri"/>
          <w:color w:val="4F81BD" w:themeColor="accent1"/>
        </w:rPr>
        <w:t xml:space="preserve"> </w:t>
      </w:r>
      <w:r w:rsidR="00E1423B" w:rsidRPr="00B27D2A">
        <w:rPr>
          <w:rFonts w:ascii="Calibri" w:hAnsi="Calibri"/>
          <w:b/>
          <w:color w:val="4F81BD" w:themeColor="accent1"/>
        </w:rPr>
        <w:t xml:space="preserve">of </w:t>
      </w:r>
      <w:r w:rsidR="00004535" w:rsidRPr="00B27D2A">
        <w:rPr>
          <w:rFonts w:ascii="Calibri" w:hAnsi="Calibri"/>
          <w:b/>
          <w:color w:val="4F81BD" w:themeColor="accent1"/>
        </w:rPr>
        <w:t>violence</w:t>
      </w:r>
      <w:r w:rsidR="00004535">
        <w:rPr>
          <w:rFonts w:ascii="Calibri" w:hAnsi="Calibri"/>
        </w:rPr>
        <w:t>. The Agreed Conclusions recall SCR 1325, the other resolutions on WPS (adopted in 2008-2010) as well as resolutions on children and armed conflict and on armed conflict and post-conflict situations</w:t>
      </w:r>
      <w:r w:rsidR="002D1918">
        <w:rPr>
          <w:rFonts w:ascii="Calibri" w:hAnsi="Calibri"/>
        </w:rPr>
        <w:t>.</w:t>
      </w:r>
      <w:r w:rsidR="002D1918">
        <w:rPr>
          <w:rStyle w:val="FootnoteReference"/>
          <w:rFonts w:ascii="Calibri" w:hAnsi="Calibri"/>
        </w:rPr>
        <w:footnoteReference w:id="113"/>
      </w:r>
      <w:r w:rsidR="002D1918">
        <w:rPr>
          <w:rFonts w:ascii="Calibri" w:hAnsi="Calibri"/>
        </w:rPr>
        <w:t xml:space="preserve"> </w:t>
      </w:r>
    </w:p>
    <w:p w14:paraId="27603D15" w14:textId="77777777" w:rsidR="00004535" w:rsidRDefault="00004535" w:rsidP="004E5CB0">
      <w:pPr>
        <w:jc w:val="both"/>
        <w:rPr>
          <w:rFonts w:ascii="Calibri" w:hAnsi="Calibri"/>
        </w:rPr>
      </w:pPr>
    </w:p>
    <w:p w14:paraId="3F7ED541" w14:textId="5C70240F" w:rsidR="00221D3D" w:rsidRDefault="00721BD0" w:rsidP="00B27D2A">
      <w:pPr>
        <w:spacing w:line="360" w:lineRule="auto"/>
        <w:jc w:val="both"/>
        <w:rPr>
          <w:rFonts w:ascii="Calibri" w:hAnsi="Calibri"/>
        </w:rPr>
      </w:pPr>
      <w:r>
        <w:rPr>
          <w:rFonts w:ascii="Calibri" w:hAnsi="Calibri"/>
        </w:rPr>
        <w:t>The Agreed Conclusions</w:t>
      </w:r>
      <w:r w:rsidR="00B73AFD">
        <w:rPr>
          <w:rFonts w:ascii="Calibri" w:hAnsi="Calibri"/>
        </w:rPr>
        <w:t xml:space="preserve"> </w:t>
      </w:r>
      <w:r w:rsidR="00FA7291" w:rsidRPr="00B27D2A">
        <w:rPr>
          <w:rFonts w:ascii="Calibri" w:hAnsi="Calibri"/>
          <w:b/>
          <w:color w:val="4F81BD" w:themeColor="accent1"/>
        </w:rPr>
        <w:t>address</w:t>
      </w:r>
      <w:r w:rsidR="00483893" w:rsidRPr="00B27D2A">
        <w:rPr>
          <w:rFonts w:ascii="Calibri" w:hAnsi="Calibri"/>
          <w:b/>
          <w:color w:val="4F81BD" w:themeColor="accent1"/>
        </w:rPr>
        <w:t xml:space="preserve"> violence against women</w:t>
      </w:r>
      <w:r w:rsidR="00600491" w:rsidRPr="00B27D2A">
        <w:rPr>
          <w:rFonts w:ascii="Calibri" w:hAnsi="Calibri"/>
          <w:b/>
          <w:color w:val="4F81BD" w:themeColor="accent1"/>
        </w:rPr>
        <w:t xml:space="preserve"> and girls</w:t>
      </w:r>
      <w:r w:rsidR="00483893">
        <w:rPr>
          <w:rFonts w:ascii="Calibri" w:hAnsi="Calibri"/>
        </w:rPr>
        <w:t xml:space="preserve"> in conflict and </w:t>
      </w:r>
      <w:r w:rsidR="00FA7291">
        <w:rPr>
          <w:rFonts w:ascii="Calibri" w:hAnsi="Calibri"/>
        </w:rPr>
        <w:t>peacetime t</w:t>
      </w:r>
      <w:r w:rsidR="00241F68">
        <w:rPr>
          <w:rFonts w:ascii="Calibri" w:hAnsi="Calibri"/>
        </w:rPr>
        <w:t xml:space="preserve">hrough a </w:t>
      </w:r>
      <w:r w:rsidR="00241F68" w:rsidRPr="00B27D2A">
        <w:rPr>
          <w:rFonts w:ascii="Calibri" w:hAnsi="Calibri"/>
          <w:b/>
          <w:color w:val="4F81BD" w:themeColor="accent1"/>
        </w:rPr>
        <w:t>p</w:t>
      </w:r>
      <w:r w:rsidR="00B73AFD" w:rsidRPr="00B27D2A">
        <w:rPr>
          <w:rFonts w:ascii="Calibri" w:hAnsi="Calibri"/>
          <w:b/>
          <w:color w:val="4F81BD" w:themeColor="accent1"/>
        </w:rPr>
        <w:t>reventive and comprehensive approach</w:t>
      </w:r>
      <w:r w:rsidR="00241F68">
        <w:rPr>
          <w:rFonts w:ascii="Calibri" w:hAnsi="Calibri"/>
        </w:rPr>
        <w:t xml:space="preserve"> i</w:t>
      </w:r>
      <w:r w:rsidR="00B73AFD">
        <w:rPr>
          <w:rFonts w:ascii="Calibri" w:hAnsi="Calibri"/>
        </w:rPr>
        <w:t>nvolving coordinated, interdisc</w:t>
      </w:r>
      <w:r w:rsidR="00241F68">
        <w:rPr>
          <w:rFonts w:ascii="Calibri" w:hAnsi="Calibri"/>
        </w:rPr>
        <w:t xml:space="preserve">iplinary, accessible and sustained multi-sectoral services, programmes and responses at all levels, and </w:t>
      </w:r>
      <w:r w:rsidR="00600491">
        <w:rPr>
          <w:rFonts w:ascii="Calibri" w:hAnsi="Calibri"/>
        </w:rPr>
        <w:t xml:space="preserve">using </w:t>
      </w:r>
      <w:r w:rsidR="00241F68">
        <w:rPr>
          <w:rFonts w:ascii="Calibri" w:hAnsi="Calibri"/>
        </w:rPr>
        <w:t xml:space="preserve">all available technologies, for all victims and survivors. </w:t>
      </w:r>
      <w:r w:rsidR="002A1C0D">
        <w:rPr>
          <w:rFonts w:ascii="Calibri" w:hAnsi="Calibri"/>
        </w:rPr>
        <w:t xml:space="preserve"> </w:t>
      </w:r>
      <w:r w:rsidR="00221D3D">
        <w:rPr>
          <w:rFonts w:ascii="Calibri" w:hAnsi="Calibri"/>
        </w:rPr>
        <w:t>This approach is based on the</w:t>
      </w:r>
      <w:r w:rsidR="002A1C0D">
        <w:rPr>
          <w:rFonts w:ascii="Calibri" w:hAnsi="Calibri"/>
        </w:rPr>
        <w:t xml:space="preserve"> in</w:t>
      </w:r>
      <w:r w:rsidR="00221D3D">
        <w:rPr>
          <w:rFonts w:ascii="Calibri" w:hAnsi="Calibri"/>
        </w:rPr>
        <w:t xml:space="preserve">tersectional </w:t>
      </w:r>
      <w:r w:rsidR="002A1C0D">
        <w:rPr>
          <w:rFonts w:ascii="Calibri" w:hAnsi="Calibri"/>
        </w:rPr>
        <w:t xml:space="preserve">understanding of violence that </w:t>
      </w:r>
      <w:r w:rsidR="00221D3D">
        <w:rPr>
          <w:rFonts w:ascii="Calibri" w:hAnsi="Calibri"/>
        </w:rPr>
        <w:t>is also evident in</w:t>
      </w:r>
      <w:r w:rsidR="002A1C0D">
        <w:rPr>
          <w:rFonts w:ascii="Calibri" w:hAnsi="Calibri"/>
        </w:rPr>
        <w:t xml:space="preserve"> CEDAW and its GR No. 30, the BPfA and the UNGA Ou</w:t>
      </w:r>
      <w:r w:rsidR="005253A3">
        <w:rPr>
          <w:rFonts w:ascii="Calibri" w:hAnsi="Calibri"/>
        </w:rPr>
        <w:t>tcome Document. The intersectional approach</w:t>
      </w:r>
      <w:r w:rsidR="00D22D0E">
        <w:rPr>
          <w:rFonts w:ascii="Calibri" w:hAnsi="Calibri"/>
        </w:rPr>
        <w:t xml:space="preserve"> in the Conclusions</w:t>
      </w:r>
      <w:r w:rsidR="005253A3">
        <w:rPr>
          <w:rFonts w:ascii="Calibri" w:hAnsi="Calibri"/>
        </w:rPr>
        <w:t xml:space="preserve"> recognizes</w:t>
      </w:r>
      <w:r w:rsidR="002A1C0D">
        <w:rPr>
          <w:rFonts w:ascii="Calibri" w:hAnsi="Calibri"/>
        </w:rPr>
        <w:t xml:space="preserve"> the economic, social, and political causes and impacts of violence against women and girls, including in public spaces</w:t>
      </w:r>
      <w:r w:rsidR="00A6225E">
        <w:rPr>
          <w:rFonts w:ascii="Calibri" w:hAnsi="Calibri"/>
        </w:rPr>
        <w:t xml:space="preserve"> and cities</w:t>
      </w:r>
      <w:r w:rsidR="002A1C0D">
        <w:rPr>
          <w:rFonts w:ascii="Calibri" w:hAnsi="Calibri"/>
        </w:rPr>
        <w:t xml:space="preserve">, and acknowledges the vulnerability of specific groups including older and indigenous women and girls. </w:t>
      </w:r>
      <w:r w:rsidR="00221D3D">
        <w:rPr>
          <w:rFonts w:ascii="Calibri" w:hAnsi="Calibri"/>
        </w:rPr>
        <w:t>The Conclusions also affirm a universal understanding of human rights, stressing their interdependence, interrelated nature and indivisibility, despite cultural, religious and historical differences.</w:t>
      </w:r>
      <w:r w:rsidR="00221D3D">
        <w:rPr>
          <w:rStyle w:val="FootnoteReference"/>
          <w:rFonts w:ascii="Calibri" w:hAnsi="Calibri"/>
        </w:rPr>
        <w:footnoteReference w:id="114"/>
      </w:r>
      <w:r w:rsidR="00221D3D">
        <w:rPr>
          <w:rFonts w:ascii="Calibri" w:hAnsi="Calibri"/>
        </w:rPr>
        <w:t xml:space="preserve"> </w:t>
      </w:r>
    </w:p>
    <w:p w14:paraId="373F988B" w14:textId="77777777" w:rsidR="00221D3D" w:rsidRDefault="00221D3D" w:rsidP="004E5CB0">
      <w:pPr>
        <w:jc w:val="both"/>
        <w:rPr>
          <w:rFonts w:ascii="Calibri" w:hAnsi="Calibri"/>
        </w:rPr>
      </w:pPr>
    </w:p>
    <w:p w14:paraId="150035F4" w14:textId="388FA55C" w:rsidR="00A0415C" w:rsidRDefault="002A1C0D" w:rsidP="00A66D34">
      <w:pPr>
        <w:spacing w:line="360" w:lineRule="auto"/>
        <w:jc w:val="both"/>
        <w:rPr>
          <w:rFonts w:ascii="Calibri" w:hAnsi="Calibri"/>
        </w:rPr>
      </w:pPr>
      <w:r>
        <w:rPr>
          <w:rFonts w:ascii="Calibri" w:hAnsi="Calibri"/>
        </w:rPr>
        <w:t>The</w:t>
      </w:r>
      <w:r w:rsidR="00221D3D">
        <w:rPr>
          <w:rFonts w:ascii="Calibri" w:hAnsi="Calibri"/>
        </w:rPr>
        <w:t xml:space="preserve"> </w:t>
      </w:r>
      <w:r w:rsidR="00E84DE6">
        <w:rPr>
          <w:rFonts w:ascii="Calibri" w:hAnsi="Calibri"/>
        </w:rPr>
        <w:t>Agreed Conclusions</w:t>
      </w:r>
      <w:r w:rsidR="00510B56">
        <w:rPr>
          <w:rFonts w:ascii="Calibri" w:hAnsi="Calibri"/>
        </w:rPr>
        <w:t xml:space="preserve"> incorporate the services mentioned in SCR 1325 and other elements of the framework</w:t>
      </w:r>
      <w:r w:rsidR="00221D3D">
        <w:rPr>
          <w:rFonts w:ascii="Calibri" w:hAnsi="Calibri"/>
        </w:rPr>
        <w:t xml:space="preserve"> </w:t>
      </w:r>
      <w:r w:rsidR="00510B56">
        <w:rPr>
          <w:rFonts w:ascii="Calibri" w:hAnsi="Calibri"/>
        </w:rPr>
        <w:t>in regards to</w:t>
      </w:r>
      <w:r w:rsidR="00221D3D">
        <w:rPr>
          <w:rFonts w:ascii="Calibri" w:hAnsi="Calibri"/>
        </w:rPr>
        <w:t xml:space="preserve"> addressing violence via </w:t>
      </w:r>
      <w:r w:rsidR="00221D3D" w:rsidRPr="00A66D34">
        <w:rPr>
          <w:rFonts w:ascii="Calibri" w:hAnsi="Calibri"/>
          <w:b/>
          <w:color w:val="4F81BD" w:themeColor="accent1"/>
        </w:rPr>
        <w:t>immediate and short-term measures</w:t>
      </w:r>
      <w:r w:rsidR="00221D3D">
        <w:rPr>
          <w:rFonts w:ascii="Calibri" w:hAnsi="Calibri"/>
        </w:rPr>
        <w:t xml:space="preserve"> </w:t>
      </w:r>
      <w:r w:rsidR="00241F68">
        <w:rPr>
          <w:rFonts w:ascii="Calibri" w:hAnsi="Calibri"/>
        </w:rPr>
        <w:t>(the police and justice sector, legal aid services, health care including sexual and reproductive health services, medical, psychological and counselling services)</w:t>
      </w:r>
      <w:r w:rsidR="00510B56">
        <w:rPr>
          <w:rFonts w:ascii="Calibri" w:hAnsi="Calibri"/>
        </w:rPr>
        <w:t>. They also add</w:t>
      </w:r>
      <w:r w:rsidR="00221D3D">
        <w:rPr>
          <w:rFonts w:ascii="Calibri" w:hAnsi="Calibri"/>
        </w:rPr>
        <w:t xml:space="preserve"> services </w:t>
      </w:r>
      <w:r w:rsidR="00510B56">
        <w:rPr>
          <w:rFonts w:ascii="Calibri" w:hAnsi="Calibri"/>
        </w:rPr>
        <w:t>only mentioned in the CEDAW GR No. 30</w:t>
      </w:r>
      <w:r w:rsidR="00221D3D">
        <w:rPr>
          <w:rFonts w:ascii="Calibri" w:hAnsi="Calibri"/>
        </w:rPr>
        <w:t>, including</w:t>
      </w:r>
      <w:r w:rsidR="00241F68">
        <w:rPr>
          <w:rFonts w:ascii="Calibri" w:hAnsi="Calibri"/>
        </w:rPr>
        <w:t xml:space="preserve"> </w:t>
      </w:r>
      <w:r w:rsidR="00A0415C">
        <w:rPr>
          <w:rFonts w:ascii="Calibri" w:hAnsi="Calibri"/>
        </w:rPr>
        <w:t>government</w:t>
      </w:r>
      <w:r w:rsidR="00241F68">
        <w:rPr>
          <w:rFonts w:ascii="Calibri" w:hAnsi="Calibri"/>
        </w:rPr>
        <w:t xml:space="preserve"> and independent women’s shelt</w:t>
      </w:r>
      <w:r w:rsidR="00B73AFD">
        <w:rPr>
          <w:rFonts w:ascii="Calibri" w:hAnsi="Calibri"/>
        </w:rPr>
        <w:t>ers and counselling centres, 24-</w:t>
      </w:r>
      <w:r w:rsidR="00241F68">
        <w:rPr>
          <w:rFonts w:ascii="Calibri" w:hAnsi="Calibri"/>
        </w:rPr>
        <w:t xml:space="preserve">hour hotlines, social aid services, one-stop crisis centre, immigration services, child services </w:t>
      </w:r>
      <w:r w:rsidR="00B73AFD">
        <w:rPr>
          <w:rFonts w:ascii="Calibri" w:hAnsi="Calibri"/>
        </w:rPr>
        <w:t>and public housing services. There is an emphasis on women and children’s access</w:t>
      </w:r>
      <w:r w:rsidR="00600491">
        <w:rPr>
          <w:rFonts w:ascii="Calibri" w:hAnsi="Calibri"/>
        </w:rPr>
        <w:t xml:space="preserve"> to justice, with </w:t>
      </w:r>
      <w:r w:rsidR="00E84DE6">
        <w:rPr>
          <w:rFonts w:ascii="Calibri" w:hAnsi="Calibri"/>
        </w:rPr>
        <w:t>the requirement</w:t>
      </w:r>
      <w:r w:rsidR="00600491">
        <w:rPr>
          <w:rFonts w:ascii="Calibri" w:hAnsi="Calibri"/>
        </w:rPr>
        <w:t xml:space="preserve"> that these </w:t>
      </w:r>
      <w:r w:rsidR="00B73AFD">
        <w:rPr>
          <w:rFonts w:ascii="Calibri" w:hAnsi="Calibri"/>
        </w:rPr>
        <w:t xml:space="preserve">anti-violence measures </w:t>
      </w:r>
      <w:r w:rsidR="00600491">
        <w:rPr>
          <w:rFonts w:ascii="Calibri" w:hAnsi="Calibri"/>
        </w:rPr>
        <w:t>must be</w:t>
      </w:r>
      <w:r w:rsidR="00B73AFD">
        <w:rPr>
          <w:rFonts w:ascii="Calibri" w:hAnsi="Calibri"/>
        </w:rPr>
        <w:t xml:space="preserve"> safe and easy to reach.</w:t>
      </w:r>
      <w:r w:rsidR="00A0415C">
        <w:rPr>
          <w:rStyle w:val="FootnoteReference"/>
          <w:rFonts w:ascii="Calibri" w:hAnsi="Calibri"/>
        </w:rPr>
        <w:footnoteReference w:id="115"/>
      </w:r>
      <w:r w:rsidR="00B73AFD">
        <w:rPr>
          <w:rFonts w:ascii="Calibri" w:hAnsi="Calibri"/>
        </w:rPr>
        <w:t xml:space="preserve"> </w:t>
      </w:r>
    </w:p>
    <w:p w14:paraId="7B62412E" w14:textId="77777777" w:rsidR="00A0415C" w:rsidRDefault="00A0415C" w:rsidP="004E5CB0">
      <w:pPr>
        <w:jc w:val="both"/>
        <w:rPr>
          <w:rFonts w:ascii="Calibri" w:hAnsi="Calibri"/>
        </w:rPr>
      </w:pPr>
    </w:p>
    <w:p w14:paraId="7DB8AD5A" w14:textId="7DE789DF" w:rsidR="002A1C0D" w:rsidRDefault="00B73AFD" w:rsidP="00A66D34">
      <w:pPr>
        <w:spacing w:line="360" w:lineRule="auto"/>
        <w:jc w:val="both"/>
        <w:rPr>
          <w:rFonts w:ascii="Calibri" w:hAnsi="Calibri"/>
        </w:rPr>
      </w:pPr>
      <w:r>
        <w:rPr>
          <w:rFonts w:ascii="Calibri" w:hAnsi="Calibri"/>
        </w:rPr>
        <w:t xml:space="preserve">Short-term relief services are supplemented by </w:t>
      </w:r>
      <w:r w:rsidRPr="00764569">
        <w:rPr>
          <w:rFonts w:ascii="Calibri" w:hAnsi="Calibri"/>
          <w:b/>
          <w:color w:val="4F81BD" w:themeColor="accent1"/>
        </w:rPr>
        <w:t>long-term measures</w:t>
      </w:r>
      <w:r w:rsidR="00C65BD6" w:rsidRPr="00764569">
        <w:rPr>
          <w:rFonts w:ascii="Calibri" w:hAnsi="Calibri"/>
          <w:b/>
          <w:color w:val="4F81BD" w:themeColor="accent1"/>
        </w:rPr>
        <w:t xml:space="preserve"> to target violence against women</w:t>
      </w:r>
      <w:r>
        <w:rPr>
          <w:rFonts w:ascii="Calibri" w:hAnsi="Calibri"/>
        </w:rPr>
        <w:t>. The Conclusions recommend access to</w:t>
      </w:r>
      <w:r w:rsidRPr="00A66D34">
        <w:rPr>
          <w:rFonts w:ascii="Calibri" w:hAnsi="Calibri"/>
          <w:color w:val="4F81BD" w:themeColor="accent1"/>
        </w:rPr>
        <w:t xml:space="preserve"> </w:t>
      </w:r>
      <w:r w:rsidRPr="00A66D34">
        <w:rPr>
          <w:rFonts w:ascii="Calibri" w:hAnsi="Calibri"/>
          <w:b/>
          <w:color w:val="4F81BD" w:themeColor="accent1"/>
        </w:rPr>
        <w:t>long-term accommodation, education, employment and economic opportunities</w:t>
      </w:r>
      <w:r>
        <w:rPr>
          <w:rFonts w:ascii="Calibri" w:hAnsi="Calibri"/>
        </w:rPr>
        <w:t xml:space="preserve">, remind states of the obligation to consider the best interests of the child when dealing with child victims, and ask states to ensure the safety and security of health-care workers and service providers </w:t>
      </w:r>
      <w:r w:rsidR="00C65BD6">
        <w:rPr>
          <w:rFonts w:ascii="Calibri" w:hAnsi="Calibri"/>
        </w:rPr>
        <w:t>dealing</w:t>
      </w:r>
      <w:r>
        <w:rPr>
          <w:rFonts w:ascii="Calibri" w:hAnsi="Calibri"/>
        </w:rPr>
        <w:t xml:space="preserve"> with victims. </w:t>
      </w:r>
      <w:r w:rsidR="00041345">
        <w:rPr>
          <w:rFonts w:ascii="Calibri" w:hAnsi="Calibri"/>
        </w:rPr>
        <w:t xml:space="preserve">The </w:t>
      </w:r>
      <w:r w:rsidR="00C65BD6">
        <w:rPr>
          <w:rFonts w:ascii="Calibri" w:hAnsi="Calibri"/>
        </w:rPr>
        <w:t>Conclusions affirm</w:t>
      </w:r>
      <w:r w:rsidR="00041345">
        <w:rPr>
          <w:rFonts w:ascii="Calibri" w:hAnsi="Calibri"/>
        </w:rPr>
        <w:t xml:space="preserve"> that </w:t>
      </w:r>
      <w:r w:rsidRPr="00A66D34">
        <w:rPr>
          <w:rFonts w:ascii="Calibri" w:hAnsi="Calibri"/>
          <w:b/>
          <w:color w:val="4F81BD" w:themeColor="accent1"/>
        </w:rPr>
        <w:t>national women’s machineries</w:t>
      </w:r>
      <w:r w:rsidR="00041345">
        <w:rPr>
          <w:rFonts w:ascii="Calibri" w:hAnsi="Calibri"/>
          <w:b/>
        </w:rPr>
        <w:t xml:space="preserve"> </w:t>
      </w:r>
      <w:r w:rsidR="00041345">
        <w:rPr>
          <w:rFonts w:ascii="Calibri" w:hAnsi="Calibri"/>
        </w:rPr>
        <w:t>should be strategically positioned</w:t>
      </w:r>
      <w:r>
        <w:rPr>
          <w:rFonts w:ascii="Calibri" w:hAnsi="Calibri"/>
        </w:rPr>
        <w:t xml:space="preserve"> at the high</w:t>
      </w:r>
      <w:r w:rsidR="00600491">
        <w:rPr>
          <w:rFonts w:ascii="Calibri" w:hAnsi="Calibri"/>
        </w:rPr>
        <w:t>est levels of government, and</w:t>
      </w:r>
      <w:r>
        <w:rPr>
          <w:rFonts w:ascii="Calibri" w:hAnsi="Calibri"/>
        </w:rPr>
        <w:t xml:space="preserve"> </w:t>
      </w:r>
      <w:r w:rsidR="00041345">
        <w:rPr>
          <w:rFonts w:ascii="Calibri" w:hAnsi="Calibri"/>
        </w:rPr>
        <w:t xml:space="preserve">endowed </w:t>
      </w:r>
      <w:r>
        <w:rPr>
          <w:rFonts w:ascii="Calibri" w:hAnsi="Calibri"/>
        </w:rPr>
        <w:t>with</w:t>
      </w:r>
      <w:r w:rsidR="00041345">
        <w:rPr>
          <w:rFonts w:ascii="Calibri" w:hAnsi="Calibri"/>
        </w:rPr>
        <w:t xml:space="preserve"> the necessary</w:t>
      </w:r>
      <w:r>
        <w:rPr>
          <w:rFonts w:ascii="Calibri" w:hAnsi="Calibri"/>
        </w:rPr>
        <w:t xml:space="preserve"> financial and human resources</w:t>
      </w:r>
      <w:r w:rsidR="00600491">
        <w:rPr>
          <w:rFonts w:ascii="Calibri" w:hAnsi="Calibri"/>
        </w:rPr>
        <w:t xml:space="preserve"> to prevent and eliminate violence and discrimination</w:t>
      </w:r>
      <w:r w:rsidR="00041345">
        <w:rPr>
          <w:rFonts w:ascii="Calibri" w:hAnsi="Calibri"/>
        </w:rPr>
        <w:t>. The role of national human rights institutions is also acknowledged in the effort to prevent and eliminate violence against women and girls</w:t>
      </w:r>
      <w:r w:rsidR="00353635">
        <w:rPr>
          <w:rFonts w:ascii="Calibri" w:hAnsi="Calibri"/>
        </w:rPr>
        <w:t>.</w:t>
      </w:r>
      <w:r w:rsidR="002A1C0D">
        <w:rPr>
          <w:rFonts w:ascii="Calibri" w:hAnsi="Calibri"/>
        </w:rPr>
        <w:t xml:space="preserve"> The </w:t>
      </w:r>
      <w:r w:rsidR="00C65BD6">
        <w:rPr>
          <w:rFonts w:ascii="Calibri" w:hAnsi="Calibri"/>
        </w:rPr>
        <w:t>Agreed Conclusions also affirm</w:t>
      </w:r>
      <w:r w:rsidR="002A1C0D">
        <w:rPr>
          <w:rFonts w:ascii="Calibri" w:hAnsi="Calibri"/>
        </w:rPr>
        <w:t xml:space="preserve"> </w:t>
      </w:r>
      <w:r w:rsidR="002A1C0D" w:rsidRPr="00764569">
        <w:rPr>
          <w:rFonts w:ascii="Calibri" w:hAnsi="Calibri"/>
          <w:b/>
          <w:color w:val="4F81BD" w:themeColor="accent1"/>
        </w:rPr>
        <w:t>the important role of the community, especially men and boys, as well as civil society including women’s and youth organizations</w:t>
      </w:r>
      <w:r w:rsidR="002A1C0D" w:rsidRPr="00764569">
        <w:rPr>
          <w:rFonts w:ascii="Calibri" w:hAnsi="Calibri"/>
        </w:rPr>
        <w:t>,</w:t>
      </w:r>
      <w:r w:rsidR="002A1C0D">
        <w:rPr>
          <w:rFonts w:ascii="Calibri" w:hAnsi="Calibri"/>
        </w:rPr>
        <w:t xml:space="preserve"> </w:t>
      </w:r>
      <w:r w:rsidR="00221D3D">
        <w:rPr>
          <w:rFonts w:ascii="Calibri" w:hAnsi="Calibri"/>
        </w:rPr>
        <w:t>in eliminating</w:t>
      </w:r>
      <w:r w:rsidR="002A1C0D">
        <w:rPr>
          <w:rFonts w:ascii="Calibri" w:hAnsi="Calibri"/>
        </w:rPr>
        <w:t xml:space="preserve"> </w:t>
      </w:r>
      <w:r w:rsidR="00221D3D">
        <w:rPr>
          <w:rFonts w:ascii="Calibri" w:hAnsi="Calibri"/>
        </w:rPr>
        <w:t>v</w:t>
      </w:r>
      <w:r w:rsidR="002A1C0D">
        <w:rPr>
          <w:rFonts w:ascii="Calibri" w:hAnsi="Calibri"/>
        </w:rPr>
        <w:t>iolence against women.</w:t>
      </w:r>
      <w:r>
        <w:rPr>
          <w:rStyle w:val="FootnoteReference"/>
          <w:rFonts w:ascii="Calibri" w:hAnsi="Calibri"/>
        </w:rPr>
        <w:footnoteReference w:id="116"/>
      </w:r>
      <w:r>
        <w:rPr>
          <w:rFonts w:ascii="Calibri" w:hAnsi="Calibri"/>
        </w:rPr>
        <w:t xml:space="preserve"> </w:t>
      </w:r>
    </w:p>
    <w:p w14:paraId="6A535DF2" w14:textId="77777777" w:rsidR="002A1C0D" w:rsidRDefault="002A1C0D" w:rsidP="004E5CB0">
      <w:pPr>
        <w:jc w:val="both"/>
        <w:rPr>
          <w:rFonts w:ascii="Calibri" w:hAnsi="Calibri"/>
        </w:rPr>
      </w:pPr>
    </w:p>
    <w:p w14:paraId="57BD9007" w14:textId="5D5F6266" w:rsidR="00041345" w:rsidRPr="00041345" w:rsidRDefault="00C304E3" w:rsidP="00A66D34">
      <w:pPr>
        <w:spacing w:line="360" w:lineRule="auto"/>
        <w:jc w:val="both"/>
        <w:rPr>
          <w:rFonts w:ascii="Calibri" w:hAnsi="Calibri"/>
        </w:rPr>
      </w:pPr>
      <w:r>
        <w:rPr>
          <w:rFonts w:ascii="Calibri" w:hAnsi="Calibri"/>
        </w:rPr>
        <w:lastRenderedPageBreak/>
        <w:t xml:space="preserve">Like the BPfA and the UNGA Outcome Document, the Conclusions link </w:t>
      </w:r>
      <w:r w:rsidR="00905F75">
        <w:rPr>
          <w:rFonts w:ascii="Calibri" w:hAnsi="Calibri"/>
        </w:rPr>
        <w:t>the women, peace and security agenda</w:t>
      </w:r>
      <w:r>
        <w:rPr>
          <w:rFonts w:ascii="Calibri" w:hAnsi="Calibri"/>
        </w:rPr>
        <w:t xml:space="preserve"> to the </w:t>
      </w:r>
      <w:r w:rsidRPr="00A66D34">
        <w:rPr>
          <w:rFonts w:ascii="Calibri" w:hAnsi="Calibri"/>
          <w:b/>
          <w:color w:val="4F81BD" w:themeColor="accent1"/>
        </w:rPr>
        <w:t>overall development agenda</w:t>
      </w:r>
      <w:r>
        <w:rPr>
          <w:rFonts w:ascii="Calibri" w:hAnsi="Calibri"/>
        </w:rPr>
        <w:t xml:space="preserve">. </w:t>
      </w:r>
      <w:r w:rsidR="00041345">
        <w:rPr>
          <w:rFonts w:ascii="Calibri" w:hAnsi="Calibri"/>
        </w:rPr>
        <w:t xml:space="preserve">The </w:t>
      </w:r>
      <w:r w:rsidR="00041345" w:rsidRPr="00A66D34">
        <w:rPr>
          <w:rFonts w:ascii="Calibri" w:hAnsi="Calibri"/>
          <w:b/>
          <w:color w:val="4F81BD" w:themeColor="accent1"/>
        </w:rPr>
        <w:t>MDGs</w:t>
      </w:r>
      <w:r>
        <w:rPr>
          <w:rFonts w:ascii="Calibri" w:hAnsi="Calibri"/>
        </w:rPr>
        <w:t xml:space="preserve"> </w:t>
      </w:r>
      <w:r w:rsidR="00041345">
        <w:rPr>
          <w:rFonts w:ascii="Calibri" w:hAnsi="Calibri"/>
        </w:rPr>
        <w:t>are</w:t>
      </w:r>
      <w:r w:rsidR="00905F75">
        <w:rPr>
          <w:rFonts w:ascii="Calibri" w:hAnsi="Calibri"/>
        </w:rPr>
        <w:t xml:space="preserve"> acknowledged as</w:t>
      </w:r>
      <w:r w:rsidR="00041345">
        <w:rPr>
          <w:rFonts w:ascii="Calibri" w:hAnsi="Calibri"/>
        </w:rPr>
        <w:t xml:space="preserve"> </w:t>
      </w:r>
      <w:r>
        <w:rPr>
          <w:rFonts w:ascii="Calibri" w:hAnsi="Calibri"/>
        </w:rPr>
        <w:t>crucial</w:t>
      </w:r>
      <w:r w:rsidR="00041345">
        <w:rPr>
          <w:rFonts w:ascii="Calibri" w:hAnsi="Calibri"/>
        </w:rPr>
        <w:t xml:space="preserve"> to achieving</w:t>
      </w:r>
      <w:r>
        <w:rPr>
          <w:rFonts w:ascii="Calibri" w:hAnsi="Calibri"/>
        </w:rPr>
        <w:t xml:space="preserve"> the broader aims of</w:t>
      </w:r>
      <w:r w:rsidR="00041345">
        <w:rPr>
          <w:rFonts w:ascii="Calibri" w:hAnsi="Calibri"/>
        </w:rPr>
        <w:t xml:space="preserve"> gender equality and women’s empowerment. The Agreed Conclusions reinforce states’ commitments to strengthen</w:t>
      </w:r>
      <w:r>
        <w:rPr>
          <w:rFonts w:ascii="Calibri" w:hAnsi="Calibri"/>
        </w:rPr>
        <w:t xml:space="preserve"> national efforts and international cooperation</w:t>
      </w:r>
      <w:r w:rsidR="00041345">
        <w:rPr>
          <w:rFonts w:ascii="Calibri" w:hAnsi="Calibri"/>
        </w:rPr>
        <w:t xml:space="preserve"> to </w:t>
      </w:r>
      <w:r w:rsidR="00D22D0E">
        <w:rPr>
          <w:rFonts w:ascii="Calibri" w:hAnsi="Calibri"/>
        </w:rPr>
        <w:t xml:space="preserve">achieve the MDGs and </w:t>
      </w:r>
      <w:r>
        <w:rPr>
          <w:rFonts w:ascii="Calibri" w:hAnsi="Calibri"/>
        </w:rPr>
        <w:t>wider goals for</w:t>
      </w:r>
      <w:r w:rsidR="00041345">
        <w:rPr>
          <w:rFonts w:ascii="Calibri" w:hAnsi="Calibri"/>
        </w:rPr>
        <w:t xml:space="preserve"> women and girls affected by armed conflicts and </w:t>
      </w:r>
      <w:r>
        <w:rPr>
          <w:rFonts w:ascii="Calibri" w:hAnsi="Calibri"/>
        </w:rPr>
        <w:t>situations</w:t>
      </w:r>
      <w:r w:rsidR="00041345">
        <w:rPr>
          <w:rFonts w:ascii="Calibri" w:hAnsi="Calibri"/>
        </w:rPr>
        <w:t xml:space="preserve"> including natural disasters, trafficking in persons, terrorism and “other complex humanitarian emergencies”.</w:t>
      </w:r>
      <w:r w:rsidR="00D22D0E">
        <w:rPr>
          <w:rFonts w:ascii="Calibri" w:hAnsi="Calibri"/>
        </w:rPr>
        <w:t xml:space="preserve"> Like the CEDAW GR No. 30, </w:t>
      </w:r>
      <w:r>
        <w:rPr>
          <w:rFonts w:ascii="Calibri" w:hAnsi="Calibri"/>
        </w:rPr>
        <w:t xml:space="preserve">the Conclusions affirm the need to fully realize the rights of women and girls living under foreign occupation, in conformity with international law. </w:t>
      </w:r>
      <w:r>
        <w:rPr>
          <w:rStyle w:val="FootnoteReference"/>
          <w:rFonts w:ascii="Calibri" w:hAnsi="Calibri"/>
        </w:rPr>
        <w:footnoteReference w:id="117"/>
      </w:r>
      <w:r w:rsidR="00041345">
        <w:rPr>
          <w:rFonts w:ascii="Calibri" w:hAnsi="Calibri"/>
        </w:rPr>
        <w:t xml:space="preserve"> </w:t>
      </w:r>
    </w:p>
    <w:p w14:paraId="5666CB57" w14:textId="77777777" w:rsidR="00E1423B" w:rsidRDefault="00E1423B" w:rsidP="004E5CB0">
      <w:pPr>
        <w:jc w:val="both"/>
        <w:rPr>
          <w:rFonts w:ascii="Calibri" w:eastAsia="Times New Roman" w:hAnsi="Calibri" w:cs="Times New Roman"/>
          <w:color w:val="000000"/>
        </w:rPr>
      </w:pPr>
    </w:p>
    <w:p w14:paraId="1B51270C" w14:textId="55242A24" w:rsidR="00C304E3" w:rsidRDefault="00C304E3" w:rsidP="00A66D34">
      <w:pPr>
        <w:spacing w:line="360" w:lineRule="auto"/>
        <w:jc w:val="both"/>
        <w:rPr>
          <w:rFonts w:ascii="Calibri" w:eastAsia="Times New Roman" w:hAnsi="Calibri" w:cs="Times New Roman"/>
          <w:color w:val="000000"/>
        </w:rPr>
      </w:pPr>
      <w:r>
        <w:rPr>
          <w:rFonts w:ascii="Calibri" w:eastAsia="Times New Roman" w:hAnsi="Calibri" w:cs="Times New Roman"/>
          <w:color w:val="000000"/>
        </w:rPr>
        <w:t>Finally, t</w:t>
      </w:r>
      <w:r w:rsidR="00A6225E">
        <w:rPr>
          <w:rFonts w:ascii="Calibri" w:eastAsia="Times New Roman" w:hAnsi="Calibri" w:cs="Times New Roman"/>
          <w:color w:val="000000"/>
        </w:rPr>
        <w:t>he CS</w:t>
      </w:r>
      <w:r w:rsidR="00CC72DB">
        <w:rPr>
          <w:rFonts w:ascii="Calibri" w:eastAsia="Times New Roman" w:hAnsi="Calibri" w:cs="Times New Roman"/>
          <w:color w:val="000000"/>
        </w:rPr>
        <w:t>W Agreed Conclusions 2013 add to</w:t>
      </w:r>
      <w:r>
        <w:rPr>
          <w:rFonts w:ascii="Calibri" w:eastAsia="Times New Roman" w:hAnsi="Calibri" w:cs="Times New Roman"/>
          <w:color w:val="000000"/>
        </w:rPr>
        <w:t xml:space="preserve"> the legal framework by reinforcing the</w:t>
      </w:r>
      <w:r w:rsidR="008B328E">
        <w:rPr>
          <w:rFonts w:ascii="Calibri" w:eastAsia="Times New Roman" w:hAnsi="Calibri" w:cs="Times New Roman"/>
          <w:color w:val="000000"/>
        </w:rPr>
        <w:t xml:space="preserve"> need </w:t>
      </w:r>
      <w:r w:rsidR="00004535">
        <w:rPr>
          <w:rFonts w:ascii="Calibri" w:eastAsia="Times New Roman" w:hAnsi="Calibri" w:cs="Times New Roman"/>
          <w:color w:val="000000"/>
        </w:rPr>
        <w:t xml:space="preserve">for </w:t>
      </w:r>
      <w:r w:rsidR="00A6225E" w:rsidRPr="00764569">
        <w:rPr>
          <w:rFonts w:ascii="Calibri" w:eastAsia="Times New Roman" w:hAnsi="Calibri" w:cs="Times New Roman"/>
          <w:b/>
          <w:color w:val="4F81BD" w:themeColor="accent1"/>
        </w:rPr>
        <w:t xml:space="preserve">effective accountability, redress measures and </w:t>
      </w:r>
      <w:r w:rsidR="00004535" w:rsidRPr="00764569">
        <w:rPr>
          <w:rFonts w:ascii="Calibri" w:eastAsia="Times New Roman" w:hAnsi="Calibri" w:cs="Times New Roman"/>
          <w:b/>
          <w:color w:val="4F81BD" w:themeColor="accent1"/>
        </w:rPr>
        <w:t>effective remedies</w:t>
      </w:r>
      <w:r w:rsidR="008B328E" w:rsidRPr="00A66D34">
        <w:rPr>
          <w:rFonts w:ascii="Calibri" w:eastAsia="Times New Roman" w:hAnsi="Calibri" w:cs="Times New Roman"/>
          <w:color w:val="4F81BD" w:themeColor="accent1"/>
          <w:sz w:val="26"/>
          <w:szCs w:val="26"/>
        </w:rPr>
        <w:t xml:space="preserve"> </w:t>
      </w:r>
      <w:r w:rsidR="008B328E">
        <w:rPr>
          <w:rFonts w:ascii="Calibri" w:eastAsia="Times New Roman" w:hAnsi="Calibri" w:cs="Times New Roman"/>
          <w:color w:val="000000"/>
        </w:rPr>
        <w:t xml:space="preserve">for crimes against women and girls. </w:t>
      </w:r>
      <w:r>
        <w:rPr>
          <w:rFonts w:ascii="Calibri" w:eastAsia="Times New Roman" w:hAnsi="Calibri" w:cs="Times New Roman"/>
          <w:color w:val="000000"/>
        </w:rPr>
        <w:t xml:space="preserve"> </w:t>
      </w:r>
      <w:r w:rsidR="00004535">
        <w:rPr>
          <w:rFonts w:ascii="Calibri" w:eastAsia="Times New Roman" w:hAnsi="Calibri" w:cs="Times New Roman"/>
          <w:color w:val="000000"/>
        </w:rPr>
        <w:t xml:space="preserve">By recognising </w:t>
      </w:r>
      <w:r w:rsidR="00004535">
        <w:rPr>
          <w:rFonts w:ascii="Calibri" w:hAnsi="Calibri"/>
        </w:rPr>
        <w:t xml:space="preserve">the impact of violence on victims and survivors, families, communities and societies, and calling for effective </w:t>
      </w:r>
      <w:r w:rsidR="00A6225E">
        <w:rPr>
          <w:rFonts w:ascii="Calibri" w:hAnsi="Calibri"/>
        </w:rPr>
        <w:t xml:space="preserve">accountability and </w:t>
      </w:r>
      <w:r w:rsidR="00004535">
        <w:rPr>
          <w:rFonts w:ascii="Calibri" w:hAnsi="Calibri"/>
        </w:rPr>
        <w:t xml:space="preserve">remedies, the Conclusions support the aim of transformative equality as provided for in CEDAW and its GRs. </w:t>
      </w:r>
      <w:r w:rsidR="00A6225E">
        <w:rPr>
          <w:rFonts w:ascii="Calibri" w:hAnsi="Calibri"/>
        </w:rPr>
        <w:t>The Agreed Conclusions also call for accountability</w:t>
      </w:r>
      <w:r w:rsidR="00004535">
        <w:rPr>
          <w:rFonts w:ascii="Calibri" w:hAnsi="Calibri"/>
        </w:rPr>
        <w:t xml:space="preserve"> for the killing, maiming and targeting of women and girls, and crimes of sexual violence which are prohibited under international law. Steps must be taken to </w:t>
      </w:r>
      <w:r w:rsidR="006D4F1C">
        <w:rPr>
          <w:rFonts w:ascii="Calibri" w:hAnsi="Calibri"/>
        </w:rPr>
        <w:t>address these acts at all stages of the conflict and post-conflict resolution processes including via transitional justice mechanisms, while ensuring women’s full and effective participation in these processes.</w:t>
      </w:r>
      <w:r w:rsidR="006D4F1C" w:rsidRPr="006D4F1C">
        <w:rPr>
          <w:rStyle w:val="FootnoteReference"/>
          <w:rFonts w:ascii="Calibri" w:hAnsi="Calibri"/>
        </w:rPr>
        <w:t xml:space="preserve"> </w:t>
      </w:r>
      <w:r w:rsidR="006D4F1C">
        <w:rPr>
          <w:rStyle w:val="FootnoteReference"/>
          <w:rFonts w:ascii="Calibri" w:hAnsi="Calibri"/>
        </w:rPr>
        <w:footnoteReference w:id="118"/>
      </w:r>
    </w:p>
    <w:p w14:paraId="38F87A49" w14:textId="77777777" w:rsidR="00041345" w:rsidRDefault="00041345" w:rsidP="004E5CB0">
      <w:pPr>
        <w:jc w:val="both"/>
        <w:rPr>
          <w:rFonts w:ascii="Calibri" w:eastAsia="Times New Roman" w:hAnsi="Calibri" w:cs="Times New Roman"/>
          <w:color w:val="000000"/>
        </w:rPr>
      </w:pPr>
    </w:p>
    <w:p w14:paraId="2F781D55" w14:textId="77777777" w:rsidR="00041345" w:rsidRDefault="00041345" w:rsidP="004E5CB0">
      <w:pPr>
        <w:jc w:val="both"/>
        <w:rPr>
          <w:rFonts w:ascii="Calibri" w:eastAsia="Times New Roman" w:hAnsi="Calibri" w:cs="Times New Roman"/>
          <w:color w:val="000000"/>
        </w:rPr>
      </w:pPr>
    </w:p>
    <w:p w14:paraId="257346CD" w14:textId="77777777" w:rsidR="008E73F0" w:rsidRDefault="008E73F0" w:rsidP="008E73F0">
      <w:pPr>
        <w:jc w:val="both"/>
        <w:rPr>
          <w:rFonts w:ascii="Times New Roman" w:hAnsi="Times New Roman" w:cs="Times New Roman"/>
          <w:sz w:val="20"/>
          <w:szCs w:val="20"/>
          <w:lang w:val="en-US"/>
        </w:rPr>
      </w:pPr>
    </w:p>
    <w:p w14:paraId="6B8AC239" w14:textId="77777777" w:rsidR="002D1918" w:rsidRDefault="002D1918" w:rsidP="004E5EBC"/>
    <w:p w14:paraId="1652B3A5" w14:textId="6A5864EE" w:rsidR="00A6225E" w:rsidRDefault="004E5EBC">
      <w:r>
        <w:br w:type="page"/>
      </w:r>
    </w:p>
    <w:p w14:paraId="082878E7" w14:textId="284EC69C" w:rsidR="004E5EBC" w:rsidRPr="00764569" w:rsidRDefault="003B6A14" w:rsidP="00764569">
      <w:pPr>
        <w:pStyle w:val="Heading3"/>
        <w:keepLines/>
        <w:spacing w:before="20" w:after="0"/>
        <w:jc w:val="center"/>
        <w:rPr>
          <w:b w:val="0"/>
          <w:color w:val="1F497D" w:themeColor="text2"/>
          <w:spacing w:val="14"/>
          <w:sz w:val="32"/>
          <w:szCs w:val="32"/>
          <w:lang w:val="en-GB"/>
        </w:rPr>
      </w:pPr>
      <w:bookmarkStart w:id="7" w:name="_Toc416867085"/>
      <w:r w:rsidRPr="00764569">
        <w:rPr>
          <w:b w:val="0"/>
          <w:color w:val="1F497D" w:themeColor="text2"/>
          <w:spacing w:val="14"/>
          <w:sz w:val="32"/>
          <w:szCs w:val="32"/>
          <w:lang w:val="en-GB"/>
        </w:rPr>
        <w:lastRenderedPageBreak/>
        <w:t xml:space="preserve">SECTION 1 </w:t>
      </w:r>
      <w:r w:rsidR="00A6225E" w:rsidRPr="00764569">
        <w:rPr>
          <w:b w:val="0"/>
          <w:color w:val="1F497D" w:themeColor="text2"/>
          <w:spacing w:val="14"/>
          <w:sz w:val="32"/>
          <w:szCs w:val="32"/>
          <w:lang w:val="en-GB"/>
        </w:rPr>
        <w:t>CONCLUSION</w:t>
      </w:r>
      <w:r w:rsidRPr="00764569">
        <w:rPr>
          <w:b w:val="0"/>
          <w:color w:val="1F497D" w:themeColor="text2"/>
          <w:spacing w:val="14"/>
          <w:sz w:val="32"/>
          <w:szCs w:val="32"/>
          <w:lang w:val="en-GB"/>
        </w:rPr>
        <w:t>S</w:t>
      </w:r>
      <w:r w:rsidR="00225C4F" w:rsidRPr="00764569">
        <w:rPr>
          <w:b w:val="0"/>
          <w:color w:val="1F497D" w:themeColor="text2"/>
          <w:spacing w:val="14"/>
          <w:sz w:val="32"/>
          <w:szCs w:val="32"/>
          <w:lang w:val="en-GB"/>
        </w:rPr>
        <w:t xml:space="preserve"> AND RECOMMENDATION</w:t>
      </w:r>
      <w:bookmarkEnd w:id="7"/>
    </w:p>
    <w:p w14:paraId="4FB8BAC1" w14:textId="77777777" w:rsidR="002D1918" w:rsidRDefault="002D1918" w:rsidP="004E5EBC"/>
    <w:p w14:paraId="56FBECD2" w14:textId="6E686EC0" w:rsidR="00847B80" w:rsidRPr="00764569" w:rsidRDefault="000813FB" w:rsidP="00AE4A1C">
      <w:pPr>
        <w:spacing w:line="360" w:lineRule="auto"/>
        <w:rPr>
          <w:rFonts w:ascii="Calibri" w:hAnsi="Calibri"/>
        </w:rPr>
      </w:pPr>
      <w:r w:rsidRPr="00764569">
        <w:rPr>
          <w:rFonts w:ascii="Calibri" w:hAnsi="Calibri"/>
        </w:rPr>
        <w:t>Section 1 of this submission</w:t>
      </w:r>
      <w:r w:rsidR="00847B80" w:rsidRPr="00764569">
        <w:rPr>
          <w:rFonts w:ascii="Calibri" w:hAnsi="Calibri"/>
        </w:rPr>
        <w:t xml:space="preserve"> </w:t>
      </w:r>
      <w:r w:rsidR="0059378F" w:rsidRPr="00764569">
        <w:rPr>
          <w:rFonts w:ascii="Calibri" w:hAnsi="Calibri"/>
        </w:rPr>
        <w:t xml:space="preserve">makes the following </w:t>
      </w:r>
      <w:r w:rsidR="00764569">
        <w:rPr>
          <w:rFonts w:ascii="Calibri" w:hAnsi="Calibri"/>
        </w:rPr>
        <w:t xml:space="preserve">conclusions and recommendation: </w:t>
      </w:r>
    </w:p>
    <w:p w14:paraId="49DF61AB" w14:textId="77777777" w:rsidR="006701DA" w:rsidRPr="00764569" w:rsidRDefault="006701DA" w:rsidP="004E5EBC">
      <w:pPr>
        <w:rPr>
          <w:rFonts w:ascii="Calibri" w:hAnsi="Calibri"/>
        </w:rPr>
      </w:pPr>
    </w:p>
    <w:p w14:paraId="68AC3E45" w14:textId="4DACC75A" w:rsidR="00D21003" w:rsidRPr="00764569" w:rsidRDefault="00847B80" w:rsidP="00AE4A1C">
      <w:pPr>
        <w:pStyle w:val="ListParagraph"/>
        <w:numPr>
          <w:ilvl w:val="0"/>
          <w:numId w:val="35"/>
        </w:numPr>
        <w:spacing w:line="360" w:lineRule="auto"/>
        <w:jc w:val="both"/>
        <w:rPr>
          <w:rFonts w:ascii="Calibri" w:hAnsi="Calibri"/>
        </w:rPr>
      </w:pPr>
      <w:r w:rsidRPr="00764569">
        <w:rPr>
          <w:rFonts w:ascii="Calibri" w:hAnsi="Calibri"/>
        </w:rPr>
        <w:t xml:space="preserve">The </w:t>
      </w:r>
      <w:r w:rsidRPr="00764569">
        <w:rPr>
          <w:rFonts w:ascii="Calibri" w:hAnsi="Calibri"/>
          <w:b/>
          <w:color w:val="4F81BD" w:themeColor="accent1"/>
        </w:rPr>
        <w:t>language of SCR 1325</w:t>
      </w:r>
      <w:r w:rsidRPr="00764569">
        <w:rPr>
          <w:rFonts w:ascii="Calibri" w:hAnsi="Calibri"/>
          <w:b/>
        </w:rPr>
        <w:t xml:space="preserve"> </w:t>
      </w:r>
      <w:r w:rsidRPr="00764569">
        <w:rPr>
          <w:rFonts w:ascii="Calibri" w:hAnsi="Calibri"/>
        </w:rPr>
        <w:t xml:space="preserve">is grounded in binding </w:t>
      </w:r>
      <w:r w:rsidR="007949A5" w:rsidRPr="00764569">
        <w:rPr>
          <w:rFonts w:ascii="Calibri" w:hAnsi="Calibri"/>
        </w:rPr>
        <w:t>commitments</w:t>
      </w:r>
      <w:r w:rsidR="00247B0C" w:rsidRPr="00764569">
        <w:rPr>
          <w:rFonts w:ascii="Calibri" w:hAnsi="Calibri"/>
        </w:rPr>
        <w:t xml:space="preserve">, </w:t>
      </w:r>
      <w:r w:rsidRPr="00764569">
        <w:rPr>
          <w:rFonts w:ascii="Calibri" w:hAnsi="Calibri"/>
        </w:rPr>
        <w:t xml:space="preserve">and </w:t>
      </w:r>
      <w:r w:rsidRPr="00764569">
        <w:rPr>
          <w:rFonts w:ascii="Calibri" w:hAnsi="Calibri"/>
          <w:b/>
          <w:color w:val="4F81BD" w:themeColor="accent1"/>
        </w:rPr>
        <w:t>should be understood as</w:t>
      </w:r>
      <w:r w:rsidR="00247B0C" w:rsidRPr="00764569">
        <w:rPr>
          <w:rFonts w:ascii="Calibri" w:hAnsi="Calibri"/>
          <w:b/>
          <w:color w:val="4F81BD" w:themeColor="accent1"/>
        </w:rPr>
        <w:t xml:space="preserve"> containing </w:t>
      </w:r>
      <w:r w:rsidR="007949A5" w:rsidRPr="00764569">
        <w:rPr>
          <w:rFonts w:ascii="Calibri" w:hAnsi="Calibri"/>
          <w:b/>
          <w:color w:val="4F81BD" w:themeColor="accent1"/>
        </w:rPr>
        <w:t xml:space="preserve">states’ </w:t>
      </w:r>
      <w:r w:rsidR="00247B0C" w:rsidRPr="00764569">
        <w:rPr>
          <w:rFonts w:ascii="Calibri" w:hAnsi="Calibri"/>
          <w:b/>
          <w:color w:val="4F81BD" w:themeColor="accent1"/>
        </w:rPr>
        <w:t>legal obligations</w:t>
      </w:r>
      <w:r w:rsidRPr="00764569">
        <w:rPr>
          <w:rFonts w:ascii="Calibri" w:hAnsi="Calibri"/>
          <w:b/>
          <w:color w:val="4F81BD" w:themeColor="accent1"/>
        </w:rPr>
        <w:t xml:space="preserve"> and not mere political commitments</w:t>
      </w:r>
      <w:r w:rsidRPr="00764569">
        <w:rPr>
          <w:rFonts w:ascii="Calibri" w:hAnsi="Calibri"/>
        </w:rPr>
        <w:t xml:space="preserve">. The Resolution both expressly references and draws upon international law from treaties and custom, particularly CEDAW. </w:t>
      </w:r>
      <w:r w:rsidR="006701DA" w:rsidRPr="00764569">
        <w:rPr>
          <w:rFonts w:ascii="Calibri" w:hAnsi="Calibri"/>
        </w:rPr>
        <w:t>M</w:t>
      </w:r>
      <w:r w:rsidR="00306718" w:rsidRPr="00764569">
        <w:rPr>
          <w:rFonts w:ascii="Calibri" w:hAnsi="Calibri"/>
        </w:rPr>
        <w:t xml:space="preserve">any of the protections under </w:t>
      </w:r>
      <w:r w:rsidR="006701DA" w:rsidRPr="00764569">
        <w:rPr>
          <w:rFonts w:ascii="Calibri" w:hAnsi="Calibri"/>
        </w:rPr>
        <w:t>t</w:t>
      </w:r>
      <w:r w:rsidRPr="00764569">
        <w:rPr>
          <w:rFonts w:ascii="Calibri" w:hAnsi="Calibri"/>
        </w:rPr>
        <w:t>he four</w:t>
      </w:r>
      <w:r w:rsidR="006701DA" w:rsidRPr="00764569">
        <w:rPr>
          <w:rFonts w:ascii="Calibri" w:hAnsi="Calibri"/>
        </w:rPr>
        <w:t xml:space="preserve"> pillars of the SCR 1325 reflect com</w:t>
      </w:r>
      <w:r w:rsidR="00306718" w:rsidRPr="00764569">
        <w:rPr>
          <w:rFonts w:ascii="Calibri" w:hAnsi="Calibri"/>
        </w:rPr>
        <w:t>mitments under CEDAW and its GRs</w:t>
      </w:r>
      <w:r w:rsidR="006701DA" w:rsidRPr="00764569">
        <w:rPr>
          <w:rFonts w:ascii="Calibri" w:hAnsi="Calibri"/>
        </w:rPr>
        <w:t>,</w:t>
      </w:r>
      <w:r w:rsidRPr="00764569">
        <w:rPr>
          <w:rFonts w:ascii="Calibri" w:hAnsi="Calibri"/>
        </w:rPr>
        <w:t xml:space="preserve"> espe</w:t>
      </w:r>
      <w:r w:rsidR="006701DA" w:rsidRPr="00764569">
        <w:rPr>
          <w:rFonts w:ascii="Calibri" w:hAnsi="Calibri"/>
        </w:rPr>
        <w:t>cially its participation pillar which</w:t>
      </w:r>
      <w:r w:rsidRPr="00764569">
        <w:rPr>
          <w:rFonts w:ascii="Calibri" w:hAnsi="Calibri"/>
        </w:rPr>
        <w:t xml:space="preserve"> reflect</w:t>
      </w:r>
      <w:r w:rsidR="006701DA" w:rsidRPr="00764569">
        <w:rPr>
          <w:rFonts w:ascii="Calibri" w:hAnsi="Calibri"/>
        </w:rPr>
        <w:t>s</w:t>
      </w:r>
      <w:r w:rsidRPr="00764569">
        <w:rPr>
          <w:rFonts w:ascii="Calibri" w:hAnsi="Calibri"/>
        </w:rPr>
        <w:t xml:space="preserve"> CEDAW’s obligation of non-discrimination. </w:t>
      </w:r>
      <w:r w:rsidR="00247B0C" w:rsidRPr="00764569">
        <w:rPr>
          <w:rFonts w:ascii="Calibri" w:hAnsi="Calibri"/>
        </w:rPr>
        <w:t>Understanding</w:t>
      </w:r>
      <w:r w:rsidR="00F44A80" w:rsidRPr="00764569">
        <w:rPr>
          <w:rFonts w:ascii="Calibri" w:hAnsi="Calibri"/>
        </w:rPr>
        <w:t xml:space="preserve"> </w:t>
      </w:r>
      <w:r w:rsidR="006701DA" w:rsidRPr="00764569">
        <w:rPr>
          <w:rFonts w:ascii="Calibri" w:hAnsi="Calibri"/>
        </w:rPr>
        <w:t>that CEDAW obligations underpin</w:t>
      </w:r>
      <w:r w:rsidRPr="00764569">
        <w:rPr>
          <w:rFonts w:ascii="Calibri" w:hAnsi="Calibri"/>
        </w:rPr>
        <w:t xml:space="preserve"> SCR 1325 </w:t>
      </w:r>
      <w:r w:rsidR="00247B0C" w:rsidRPr="00764569">
        <w:rPr>
          <w:rFonts w:ascii="Calibri" w:hAnsi="Calibri"/>
        </w:rPr>
        <w:t xml:space="preserve">is crucial </w:t>
      </w:r>
      <w:r w:rsidR="00F44A80" w:rsidRPr="00764569">
        <w:rPr>
          <w:rFonts w:ascii="Calibri" w:hAnsi="Calibri"/>
        </w:rPr>
        <w:t xml:space="preserve">to uphold the rights of women and girls in </w:t>
      </w:r>
      <w:r w:rsidR="006701DA" w:rsidRPr="00764569">
        <w:rPr>
          <w:rFonts w:ascii="Calibri" w:hAnsi="Calibri"/>
        </w:rPr>
        <w:t xml:space="preserve">relation to </w:t>
      </w:r>
      <w:r w:rsidR="00F44A80" w:rsidRPr="00764569">
        <w:rPr>
          <w:rFonts w:ascii="Calibri" w:hAnsi="Calibri"/>
        </w:rPr>
        <w:t>conflict.</w:t>
      </w:r>
    </w:p>
    <w:p w14:paraId="026AA9AB" w14:textId="77777777" w:rsidR="00D21003" w:rsidRPr="00764569" w:rsidRDefault="00D21003" w:rsidP="00D21003">
      <w:pPr>
        <w:pStyle w:val="ListParagraph"/>
        <w:ind w:left="360"/>
        <w:jc w:val="both"/>
        <w:rPr>
          <w:rFonts w:ascii="Calibri" w:hAnsi="Calibri"/>
        </w:rPr>
      </w:pPr>
    </w:p>
    <w:p w14:paraId="73D79509" w14:textId="0BF812E4" w:rsidR="006701DA" w:rsidRPr="00764569" w:rsidRDefault="00F44A80" w:rsidP="00AE4A1C">
      <w:pPr>
        <w:pStyle w:val="ListParagraph"/>
        <w:numPr>
          <w:ilvl w:val="0"/>
          <w:numId w:val="35"/>
        </w:numPr>
        <w:spacing w:line="360" w:lineRule="auto"/>
        <w:jc w:val="both"/>
        <w:rPr>
          <w:rFonts w:ascii="Calibri" w:hAnsi="Calibri"/>
        </w:rPr>
      </w:pPr>
      <w:r w:rsidRPr="00764569">
        <w:rPr>
          <w:rFonts w:ascii="Calibri" w:hAnsi="Calibri"/>
        </w:rPr>
        <w:t xml:space="preserve">The </w:t>
      </w:r>
      <w:r w:rsidRPr="00764569">
        <w:rPr>
          <w:rFonts w:ascii="Calibri" w:hAnsi="Calibri"/>
          <w:b/>
          <w:color w:val="4F81BD" w:themeColor="accent1"/>
        </w:rPr>
        <w:t>Security Council resolutions</w:t>
      </w:r>
      <w:r w:rsidRPr="00764569">
        <w:rPr>
          <w:rFonts w:ascii="Calibri" w:hAnsi="Calibri"/>
        </w:rPr>
        <w:t xml:space="preserve"> on women, peace and security that follow SCR 1325 also reflect binding international </w:t>
      </w:r>
      <w:r w:rsidR="00583713">
        <w:rPr>
          <w:rFonts w:ascii="Calibri" w:hAnsi="Calibri"/>
        </w:rPr>
        <w:t>legal</w:t>
      </w:r>
      <w:r w:rsidR="00247B0C" w:rsidRPr="00764569">
        <w:rPr>
          <w:rFonts w:ascii="Calibri" w:hAnsi="Calibri"/>
        </w:rPr>
        <w:t xml:space="preserve"> obligations that go beyond SCR 1325</w:t>
      </w:r>
      <w:r w:rsidR="00C16782" w:rsidRPr="00764569">
        <w:rPr>
          <w:rFonts w:ascii="Calibri" w:hAnsi="Calibri"/>
        </w:rPr>
        <w:t xml:space="preserve">. </w:t>
      </w:r>
      <w:r w:rsidR="00247B0C" w:rsidRPr="00764569">
        <w:rPr>
          <w:rFonts w:ascii="Calibri" w:hAnsi="Calibri"/>
        </w:rPr>
        <w:t xml:space="preserve"> T</w:t>
      </w:r>
      <w:r w:rsidR="00C16782" w:rsidRPr="00764569">
        <w:rPr>
          <w:rFonts w:ascii="Calibri" w:hAnsi="Calibri"/>
        </w:rPr>
        <w:t xml:space="preserve">hey </w:t>
      </w:r>
      <w:r w:rsidR="00247B0C" w:rsidRPr="00764569">
        <w:rPr>
          <w:rFonts w:ascii="Calibri" w:hAnsi="Calibri"/>
        </w:rPr>
        <w:t xml:space="preserve">expand on: </w:t>
      </w:r>
    </w:p>
    <w:p w14:paraId="12908A6F" w14:textId="77777777" w:rsidR="00E4120D" w:rsidRPr="00764569" w:rsidRDefault="00E4120D" w:rsidP="00E4120D">
      <w:pPr>
        <w:pStyle w:val="ListParagraph"/>
        <w:rPr>
          <w:rFonts w:ascii="Calibri" w:hAnsi="Calibri"/>
        </w:rPr>
      </w:pPr>
    </w:p>
    <w:p w14:paraId="4FF53EE5" w14:textId="13DFCD64" w:rsidR="006701DA" w:rsidRPr="00764569" w:rsidRDefault="006701DA" w:rsidP="00AE4A1C">
      <w:pPr>
        <w:pStyle w:val="ListParagraph"/>
        <w:numPr>
          <w:ilvl w:val="0"/>
          <w:numId w:val="34"/>
        </w:numPr>
        <w:spacing w:line="360" w:lineRule="auto"/>
        <w:jc w:val="both"/>
        <w:rPr>
          <w:rFonts w:ascii="Calibri" w:hAnsi="Calibri"/>
        </w:rPr>
      </w:pPr>
      <w:r w:rsidRPr="00764569">
        <w:rPr>
          <w:rFonts w:ascii="Calibri" w:hAnsi="Calibri"/>
        </w:rPr>
        <w:t>Women</w:t>
      </w:r>
      <w:r w:rsidR="006E21AB">
        <w:rPr>
          <w:rFonts w:ascii="Calibri" w:hAnsi="Calibri"/>
        </w:rPr>
        <w:t>’s</w:t>
      </w:r>
      <w:r w:rsidRPr="00764569">
        <w:rPr>
          <w:rFonts w:ascii="Calibri" w:hAnsi="Calibri"/>
        </w:rPr>
        <w:t xml:space="preserve"> and girls’ </w:t>
      </w:r>
      <w:r w:rsidR="00247B0C" w:rsidRPr="00764569">
        <w:rPr>
          <w:rFonts w:ascii="Calibri" w:hAnsi="Calibri"/>
          <w:b/>
          <w:color w:val="4F81BD" w:themeColor="accent1"/>
        </w:rPr>
        <w:t>access to justice and economic, social and cultural rights</w:t>
      </w:r>
      <w:r w:rsidR="00247B0C" w:rsidRPr="00764569">
        <w:rPr>
          <w:rFonts w:ascii="Calibri" w:hAnsi="Calibri"/>
        </w:rPr>
        <w:t xml:space="preserve"> under international human rights law; </w:t>
      </w:r>
    </w:p>
    <w:p w14:paraId="19B91FD0" w14:textId="554F666C" w:rsidR="00847B80" w:rsidRPr="00764569" w:rsidRDefault="006701DA" w:rsidP="00AE4A1C">
      <w:pPr>
        <w:pStyle w:val="ListParagraph"/>
        <w:numPr>
          <w:ilvl w:val="0"/>
          <w:numId w:val="34"/>
        </w:numPr>
        <w:spacing w:line="360" w:lineRule="auto"/>
        <w:jc w:val="both"/>
        <w:rPr>
          <w:rFonts w:ascii="Calibri" w:hAnsi="Calibri"/>
        </w:rPr>
      </w:pPr>
      <w:r w:rsidRPr="00764569">
        <w:rPr>
          <w:rFonts w:ascii="Calibri" w:hAnsi="Calibri"/>
        </w:rPr>
        <w:t>T</w:t>
      </w:r>
      <w:r w:rsidR="00247B0C" w:rsidRPr="00764569">
        <w:rPr>
          <w:rFonts w:ascii="Calibri" w:hAnsi="Calibri"/>
        </w:rPr>
        <w:t xml:space="preserve">he </w:t>
      </w:r>
      <w:r w:rsidR="00247B0C" w:rsidRPr="00764569">
        <w:rPr>
          <w:rFonts w:ascii="Calibri" w:hAnsi="Calibri"/>
          <w:b/>
          <w:color w:val="4F81BD" w:themeColor="accent1"/>
        </w:rPr>
        <w:t>protection of civilians</w:t>
      </w:r>
      <w:r w:rsidR="00247B0C" w:rsidRPr="00764569">
        <w:rPr>
          <w:rFonts w:ascii="Calibri" w:hAnsi="Calibri"/>
        </w:rPr>
        <w:t>, especially</w:t>
      </w:r>
      <w:r w:rsidRPr="00764569">
        <w:rPr>
          <w:rFonts w:ascii="Calibri" w:hAnsi="Calibri"/>
        </w:rPr>
        <w:t xml:space="preserve"> women and children and including against</w:t>
      </w:r>
      <w:r w:rsidR="00247B0C" w:rsidRPr="00764569">
        <w:rPr>
          <w:rFonts w:ascii="Calibri" w:hAnsi="Calibri"/>
        </w:rPr>
        <w:t xml:space="preserve"> rape and sexual violence and war crimes and crimes against humanity, the treatment of refugees, displaced persons and abductees and individual and command responsibility under international humanitarian law; </w:t>
      </w:r>
    </w:p>
    <w:p w14:paraId="62192B9A" w14:textId="4B085E9B" w:rsidR="006701DA" w:rsidRPr="00764569" w:rsidRDefault="006701DA" w:rsidP="00AE4A1C">
      <w:pPr>
        <w:pStyle w:val="ListParagraph"/>
        <w:numPr>
          <w:ilvl w:val="0"/>
          <w:numId w:val="34"/>
        </w:numPr>
        <w:spacing w:line="360" w:lineRule="auto"/>
        <w:jc w:val="both"/>
        <w:rPr>
          <w:rFonts w:ascii="Calibri" w:hAnsi="Calibri"/>
        </w:rPr>
      </w:pPr>
      <w:r w:rsidRPr="00764569">
        <w:rPr>
          <w:rFonts w:ascii="Calibri" w:hAnsi="Calibri"/>
        </w:rPr>
        <w:t xml:space="preserve">The need to </w:t>
      </w:r>
      <w:r w:rsidRPr="00764569">
        <w:rPr>
          <w:rFonts w:ascii="Calibri" w:hAnsi="Calibri"/>
          <w:b/>
          <w:color w:val="4F81BD" w:themeColor="accent1"/>
        </w:rPr>
        <w:t>end impunity and prosecute perpetrators of war crimes and crimes against humanity committed against women and girls</w:t>
      </w:r>
      <w:r w:rsidRPr="00764569">
        <w:rPr>
          <w:rFonts w:ascii="Calibri" w:hAnsi="Calibri"/>
          <w:b/>
        </w:rPr>
        <w:t xml:space="preserve"> </w:t>
      </w:r>
      <w:r w:rsidRPr="00764569">
        <w:rPr>
          <w:rFonts w:ascii="Calibri" w:hAnsi="Calibri"/>
        </w:rPr>
        <w:t>under international criminal law.</w:t>
      </w:r>
    </w:p>
    <w:p w14:paraId="3D8A6CCC" w14:textId="77777777" w:rsidR="00247B0C" w:rsidRPr="00764569" w:rsidRDefault="00247B0C" w:rsidP="004E5EBC">
      <w:pPr>
        <w:rPr>
          <w:rFonts w:ascii="Calibri" w:hAnsi="Calibri"/>
        </w:rPr>
      </w:pPr>
    </w:p>
    <w:p w14:paraId="027CA807" w14:textId="2EB703D6" w:rsidR="00247B0C" w:rsidRPr="00764569" w:rsidRDefault="006701DA" w:rsidP="00AE4A1C">
      <w:pPr>
        <w:pStyle w:val="ListParagraph"/>
        <w:numPr>
          <w:ilvl w:val="0"/>
          <w:numId w:val="35"/>
        </w:numPr>
        <w:spacing w:line="360" w:lineRule="auto"/>
        <w:jc w:val="both"/>
        <w:rPr>
          <w:rFonts w:ascii="Calibri" w:hAnsi="Calibri"/>
        </w:rPr>
      </w:pPr>
      <w:r w:rsidRPr="00764569">
        <w:rPr>
          <w:rFonts w:ascii="Calibri" w:hAnsi="Calibri"/>
          <w:b/>
          <w:color w:val="4F81BD" w:themeColor="accent1"/>
        </w:rPr>
        <w:t>CEDAW and its GR No. 30 contain seven important differences</w:t>
      </w:r>
      <w:r w:rsidRPr="00764569">
        <w:rPr>
          <w:rFonts w:ascii="Calibri" w:hAnsi="Calibri"/>
          <w:color w:val="4F81BD" w:themeColor="accent1"/>
        </w:rPr>
        <w:t xml:space="preserve"> </w:t>
      </w:r>
      <w:r w:rsidRPr="00764569">
        <w:rPr>
          <w:rFonts w:ascii="Calibri" w:hAnsi="Calibri"/>
        </w:rPr>
        <w:t xml:space="preserve">from </w:t>
      </w:r>
      <w:r w:rsidR="00DA4512" w:rsidRPr="00764569">
        <w:rPr>
          <w:rFonts w:ascii="Calibri" w:hAnsi="Calibri"/>
        </w:rPr>
        <w:t>the Security Council Resolutions</w:t>
      </w:r>
      <w:r w:rsidR="000813FB" w:rsidRPr="00764569">
        <w:rPr>
          <w:rFonts w:ascii="Calibri" w:hAnsi="Calibri"/>
        </w:rPr>
        <w:t xml:space="preserve"> </w:t>
      </w:r>
      <w:r w:rsidRPr="00764569">
        <w:rPr>
          <w:rFonts w:ascii="Calibri" w:hAnsi="Calibri"/>
        </w:rPr>
        <w:t xml:space="preserve">that should inform an understanding of </w:t>
      </w:r>
      <w:r w:rsidR="00DA4512" w:rsidRPr="00764569">
        <w:rPr>
          <w:rFonts w:ascii="Calibri" w:hAnsi="Calibri"/>
        </w:rPr>
        <w:t>them</w:t>
      </w:r>
      <w:r w:rsidRPr="00764569">
        <w:rPr>
          <w:rFonts w:ascii="Calibri" w:hAnsi="Calibri"/>
        </w:rPr>
        <w:t xml:space="preserve">. These </w:t>
      </w:r>
      <w:r w:rsidR="00D21003" w:rsidRPr="00764569">
        <w:rPr>
          <w:rFonts w:ascii="Calibri" w:hAnsi="Calibri"/>
        </w:rPr>
        <w:t xml:space="preserve">are: an </w:t>
      </w:r>
      <w:r w:rsidR="00D21003" w:rsidRPr="00764569">
        <w:rPr>
          <w:rFonts w:ascii="Calibri" w:hAnsi="Calibri"/>
          <w:b/>
          <w:color w:val="4F81BD" w:themeColor="accent1"/>
        </w:rPr>
        <w:t xml:space="preserve">expanded </w:t>
      </w:r>
      <w:r w:rsidR="00984850" w:rsidRPr="00764569">
        <w:rPr>
          <w:rFonts w:ascii="Calibri" w:hAnsi="Calibri"/>
          <w:b/>
          <w:color w:val="4F81BD" w:themeColor="accent1"/>
        </w:rPr>
        <w:t>view</w:t>
      </w:r>
      <w:r w:rsidR="00D21003" w:rsidRPr="00764569">
        <w:rPr>
          <w:rFonts w:ascii="Calibri" w:hAnsi="Calibri"/>
          <w:b/>
          <w:color w:val="4F81BD" w:themeColor="accent1"/>
        </w:rPr>
        <w:t xml:space="preserve"> of conflict</w:t>
      </w:r>
      <w:r w:rsidR="00D21003" w:rsidRPr="00764569">
        <w:rPr>
          <w:rFonts w:ascii="Calibri" w:hAnsi="Calibri"/>
        </w:rPr>
        <w:t xml:space="preserve"> that </w:t>
      </w:r>
      <w:r w:rsidR="00DA4512" w:rsidRPr="00764569">
        <w:rPr>
          <w:rFonts w:ascii="Calibri" w:hAnsi="Calibri"/>
        </w:rPr>
        <w:t>covers</w:t>
      </w:r>
      <w:r w:rsidR="00D21003" w:rsidRPr="00764569">
        <w:rPr>
          <w:rFonts w:ascii="Calibri" w:hAnsi="Calibri"/>
        </w:rPr>
        <w:t xml:space="preserve"> foreign </w:t>
      </w:r>
      <w:r w:rsidR="00DA4512" w:rsidRPr="00764569">
        <w:rPr>
          <w:rFonts w:ascii="Calibri" w:hAnsi="Calibri"/>
        </w:rPr>
        <w:t>and</w:t>
      </w:r>
      <w:r w:rsidR="00D21003" w:rsidRPr="00764569">
        <w:rPr>
          <w:rFonts w:ascii="Calibri" w:hAnsi="Calibri"/>
        </w:rPr>
        <w:t xml:space="preserve"> other forms of occupation and post-conflict situations; the application of </w:t>
      </w:r>
      <w:r w:rsidR="00D21003" w:rsidRPr="00764569">
        <w:rPr>
          <w:rFonts w:ascii="Calibri" w:hAnsi="Calibri"/>
          <w:b/>
          <w:color w:val="4F81BD" w:themeColor="accent1"/>
        </w:rPr>
        <w:t>extra-territorial responsibility</w:t>
      </w:r>
      <w:r w:rsidR="00D21003" w:rsidRPr="00764569">
        <w:rPr>
          <w:rFonts w:ascii="Calibri" w:hAnsi="Calibri"/>
          <w:color w:val="4F81BD" w:themeColor="accent1"/>
        </w:rPr>
        <w:t xml:space="preserve"> </w:t>
      </w:r>
      <w:r w:rsidR="00D21003" w:rsidRPr="00764569">
        <w:rPr>
          <w:rFonts w:ascii="Calibri" w:hAnsi="Calibri"/>
        </w:rPr>
        <w:t xml:space="preserve">to state and non-state actors; </w:t>
      </w:r>
      <w:r w:rsidR="00D21003" w:rsidRPr="00764569">
        <w:rPr>
          <w:rFonts w:ascii="Calibri" w:hAnsi="Calibri"/>
          <w:b/>
          <w:color w:val="4F81BD" w:themeColor="accent1"/>
        </w:rPr>
        <w:t>access to justice provisions that include transformative reparations</w:t>
      </w:r>
      <w:r w:rsidR="00D21003" w:rsidRPr="00764569">
        <w:rPr>
          <w:rFonts w:ascii="Calibri" w:hAnsi="Calibri"/>
        </w:rPr>
        <w:t xml:space="preserve">, especially for women and girl victims of rape and sexual and gender-based violence; a </w:t>
      </w:r>
      <w:r w:rsidR="00D21003" w:rsidRPr="00764569">
        <w:rPr>
          <w:rFonts w:ascii="Calibri" w:hAnsi="Calibri"/>
          <w:b/>
          <w:color w:val="4F81BD" w:themeColor="accent1"/>
        </w:rPr>
        <w:t>preventive approach to addressing women’s rights</w:t>
      </w:r>
      <w:r w:rsidR="00D21003" w:rsidRPr="00764569">
        <w:rPr>
          <w:rFonts w:ascii="Calibri" w:hAnsi="Calibri"/>
          <w:color w:val="4F81BD" w:themeColor="accent1"/>
        </w:rPr>
        <w:t xml:space="preserve"> </w:t>
      </w:r>
      <w:r w:rsidR="00D21003" w:rsidRPr="00764569">
        <w:rPr>
          <w:rFonts w:ascii="Calibri" w:hAnsi="Calibri"/>
          <w:b/>
          <w:color w:val="4F81BD" w:themeColor="accent1"/>
        </w:rPr>
        <w:t xml:space="preserve">at all stages of the conflict </w:t>
      </w:r>
      <w:r w:rsidR="00984850" w:rsidRPr="00764569">
        <w:rPr>
          <w:rFonts w:ascii="Calibri" w:hAnsi="Calibri"/>
          <w:b/>
          <w:color w:val="4F81BD" w:themeColor="accent1"/>
        </w:rPr>
        <w:t>process</w:t>
      </w:r>
      <w:r w:rsidR="00D21003" w:rsidRPr="00764569">
        <w:rPr>
          <w:rFonts w:ascii="Calibri" w:hAnsi="Calibri"/>
        </w:rPr>
        <w:t xml:space="preserve">; the recognition of human rights via an </w:t>
      </w:r>
      <w:r w:rsidR="00D21003" w:rsidRPr="00764569">
        <w:rPr>
          <w:rFonts w:ascii="Calibri" w:hAnsi="Calibri"/>
          <w:b/>
          <w:color w:val="4F81BD" w:themeColor="accent1"/>
        </w:rPr>
        <w:t>intersectional perspective</w:t>
      </w:r>
      <w:r w:rsidR="00D21003" w:rsidRPr="00764569">
        <w:rPr>
          <w:rFonts w:ascii="Calibri" w:hAnsi="Calibri"/>
        </w:rPr>
        <w:t xml:space="preserve"> that affirms protections for diverse groups of women and girls; comprehensive recommendation</w:t>
      </w:r>
      <w:r w:rsidR="00984850" w:rsidRPr="00764569">
        <w:rPr>
          <w:rFonts w:ascii="Calibri" w:hAnsi="Calibri"/>
        </w:rPr>
        <w:t>s</w:t>
      </w:r>
      <w:r w:rsidR="00D21003" w:rsidRPr="00764569">
        <w:rPr>
          <w:rFonts w:ascii="Calibri" w:hAnsi="Calibri"/>
        </w:rPr>
        <w:t xml:space="preserve"> on </w:t>
      </w:r>
      <w:r w:rsidR="00D21003" w:rsidRPr="00764569">
        <w:rPr>
          <w:rFonts w:ascii="Calibri" w:hAnsi="Calibri"/>
          <w:b/>
          <w:color w:val="4F81BD" w:themeColor="accent1"/>
        </w:rPr>
        <w:t>sexual and reproductive health</w:t>
      </w:r>
      <w:r w:rsidR="00D21003" w:rsidRPr="00764569">
        <w:rPr>
          <w:rFonts w:ascii="Calibri" w:hAnsi="Calibri"/>
        </w:rPr>
        <w:t xml:space="preserve">, including access to abortion; and the </w:t>
      </w:r>
      <w:r w:rsidR="00984850" w:rsidRPr="00764569">
        <w:rPr>
          <w:rFonts w:ascii="Calibri" w:hAnsi="Calibri"/>
        </w:rPr>
        <w:t>substantive</w:t>
      </w:r>
      <w:r w:rsidR="00D21003" w:rsidRPr="00764569">
        <w:rPr>
          <w:rFonts w:ascii="Calibri" w:hAnsi="Calibri"/>
        </w:rPr>
        <w:t xml:space="preserve"> recognition of </w:t>
      </w:r>
      <w:r w:rsidR="00D21003" w:rsidRPr="00764569">
        <w:rPr>
          <w:rFonts w:ascii="Calibri" w:hAnsi="Calibri"/>
          <w:b/>
          <w:color w:val="4F81BD" w:themeColor="accent1"/>
        </w:rPr>
        <w:t>economic, social and cultural rights</w:t>
      </w:r>
      <w:r w:rsidR="00984850" w:rsidRPr="00764569">
        <w:rPr>
          <w:rFonts w:ascii="Calibri" w:hAnsi="Calibri"/>
          <w:b/>
          <w:color w:val="4F81BD" w:themeColor="accent1"/>
        </w:rPr>
        <w:t xml:space="preserve"> as indivisible from civil and political rights</w:t>
      </w:r>
      <w:r w:rsidR="00984850" w:rsidRPr="00764569">
        <w:rPr>
          <w:rFonts w:ascii="Calibri" w:hAnsi="Calibri"/>
          <w:b/>
        </w:rPr>
        <w:t>,</w:t>
      </w:r>
      <w:r w:rsidR="00D21003" w:rsidRPr="00764569">
        <w:rPr>
          <w:rFonts w:ascii="Calibri" w:hAnsi="Calibri"/>
        </w:rPr>
        <w:t xml:space="preserve"> which </w:t>
      </w:r>
      <w:r w:rsidR="00984850" w:rsidRPr="00764569">
        <w:rPr>
          <w:rFonts w:ascii="Calibri" w:hAnsi="Calibri"/>
        </w:rPr>
        <w:t xml:space="preserve">builds </w:t>
      </w:r>
      <w:r w:rsidR="00D21003" w:rsidRPr="00764569">
        <w:rPr>
          <w:rFonts w:ascii="Calibri" w:hAnsi="Calibri"/>
        </w:rPr>
        <w:t>on the reco</w:t>
      </w:r>
      <w:r w:rsidR="000813FB" w:rsidRPr="00764569">
        <w:rPr>
          <w:rFonts w:ascii="Calibri" w:hAnsi="Calibri"/>
        </w:rPr>
        <w:t>gnition of these rights in the r</w:t>
      </w:r>
      <w:r w:rsidR="00D21003" w:rsidRPr="00764569">
        <w:rPr>
          <w:rFonts w:ascii="Calibri" w:hAnsi="Calibri"/>
        </w:rPr>
        <w:t xml:space="preserve">esolutions. </w:t>
      </w:r>
    </w:p>
    <w:p w14:paraId="248C1AA8" w14:textId="77777777" w:rsidR="000813FB" w:rsidRPr="00764569" w:rsidRDefault="000813FB" w:rsidP="000813FB">
      <w:pPr>
        <w:jc w:val="both"/>
        <w:rPr>
          <w:rFonts w:ascii="Calibri" w:hAnsi="Calibri"/>
        </w:rPr>
      </w:pPr>
    </w:p>
    <w:p w14:paraId="3813881F" w14:textId="1C15B4AA" w:rsidR="00CC72DB" w:rsidRPr="00764569" w:rsidRDefault="000813FB" w:rsidP="009C1453">
      <w:pPr>
        <w:pStyle w:val="ListParagraph"/>
        <w:numPr>
          <w:ilvl w:val="0"/>
          <w:numId w:val="35"/>
        </w:numPr>
        <w:spacing w:line="360" w:lineRule="auto"/>
        <w:jc w:val="both"/>
        <w:rPr>
          <w:rFonts w:ascii="Calibri" w:hAnsi="Calibri"/>
        </w:rPr>
      </w:pPr>
      <w:r w:rsidRPr="00764569">
        <w:rPr>
          <w:rFonts w:ascii="Calibri" w:hAnsi="Calibri"/>
        </w:rPr>
        <w:lastRenderedPageBreak/>
        <w:t xml:space="preserve">The SCRs on women, peace and security, and CEDAW and its GRs, should be read together with important “soft law” elements of the legal framework on women, peace and security, which provide blueprints for action </w:t>
      </w:r>
      <w:r w:rsidR="00984850" w:rsidRPr="00764569">
        <w:rPr>
          <w:rFonts w:ascii="Calibri" w:hAnsi="Calibri"/>
        </w:rPr>
        <w:t xml:space="preserve">that are </w:t>
      </w:r>
      <w:r w:rsidRPr="00764569">
        <w:rPr>
          <w:rFonts w:ascii="Calibri" w:hAnsi="Calibri"/>
        </w:rPr>
        <w:t xml:space="preserve">supported by state practice. </w:t>
      </w:r>
    </w:p>
    <w:p w14:paraId="5D55C04F" w14:textId="77777777" w:rsidR="00984850" w:rsidRPr="00764569" w:rsidRDefault="00984850" w:rsidP="00984850">
      <w:pPr>
        <w:jc w:val="both"/>
        <w:rPr>
          <w:rFonts w:ascii="Calibri" w:hAnsi="Calibri"/>
        </w:rPr>
      </w:pPr>
    </w:p>
    <w:p w14:paraId="636A3247" w14:textId="77777777" w:rsidR="00CC72DB" w:rsidRPr="00764569" w:rsidRDefault="000813FB" w:rsidP="009C1453">
      <w:pPr>
        <w:pStyle w:val="ListParagraph"/>
        <w:numPr>
          <w:ilvl w:val="0"/>
          <w:numId w:val="37"/>
        </w:numPr>
        <w:spacing w:line="360" w:lineRule="auto"/>
        <w:jc w:val="both"/>
        <w:rPr>
          <w:rFonts w:ascii="Calibri" w:hAnsi="Calibri"/>
        </w:rPr>
      </w:pPr>
      <w:r w:rsidRPr="00764569">
        <w:rPr>
          <w:rFonts w:ascii="Calibri" w:hAnsi="Calibri"/>
        </w:rPr>
        <w:t xml:space="preserve">The </w:t>
      </w:r>
      <w:r w:rsidRPr="00764569">
        <w:rPr>
          <w:rFonts w:ascii="Calibri" w:hAnsi="Calibri"/>
          <w:b/>
          <w:color w:val="4F81BD" w:themeColor="accent1"/>
        </w:rPr>
        <w:t>BPfA</w:t>
      </w:r>
      <w:r w:rsidRPr="00764569">
        <w:rPr>
          <w:rFonts w:ascii="Calibri" w:hAnsi="Calibri"/>
          <w:b/>
        </w:rPr>
        <w:t xml:space="preserve"> </w:t>
      </w:r>
      <w:r w:rsidRPr="00764569">
        <w:rPr>
          <w:rFonts w:ascii="Calibri" w:hAnsi="Calibri"/>
        </w:rPr>
        <w:t xml:space="preserve">adds value to an understanding of SCR 1325 through its </w:t>
      </w:r>
      <w:r w:rsidRPr="00764569">
        <w:rPr>
          <w:rFonts w:ascii="Calibri" w:hAnsi="Calibri"/>
          <w:b/>
          <w:color w:val="4F81BD" w:themeColor="accent1"/>
        </w:rPr>
        <w:t>intersectional perspective on violence</w:t>
      </w:r>
      <w:r w:rsidRPr="00764569">
        <w:rPr>
          <w:rFonts w:ascii="Calibri" w:hAnsi="Calibri"/>
          <w:b/>
        </w:rPr>
        <w:t xml:space="preserve"> </w:t>
      </w:r>
      <w:r w:rsidRPr="00764569">
        <w:rPr>
          <w:rFonts w:ascii="Calibri" w:hAnsi="Calibri"/>
        </w:rPr>
        <w:t xml:space="preserve">against women, as well as its </w:t>
      </w:r>
      <w:r w:rsidRPr="00764569">
        <w:rPr>
          <w:rFonts w:ascii="Calibri" w:hAnsi="Calibri"/>
          <w:b/>
          <w:color w:val="4F81BD" w:themeColor="accent1"/>
        </w:rPr>
        <w:t>appeal to a broader audience</w:t>
      </w:r>
      <w:r w:rsidRPr="00764569">
        <w:rPr>
          <w:rFonts w:ascii="Calibri" w:hAnsi="Calibri"/>
        </w:rPr>
        <w:t xml:space="preserve"> than that of Security Council resolutions. </w:t>
      </w:r>
    </w:p>
    <w:p w14:paraId="3635991B" w14:textId="05BDCC5D" w:rsidR="00CC72DB" w:rsidRPr="00764569" w:rsidRDefault="000813FB" w:rsidP="009C1453">
      <w:pPr>
        <w:pStyle w:val="ListParagraph"/>
        <w:numPr>
          <w:ilvl w:val="0"/>
          <w:numId w:val="37"/>
        </w:numPr>
        <w:spacing w:line="360" w:lineRule="auto"/>
        <w:jc w:val="both"/>
        <w:rPr>
          <w:rFonts w:ascii="Calibri" w:hAnsi="Calibri"/>
        </w:rPr>
      </w:pPr>
      <w:r w:rsidRPr="00764569">
        <w:rPr>
          <w:rFonts w:ascii="Calibri" w:hAnsi="Calibri"/>
        </w:rPr>
        <w:t>The UNGA Outcome Document strengthens the legal fram</w:t>
      </w:r>
      <w:r w:rsidR="00984850" w:rsidRPr="00764569">
        <w:rPr>
          <w:rFonts w:ascii="Calibri" w:hAnsi="Calibri"/>
        </w:rPr>
        <w:t>ework via its focus</w:t>
      </w:r>
      <w:r w:rsidRPr="00764569">
        <w:rPr>
          <w:rFonts w:ascii="Calibri" w:hAnsi="Calibri"/>
        </w:rPr>
        <w:t xml:space="preserve"> on women in armed conflict and </w:t>
      </w:r>
      <w:r w:rsidRPr="00764569">
        <w:rPr>
          <w:rFonts w:ascii="Calibri" w:hAnsi="Calibri"/>
          <w:b/>
          <w:color w:val="4F81BD" w:themeColor="accent1"/>
        </w:rPr>
        <w:t>peacetime</w:t>
      </w:r>
      <w:r w:rsidRPr="00764569">
        <w:rPr>
          <w:rFonts w:ascii="Calibri" w:hAnsi="Calibri"/>
        </w:rPr>
        <w:t xml:space="preserve">, especially women’s role in </w:t>
      </w:r>
      <w:r w:rsidRPr="00764569">
        <w:rPr>
          <w:rFonts w:ascii="Calibri" w:hAnsi="Calibri"/>
          <w:b/>
          <w:color w:val="4F81BD" w:themeColor="accent1"/>
        </w:rPr>
        <w:t>disarmament and demilitarization</w:t>
      </w:r>
      <w:r w:rsidRPr="00764569">
        <w:rPr>
          <w:rFonts w:ascii="Calibri" w:hAnsi="Calibri"/>
        </w:rPr>
        <w:t xml:space="preserve">, and </w:t>
      </w:r>
      <w:r w:rsidR="00DA4512" w:rsidRPr="00764569">
        <w:rPr>
          <w:rFonts w:ascii="Calibri" w:hAnsi="Calibri"/>
        </w:rPr>
        <w:t xml:space="preserve">on </w:t>
      </w:r>
      <w:r w:rsidR="00DA4512" w:rsidRPr="00764569">
        <w:rPr>
          <w:rFonts w:ascii="Calibri" w:hAnsi="Calibri"/>
          <w:b/>
          <w:color w:val="4F81BD" w:themeColor="accent1"/>
        </w:rPr>
        <w:t>refugees and IDPs</w:t>
      </w:r>
      <w:r w:rsidR="00DA4512" w:rsidRPr="00764569">
        <w:rPr>
          <w:rFonts w:ascii="Calibri" w:hAnsi="Calibri"/>
        </w:rPr>
        <w:t>.</w:t>
      </w:r>
      <w:r w:rsidRPr="00764569">
        <w:rPr>
          <w:rFonts w:ascii="Calibri" w:hAnsi="Calibri"/>
        </w:rPr>
        <w:t xml:space="preserve"> </w:t>
      </w:r>
    </w:p>
    <w:p w14:paraId="3C3A0697" w14:textId="4E40F54C" w:rsidR="000813FB" w:rsidRPr="00764569" w:rsidRDefault="000813FB" w:rsidP="009C1453">
      <w:pPr>
        <w:pStyle w:val="ListParagraph"/>
        <w:numPr>
          <w:ilvl w:val="0"/>
          <w:numId w:val="37"/>
        </w:numPr>
        <w:spacing w:line="360" w:lineRule="auto"/>
        <w:jc w:val="both"/>
        <w:rPr>
          <w:rFonts w:ascii="Calibri" w:hAnsi="Calibri"/>
        </w:rPr>
      </w:pPr>
      <w:r w:rsidRPr="00764569">
        <w:rPr>
          <w:rFonts w:ascii="Calibri" w:hAnsi="Calibri"/>
        </w:rPr>
        <w:t xml:space="preserve">The CSW Agreed Conclusions 2013 </w:t>
      </w:r>
      <w:r w:rsidR="00265C8E" w:rsidRPr="00764569">
        <w:rPr>
          <w:rFonts w:ascii="Calibri" w:hAnsi="Calibri"/>
        </w:rPr>
        <w:t>add value to an</w:t>
      </w:r>
      <w:r w:rsidR="00DA4512" w:rsidRPr="00764569">
        <w:rPr>
          <w:rFonts w:ascii="Calibri" w:hAnsi="Calibri"/>
        </w:rPr>
        <w:t xml:space="preserve"> understanding SCR 1325 because of their: comprehensive short- and long-term measures to </w:t>
      </w:r>
      <w:r w:rsidR="00DA4512" w:rsidRPr="00764569">
        <w:rPr>
          <w:rFonts w:ascii="Calibri" w:hAnsi="Calibri"/>
          <w:b/>
          <w:color w:val="4F81BD" w:themeColor="accent1"/>
        </w:rPr>
        <w:t>eliminate violence against women in public and private spheres</w:t>
      </w:r>
      <w:r w:rsidR="00DA4512" w:rsidRPr="00764569">
        <w:rPr>
          <w:rFonts w:ascii="Calibri" w:hAnsi="Calibri"/>
        </w:rPr>
        <w:t xml:space="preserve">; measures to progress </w:t>
      </w:r>
      <w:r w:rsidR="00DA4512" w:rsidRPr="00764569">
        <w:rPr>
          <w:rFonts w:ascii="Calibri" w:hAnsi="Calibri"/>
          <w:b/>
          <w:color w:val="4F81BD" w:themeColor="accent1"/>
        </w:rPr>
        <w:t>development goals</w:t>
      </w:r>
      <w:r w:rsidR="00DA4512" w:rsidRPr="00764569">
        <w:rPr>
          <w:rFonts w:ascii="Calibri" w:hAnsi="Calibri"/>
        </w:rPr>
        <w:t xml:space="preserve">; and provision for </w:t>
      </w:r>
      <w:r w:rsidR="00DA4512" w:rsidRPr="00764569">
        <w:rPr>
          <w:rFonts w:ascii="Calibri" w:hAnsi="Calibri"/>
          <w:b/>
          <w:color w:val="4F81BD" w:themeColor="accent1"/>
        </w:rPr>
        <w:t>effective remedies</w:t>
      </w:r>
      <w:r w:rsidR="00DA4512" w:rsidRPr="00764569">
        <w:rPr>
          <w:rFonts w:ascii="Calibri" w:hAnsi="Calibri"/>
          <w:color w:val="4F81BD" w:themeColor="accent1"/>
        </w:rPr>
        <w:t xml:space="preserve"> </w:t>
      </w:r>
      <w:r w:rsidR="00DA4512" w:rsidRPr="00764569">
        <w:rPr>
          <w:rFonts w:ascii="Calibri" w:hAnsi="Calibri"/>
        </w:rPr>
        <w:t xml:space="preserve">for victims based on an understanding of the systemic and structural impacts of violence. </w:t>
      </w:r>
    </w:p>
    <w:p w14:paraId="7497A80B" w14:textId="77777777" w:rsidR="00DA4512" w:rsidRPr="00764569" w:rsidRDefault="00DA4512" w:rsidP="00DA4512">
      <w:pPr>
        <w:pStyle w:val="ListParagraph"/>
        <w:ind w:left="0"/>
        <w:jc w:val="both"/>
        <w:rPr>
          <w:rFonts w:ascii="Calibri" w:hAnsi="Calibri"/>
        </w:rPr>
      </w:pPr>
    </w:p>
    <w:p w14:paraId="36DBD45F" w14:textId="77777777" w:rsidR="00F7609A" w:rsidRPr="002837F4" w:rsidRDefault="00F7609A" w:rsidP="00F7609A">
      <w:pPr>
        <w:pStyle w:val="ListParagraph"/>
        <w:spacing w:after="180"/>
        <w:ind w:left="0"/>
        <w:jc w:val="both"/>
        <w:rPr>
          <w:rFonts w:ascii="Calibri" w:eastAsiaTheme="minorHAnsi" w:hAnsi="Calibri" w:cs="Times New Roman"/>
          <w:b/>
          <w:color w:val="1F497D" w:themeColor="text2"/>
          <w:u w:val="single"/>
        </w:rPr>
      </w:pPr>
      <w:r w:rsidRPr="002837F4">
        <w:rPr>
          <w:rFonts w:ascii="Calibri" w:eastAsiaTheme="minorHAnsi" w:hAnsi="Calibri" w:cs="Times New Roman"/>
          <w:b/>
          <w:color w:val="1F497D" w:themeColor="text2"/>
          <w:u w:val="single"/>
        </w:rPr>
        <w:t>Recommendation 1: Understand the obligations in SCR 1325 as an integrated part of the legal framewo</w:t>
      </w:r>
      <w:r>
        <w:rPr>
          <w:rFonts w:ascii="Calibri" w:eastAsiaTheme="minorHAnsi" w:hAnsi="Calibri" w:cs="Times New Roman"/>
          <w:b/>
          <w:color w:val="1F497D" w:themeColor="text2"/>
          <w:u w:val="single"/>
        </w:rPr>
        <w:t>rk on women, peace and security</w:t>
      </w:r>
      <w:r w:rsidRPr="002837F4">
        <w:rPr>
          <w:rFonts w:ascii="Calibri" w:eastAsiaTheme="minorHAnsi" w:hAnsi="Calibri" w:cs="Times New Roman"/>
          <w:b/>
          <w:color w:val="1F497D" w:themeColor="text2"/>
          <w:u w:val="single"/>
        </w:rPr>
        <w:t xml:space="preserve"> (</w:t>
      </w:r>
      <w:r>
        <w:rPr>
          <w:rFonts w:ascii="Calibri" w:eastAsiaTheme="minorHAnsi" w:hAnsi="Calibri" w:cs="Times New Roman"/>
          <w:b/>
          <w:color w:val="1F497D" w:themeColor="text2"/>
          <w:u w:val="single"/>
        </w:rPr>
        <w:t xml:space="preserve">the </w:t>
      </w:r>
      <w:r w:rsidRPr="002837F4">
        <w:rPr>
          <w:rFonts w:ascii="Calibri" w:eastAsiaTheme="minorHAnsi" w:hAnsi="Calibri" w:cs="Times New Roman"/>
          <w:b/>
          <w:color w:val="1F497D" w:themeColor="text2"/>
          <w:u w:val="single"/>
        </w:rPr>
        <w:t>legal framework)</w:t>
      </w:r>
    </w:p>
    <w:p w14:paraId="2A6F0380" w14:textId="77777777" w:rsidR="00F7609A" w:rsidRPr="00A45CD5" w:rsidRDefault="00F7609A" w:rsidP="00F7609A">
      <w:pPr>
        <w:pStyle w:val="ListParagraph"/>
        <w:spacing w:after="180"/>
        <w:ind w:left="0"/>
        <w:jc w:val="both"/>
        <w:rPr>
          <w:rFonts w:ascii="Calibri" w:hAnsi="Calibri" w:cs="Times New Roman"/>
        </w:rPr>
      </w:pPr>
      <w:r>
        <w:rPr>
          <w:rFonts w:ascii="Calibri" w:hAnsi="Calibri" w:cs="Times New Roman"/>
        </w:rPr>
        <w:tab/>
      </w:r>
    </w:p>
    <w:p w14:paraId="7FE607CF" w14:textId="77777777" w:rsidR="00F7609A" w:rsidRDefault="00F7609A" w:rsidP="00F7609A">
      <w:pPr>
        <w:spacing w:line="360" w:lineRule="auto"/>
        <w:jc w:val="both"/>
        <w:rPr>
          <w:rFonts w:ascii="Calibri" w:hAnsi="Calibri" w:cs="Times New Roman"/>
        </w:rPr>
      </w:pPr>
      <w:r w:rsidRPr="00520942">
        <w:rPr>
          <w:rFonts w:ascii="Calibri" w:hAnsi="Calibri" w:cs="Times New Roman"/>
        </w:rPr>
        <w:t xml:space="preserve">SCR 1325 and subsequent Security Council resolutions on </w:t>
      </w:r>
      <w:r>
        <w:rPr>
          <w:rFonts w:ascii="Calibri" w:hAnsi="Calibri" w:cs="Times New Roman"/>
        </w:rPr>
        <w:t>WPS</w:t>
      </w:r>
      <w:r w:rsidRPr="00520942">
        <w:rPr>
          <w:rFonts w:ascii="Calibri" w:hAnsi="Calibri" w:cs="Times New Roman"/>
        </w:rPr>
        <w:t xml:space="preserve"> should be understood in light of the </w:t>
      </w:r>
      <w:r>
        <w:rPr>
          <w:rFonts w:ascii="Calibri" w:hAnsi="Calibri" w:cs="Times New Roman"/>
        </w:rPr>
        <w:t>binding obligations and commitments</w:t>
      </w:r>
      <w:r w:rsidRPr="00520942">
        <w:rPr>
          <w:rFonts w:ascii="Calibri" w:hAnsi="Calibri" w:cs="Times New Roman"/>
        </w:rPr>
        <w:t xml:space="preserve"> reflected in their contents. This understanding of the Resolutions should integrate both the Security Council’s political commitment</w:t>
      </w:r>
      <w:r>
        <w:rPr>
          <w:rFonts w:ascii="Calibri" w:hAnsi="Calibri" w:cs="Times New Roman"/>
        </w:rPr>
        <w:t xml:space="preserve"> to</w:t>
      </w:r>
      <w:r w:rsidRPr="00520942">
        <w:rPr>
          <w:rFonts w:ascii="Calibri" w:hAnsi="Calibri" w:cs="Times New Roman"/>
        </w:rPr>
        <w:t xml:space="preserve"> </w:t>
      </w:r>
      <w:r>
        <w:rPr>
          <w:rFonts w:ascii="Calibri" w:hAnsi="Calibri" w:cs="Times New Roman"/>
        </w:rPr>
        <w:t>act</w:t>
      </w:r>
      <w:r w:rsidRPr="00520942">
        <w:rPr>
          <w:rFonts w:ascii="Calibri" w:hAnsi="Calibri" w:cs="Times New Roman"/>
        </w:rPr>
        <w:t xml:space="preserve"> on women’s rights in conflict, and obligations from the legal framework. The key elements of the legal framework that uphold </w:t>
      </w:r>
      <w:r>
        <w:rPr>
          <w:rFonts w:ascii="Calibri" w:hAnsi="Calibri" w:cs="Times New Roman"/>
        </w:rPr>
        <w:t>commitments</w:t>
      </w:r>
      <w:r w:rsidRPr="00520942">
        <w:rPr>
          <w:rFonts w:ascii="Calibri" w:hAnsi="Calibri" w:cs="Times New Roman"/>
        </w:rPr>
        <w:t xml:space="preserve"> </w:t>
      </w:r>
      <w:r>
        <w:rPr>
          <w:rFonts w:ascii="Calibri" w:hAnsi="Calibri" w:cs="Times New Roman"/>
        </w:rPr>
        <w:t>held by</w:t>
      </w:r>
      <w:r w:rsidRPr="00520942">
        <w:rPr>
          <w:rFonts w:ascii="Calibri" w:hAnsi="Calibri" w:cs="Times New Roman"/>
        </w:rPr>
        <w:t xml:space="preserve"> all parties involved in conflicts include:</w:t>
      </w:r>
      <w:r w:rsidRPr="00DC0E2B">
        <w:rPr>
          <w:rStyle w:val="FootnoteReference"/>
          <w:rFonts w:ascii="Calibri" w:hAnsi="Calibri" w:cs="Times New Roman"/>
        </w:rPr>
        <w:t xml:space="preserve"> </w:t>
      </w:r>
      <w:r>
        <w:rPr>
          <w:rStyle w:val="FootnoteReference"/>
          <w:rFonts w:ascii="Calibri" w:hAnsi="Calibri" w:cs="Times New Roman"/>
        </w:rPr>
        <w:footnoteReference w:id="119"/>
      </w:r>
      <w:r w:rsidRPr="00B2494C">
        <w:rPr>
          <w:rFonts w:ascii="Calibri" w:hAnsi="Calibri" w:cs="Times New Roman"/>
        </w:rPr>
        <w:t xml:space="preserve"> </w:t>
      </w:r>
      <w:r w:rsidRPr="00520942">
        <w:rPr>
          <w:rFonts w:ascii="Calibri" w:hAnsi="Calibri" w:cs="Times New Roman"/>
        </w:rPr>
        <w:t xml:space="preserve"> </w:t>
      </w:r>
    </w:p>
    <w:p w14:paraId="36C686E3" w14:textId="77777777" w:rsidR="00F7609A" w:rsidRDefault="00F7609A" w:rsidP="00F7609A">
      <w:pPr>
        <w:jc w:val="both"/>
        <w:rPr>
          <w:rFonts w:ascii="Calibri" w:hAnsi="Calibri" w:cs="Times New Roman"/>
        </w:rPr>
      </w:pPr>
    </w:p>
    <w:p w14:paraId="79318183" w14:textId="77777777" w:rsidR="00F7609A" w:rsidRDefault="00F7609A" w:rsidP="00F7609A">
      <w:pPr>
        <w:pStyle w:val="ListParagraph"/>
        <w:numPr>
          <w:ilvl w:val="0"/>
          <w:numId w:val="38"/>
        </w:numPr>
        <w:spacing w:line="360" w:lineRule="auto"/>
        <w:jc w:val="both"/>
        <w:rPr>
          <w:rFonts w:ascii="Calibri" w:hAnsi="Calibri" w:cs="Times New Roman"/>
        </w:rPr>
      </w:pPr>
      <w:r>
        <w:rPr>
          <w:rFonts w:ascii="Calibri" w:hAnsi="Calibri" w:cs="Times New Roman"/>
        </w:rPr>
        <w:t>T</w:t>
      </w:r>
      <w:r w:rsidRPr="00B2494C">
        <w:rPr>
          <w:rFonts w:ascii="Calibri" w:hAnsi="Calibri" w:cs="Times New Roman"/>
        </w:rPr>
        <w:t>he Convention on the Elimination of all Forms of Discr</w:t>
      </w:r>
      <w:r>
        <w:rPr>
          <w:rFonts w:ascii="Calibri" w:hAnsi="Calibri" w:cs="Times New Roman"/>
        </w:rPr>
        <w:t>imination against Women (CEDAW);</w:t>
      </w:r>
    </w:p>
    <w:p w14:paraId="7B4270A1" w14:textId="77777777" w:rsidR="00F7609A" w:rsidRDefault="00F7609A" w:rsidP="00F7609A">
      <w:pPr>
        <w:pStyle w:val="ListParagraph"/>
        <w:numPr>
          <w:ilvl w:val="0"/>
          <w:numId w:val="38"/>
        </w:numPr>
        <w:spacing w:line="360" w:lineRule="auto"/>
        <w:jc w:val="both"/>
        <w:rPr>
          <w:rFonts w:ascii="Calibri" w:hAnsi="Calibri" w:cs="Times New Roman"/>
        </w:rPr>
      </w:pPr>
      <w:r w:rsidRPr="00B2494C">
        <w:rPr>
          <w:rFonts w:ascii="Calibri" w:hAnsi="Calibri" w:cs="Times New Roman"/>
        </w:rPr>
        <w:t xml:space="preserve">Committee on the Elimination of Discrimination against Women (CEDAW Committee) General Recommendation No. 30 on women in conflict prevention, conflict and post-conflict situations (CEDAW GR No. 30); </w:t>
      </w:r>
    </w:p>
    <w:p w14:paraId="3EE7BBDC" w14:textId="77777777" w:rsidR="00F7609A" w:rsidRDefault="00F7609A" w:rsidP="00F7609A">
      <w:pPr>
        <w:pStyle w:val="ListParagraph"/>
        <w:numPr>
          <w:ilvl w:val="0"/>
          <w:numId w:val="38"/>
        </w:numPr>
        <w:spacing w:line="360" w:lineRule="auto"/>
        <w:jc w:val="both"/>
        <w:rPr>
          <w:rFonts w:ascii="Calibri" w:hAnsi="Calibri" w:cs="Times New Roman"/>
        </w:rPr>
      </w:pPr>
      <w:r>
        <w:rPr>
          <w:rFonts w:ascii="Calibri" w:hAnsi="Calibri" w:cs="Times New Roman"/>
        </w:rPr>
        <w:t>T</w:t>
      </w:r>
      <w:r w:rsidRPr="00B2494C">
        <w:rPr>
          <w:rFonts w:ascii="Calibri" w:hAnsi="Calibri" w:cs="Times New Roman"/>
        </w:rPr>
        <w:t>he Beijing Declaration and Platform for Action 1995</w:t>
      </w:r>
      <w:r>
        <w:rPr>
          <w:rFonts w:ascii="Calibri" w:hAnsi="Calibri" w:cs="Times New Roman"/>
        </w:rPr>
        <w:t xml:space="preserve"> (</w:t>
      </w:r>
      <w:proofErr w:type="spellStart"/>
      <w:r>
        <w:rPr>
          <w:rFonts w:ascii="Calibri" w:hAnsi="Calibri" w:cs="Times New Roman"/>
        </w:rPr>
        <w:t>BPfA</w:t>
      </w:r>
      <w:proofErr w:type="spellEnd"/>
      <w:r>
        <w:rPr>
          <w:rFonts w:ascii="Calibri" w:hAnsi="Calibri" w:cs="Times New Roman"/>
        </w:rPr>
        <w:t>)</w:t>
      </w:r>
      <w:r w:rsidRPr="00B2494C">
        <w:rPr>
          <w:rFonts w:ascii="Calibri" w:hAnsi="Calibri" w:cs="Times New Roman"/>
        </w:rPr>
        <w:t xml:space="preserve"> notably its two critical areas of concern on Violence against Women and Women in Armed Conflict; </w:t>
      </w:r>
    </w:p>
    <w:p w14:paraId="5B1ECC00" w14:textId="77777777" w:rsidR="00F7609A" w:rsidRDefault="00F7609A" w:rsidP="00F7609A">
      <w:pPr>
        <w:pStyle w:val="ListParagraph"/>
        <w:numPr>
          <w:ilvl w:val="0"/>
          <w:numId w:val="38"/>
        </w:numPr>
        <w:spacing w:line="360" w:lineRule="auto"/>
        <w:jc w:val="both"/>
        <w:rPr>
          <w:rFonts w:ascii="Calibri" w:hAnsi="Calibri" w:cs="Times New Roman"/>
        </w:rPr>
      </w:pPr>
      <w:r>
        <w:rPr>
          <w:rFonts w:ascii="Calibri" w:hAnsi="Calibri" w:cs="Times New Roman"/>
        </w:rPr>
        <w:lastRenderedPageBreak/>
        <w:t>T</w:t>
      </w:r>
      <w:r w:rsidRPr="00B2494C">
        <w:rPr>
          <w:rFonts w:ascii="Calibri" w:hAnsi="Calibri" w:cs="Times New Roman"/>
        </w:rPr>
        <w:t>he UN General Assembly Outcome Document of its 23</w:t>
      </w:r>
      <w:r w:rsidRPr="00B2494C">
        <w:rPr>
          <w:rFonts w:ascii="Calibri" w:hAnsi="Calibri" w:cs="Times New Roman"/>
          <w:vertAlign w:val="superscript"/>
        </w:rPr>
        <w:t>rd</w:t>
      </w:r>
      <w:r w:rsidRPr="00B2494C">
        <w:rPr>
          <w:rFonts w:ascii="Calibri" w:hAnsi="Calibri" w:cs="Times New Roman"/>
        </w:rPr>
        <w:t xml:space="preserve"> Special on Women 2000: Gender Equality, Development and Peace for the 21</w:t>
      </w:r>
      <w:r w:rsidRPr="00B2494C">
        <w:rPr>
          <w:rFonts w:ascii="Calibri" w:hAnsi="Calibri" w:cs="Times New Roman"/>
          <w:vertAlign w:val="superscript"/>
        </w:rPr>
        <w:t>st</w:t>
      </w:r>
      <w:r w:rsidRPr="00B2494C">
        <w:rPr>
          <w:rFonts w:ascii="Calibri" w:hAnsi="Calibri" w:cs="Times New Roman"/>
        </w:rPr>
        <w:t xml:space="preserve"> Century 2000 (UNGA Outcome Document);</w:t>
      </w:r>
    </w:p>
    <w:p w14:paraId="4784F71D" w14:textId="77777777" w:rsidR="00F7609A" w:rsidRPr="00B2494C" w:rsidRDefault="00F7609A" w:rsidP="00F7609A">
      <w:pPr>
        <w:pStyle w:val="ListParagraph"/>
        <w:numPr>
          <w:ilvl w:val="0"/>
          <w:numId w:val="38"/>
        </w:numPr>
        <w:spacing w:line="360" w:lineRule="auto"/>
        <w:jc w:val="both"/>
        <w:rPr>
          <w:rFonts w:ascii="Calibri" w:hAnsi="Calibri" w:cs="Times New Roman"/>
        </w:rPr>
      </w:pPr>
      <w:r>
        <w:rPr>
          <w:rFonts w:ascii="Calibri" w:hAnsi="Calibri" w:cs="Times New Roman"/>
        </w:rPr>
        <w:t xml:space="preserve">The </w:t>
      </w:r>
      <w:r w:rsidRPr="00B2494C">
        <w:rPr>
          <w:rFonts w:ascii="Calibri" w:hAnsi="Calibri" w:cs="Times New Roman"/>
        </w:rPr>
        <w:t xml:space="preserve">UN Commission on the Status of Women Agreed Conclusions on the prevention and elimination of violence against women and girls 2013 (CSW Agreed Conclusions 2013). </w:t>
      </w:r>
    </w:p>
    <w:p w14:paraId="20AFF2B3" w14:textId="17CF55D4" w:rsidR="00F7609A" w:rsidRDefault="00F7609A">
      <w:r>
        <w:br w:type="page"/>
      </w:r>
    </w:p>
    <w:p w14:paraId="081C5440" w14:textId="77777777" w:rsidR="0059378F" w:rsidRDefault="0059378F" w:rsidP="004E5EBC"/>
    <w:p w14:paraId="06B1C693" w14:textId="0C907AF5" w:rsidR="00F73B33" w:rsidRPr="00B107F5" w:rsidRDefault="00B107F5" w:rsidP="00B107F5">
      <w:pPr>
        <w:pStyle w:val="Heading2"/>
        <w:jc w:val="center"/>
        <w:rPr>
          <w:rFonts w:asciiTheme="majorHAnsi" w:hAnsiTheme="majorHAnsi"/>
          <w:b/>
          <w:color w:val="4F81BD" w:themeColor="accent1"/>
          <w:spacing w:val="14"/>
          <w:sz w:val="32"/>
          <w:szCs w:val="32"/>
          <w:lang w:val="en-GB"/>
        </w:rPr>
      </w:pPr>
      <w:bookmarkStart w:id="8" w:name="_Toc416867086"/>
      <w:r w:rsidRPr="00B107F5">
        <w:rPr>
          <w:rFonts w:asciiTheme="majorHAnsi" w:hAnsiTheme="majorHAnsi"/>
          <w:b/>
          <w:color w:val="4F81BD" w:themeColor="accent1"/>
          <w:spacing w:val="14"/>
          <w:sz w:val="32"/>
          <w:szCs w:val="32"/>
          <w:lang w:val="en-GB"/>
        </w:rPr>
        <w:t xml:space="preserve">SECTION </w:t>
      </w:r>
      <w:r>
        <w:rPr>
          <w:rFonts w:asciiTheme="majorHAnsi" w:hAnsiTheme="majorHAnsi"/>
          <w:b/>
          <w:color w:val="4F81BD" w:themeColor="accent1"/>
          <w:spacing w:val="14"/>
          <w:sz w:val="32"/>
          <w:szCs w:val="32"/>
          <w:lang w:val="en-GB"/>
        </w:rPr>
        <w:t>2: IMPLEMENTING SCR 1325 VIA NATIONAL ACTION PLANS</w:t>
      </w:r>
      <w:bookmarkEnd w:id="8"/>
      <w:r>
        <w:rPr>
          <w:rFonts w:asciiTheme="majorHAnsi" w:hAnsiTheme="majorHAnsi"/>
          <w:b/>
          <w:color w:val="4F81BD" w:themeColor="accent1"/>
          <w:spacing w:val="14"/>
          <w:sz w:val="32"/>
          <w:szCs w:val="32"/>
          <w:lang w:val="en-GB"/>
        </w:rPr>
        <w:t xml:space="preserve"> </w:t>
      </w:r>
    </w:p>
    <w:p w14:paraId="2216D425" w14:textId="77777777" w:rsidR="00CA6C61" w:rsidRPr="00AA6A15" w:rsidRDefault="00CA6C61" w:rsidP="005C68CA">
      <w:pPr>
        <w:jc w:val="both"/>
        <w:rPr>
          <w:rFonts w:ascii="Calibri" w:hAnsi="Calibri" w:cs="Times New Roman"/>
          <w:b/>
          <w:u w:val="single"/>
        </w:rPr>
      </w:pPr>
    </w:p>
    <w:p w14:paraId="49623B3E" w14:textId="384178D5" w:rsidR="00B721A4" w:rsidRDefault="00EE5FA9" w:rsidP="00DE7410">
      <w:pPr>
        <w:spacing w:line="360" w:lineRule="auto"/>
        <w:jc w:val="both"/>
        <w:rPr>
          <w:rFonts w:ascii="Calibri" w:hAnsi="Calibri"/>
        </w:rPr>
      </w:pPr>
      <w:r>
        <w:rPr>
          <w:rFonts w:ascii="Calibri" w:hAnsi="Calibri"/>
        </w:rPr>
        <w:t xml:space="preserve">Section 2 </w:t>
      </w:r>
      <w:r w:rsidR="00DB6A68">
        <w:rPr>
          <w:rFonts w:ascii="Calibri" w:hAnsi="Calibri"/>
        </w:rPr>
        <w:t>assesses</w:t>
      </w:r>
      <w:r>
        <w:rPr>
          <w:rFonts w:ascii="Calibri" w:hAnsi="Calibri"/>
        </w:rPr>
        <w:t xml:space="preserve"> the implementation of the legal framework on women, peace and security</w:t>
      </w:r>
      <w:r w:rsidR="00DB6A68">
        <w:rPr>
          <w:rFonts w:ascii="Calibri" w:hAnsi="Calibri"/>
        </w:rPr>
        <w:t xml:space="preserve"> (the legal framework)</w:t>
      </w:r>
      <w:r w:rsidR="00933E05">
        <w:rPr>
          <w:rFonts w:ascii="Calibri" w:hAnsi="Calibri"/>
        </w:rPr>
        <w:t xml:space="preserve"> </w:t>
      </w:r>
      <w:r>
        <w:rPr>
          <w:rFonts w:ascii="Calibri" w:hAnsi="Calibri"/>
        </w:rPr>
        <w:t xml:space="preserve">outlined in Section 1 </w:t>
      </w:r>
      <w:r w:rsidR="00DB6A68">
        <w:rPr>
          <w:rFonts w:ascii="Calibri" w:hAnsi="Calibri"/>
        </w:rPr>
        <w:t>of the submission</w:t>
      </w:r>
      <w:r>
        <w:rPr>
          <w:rFonts w:ascii="Calibri" w:hAnsi="Calibri"/>
        </w:rPr>
        <w:t xml:space="preserve"> through the National Action Plan process </w:t>
      </w:r>
      <w:r w:rsidR="00D65F5F">
        <w:rPr>
          <w:rFonts w:ascii="Calibri" w:hAnsi="Calibri"/>
        </w:rPr>
        <w:t>linked to</w:t>
      </w:r>
      <w:r>
        <w:rPr>
          <w:rFonts w:ascii="Calibri" w:hAnsi="Calibri"/>
        </w:rPr>
        <w:t xml:space="preserve"> Security Council Resolution 1325 (SCR 1325).</w:t>
      </w:r>
      <w:r>
        <w:rPr>
          <w:rStyle w:val="FootnoteReference"/>
          <w:rFonts w:ascii="Calibri" w:hAnsi="Calibri"/>
        </w:rPr>
        <w:footnoteReference w:id="120"/>
      </w:r>
      <w:r>
        <w:rPr>
          <w:rFonts w:ascii="Calibri" w:hAnsi="Calibri"/>
        </w:rPr>
        <w:t xml:space="preserve"> </w:t>
      </w:r>
      <w:r w:rsidR="00F31EF8">
        <w:rPr>
          <w:rFonts w:ascii="Calibri" w:hAnsi="Calibri"/>
        </w:rPr>
        <w:t>The</w:t>
      </w:r>
      <w:r w:rsidR="00F31EF8" w:rsidRPr="00797ECA">
        <w:rPr>
          <w:rFonts w:ascii="Calibri" w:hAnsi="Calibri"/>
        </w:rPr>
        <w:t xml:space="preserve"> Security Council recommended the development of </w:t>
      </w:r>
      <w:r w:rsidR="00ED5E0D">
        <w:rPr>
          <w:rFonts w:ascii="Calibri" w:hAnsi="Calibri"/>
        </w:rPr>
        <w:t>National Action Plans (</w:t>
      </w:r>
      <w:r w:rsidR="00F31EF8" w:rsidRPr="00797ECA">
        <w:rPr>
          <w:rFonts w:ascii="Calibri" w:hAnsi="Calibri"/>
        </w:rPr>
        <w:t>NAP</w:t>
      </w:r>
      <w:r w:rsidR="00692895">
        <w:rPr>
          <w:rFonts w:ascii="Calibri" w:hAnsi="Calibri"/>
        </w:rPr>
        <w:t>s</w:t>
      </w:r>
      <w:r w:rsidR="00ED5E0D">
        <w:rPr>
          <w:rFonts w:ascii="Calibri" w:hAnsi="Calibri"/>
        </w:rPr>
        <w:t>)</w:t>
      </w:r>
      <w:r w:rsidR="00F31EF8">
        <w:rPr>
          <w:rFonts w:ascii="Calibri" w:hAnsi="Calibri"/>
        </w:rPr>
        <w:t xml:space="preserve"> to implement </w:t>
      </w:r>
      <w:r>
        <w:rPr>
          <w:rFonts w:ascii="Calibri" w:hAnsi="Calibri"/>
        </w:rPr>
        <w:t>SCR</w:t>
      </w:r>
      <w:r w:rsidR="00AC27C7">
        <w:rPr>
          <w:rFonts w:ascii="Calibri" w:hAnsi="Calibri"/>
        </w:rPr>
        <w:t>s</w:t>
      </w:r>
      <w:r>
        <w:rPr>
          <w:rFonts w:ascii="Calibri" w:hAnsi="Calibri"/>
        </w:rPr>
        <w:t xml:space="preserve"> 1325</w:t>
      </w:r>
      <w:r w:rsidR="00AC27C7">
        <w:rPr>
          <w:rFonts w:ascii="Calibri" w:hAnsi="Calibri"/>
        </w:rPr>
        <w:t xml:space="preserve">, </w:t>
      </w:r>
      <w:r w:rsidR="00933E05">
        <w:rPr>
          <w:rFonts w:ascii="Calibri" w:hAnsi="Calibri"/>
        </w:rPr>
        <w:t xml:space="preserve">and related resolutions on </w:t>
      </w:r>
      <w:r w:rsidR="00DB6A68">
        <w:rPr>
          <w:rFonts w:ascii="Calibri" w:hAnsi="Calibri"/>
        </w:rPr>
        <w:t>women, peace and security (WPS)</w:t>
      </w:r>
      <w:r w:rsidR="00F31EF8">
        <w:rPr>
          <w:rFonts w:ascii="Calibri" w:hAnsi="Calibri"/>
        </w:rPr>
        <w:t xml:space="preserve"> via Presidential Statements adopted in 2004 and 2005.</w:t>
      </w:r>
      <w:r w:rsidR="00F31EF8">
        <w:rPr>
          <w:rStyle w:val="FootnoteReference"/>
          <w:rFonts w:ascii="Calibri" w:hAnsi="Calibri"/>
        </w:rPr>
        <w:footnoteReference w:id="121"/>
      </w:r>
      <w:r w:rsidR="00F31EF8">
        <w:rPr>
          <w:rFonts w:ascii="Calibri" w:hAnsi="Calibri"/>
        </w:rPr>
        <w:t xml:space="preserve"> </w:t>
      </w:r>
      <w:r w:rsidR="00B721A4">
        <w:rPr>
          <w:rFonts w:ascii="Calibri" w:hAnsi="Calibri"/>
        </w:rPr>
        <w:t>So far only 50 countries have adopted NAPs</w:t>
      </w:r>
      <w:r w:rsidR="00B721A4">
        <w:rPr>
          <w:rStyle w:val="FootnoteReference"/>
          <w:rFonts w:ascii="Calibri" w:hAnsi="Calibri"/>
        </w:rPr>
        <w:footnoteReference w:id="122"/>
      </w:r>
      <w:r w:rsidR="00B721A4">
        <w:rPr>
          <w:rFonts w:ascii="Calibri" w:hAnsi="Calibri"/>
        </w:rPr>
        <w:t xml:space="preserve"> and several conflict-affected countries like Myanmar (included below a</w:t>
      </w:r>
      <w:r w:rsidR="002A2761">
        <w:rPr>
          <w:rFonts w:ascii="Calibri" w:hAnsi="Calibri"/>
        </w:rPr>
        <w:t xml:space="preserve">s a case study) and South Sudan, that urgently need to address women, peace and security issues, are </w:t>
      </w:r>
      <w:r w:rsidR="00B721A4">
        <w:rPr>
          <w:rFonts w:ascii="Calibri" w:hAnsi="Calibri"/>
        </w:rPr>
        <w:t xml:space="preserve">yet to adopt NAPs. </w:t>
      </w:r>
    </w:p>
    <w:p w14:paraId="61CBC3DF" w14:textId="77777777" w:rsidR="00B721A4" w:rsidRDefault="00B721A4" w:rsidP="00692895">
      <w:pPr>
        <w:jc w:val="both"/>
        <w:rPr>
          <w:rFonts w:ascii="Calibri" w:hAnsi="Calibri"/>
        </w:rPr>
      </w:pPr>
    </w:p>
    <w:p w14:paraId="534F296B" w14:textId="0DDF5C7E" w:rsidR="00933E05" w:rsidRDefault="00B721A4" w:rsidP="00DE7410">
      <w:pPr>
        <w:spacing w:line="360" w:lineRule="auto"/>
        <w:jc w:val="both"/>
        <w:rPr>
          <w:rFonts w:ascii="Calibri" w:hAnsi="Calibri"/>
        </w:rPr>
      </w:pPr>
      <w:r>
        <w:rPr>
          <w:rFonts w:ascii="Calibri" w:hAnsi="Calibri"/>
        </w:rPr>
        <w:t xml:space="preserve">As discussed below, there are wide variations in the quality and implementation of NAPs. </w:t>
      </w:r>
      <w:r w:rsidRPr="00ED0533">
        <w:rPr>
          <w:rFonts w:ascii="Calibri" w:hAnsi="Calibri"/>
        </w:rPr>
        <w:t xml:space="preserve"> </w:t>
      </w:r>
      <w:r w:rsidR="00933E05">
        <w:rPr>
          <w:rFonts w:ascii="Calibri" w:hAnsi="Calibri"/>
        </w:rPr>
        <w:t xml:space="preserve">As Aisling Swaine notes, </w:t>
      </w:r>
      <w:r w:rsidR="00FF2A3A">
        <w:rPr>
          <w:rFonts w:ascii="Calibri" w:hAnsi="Calibri"/>
        </w:rPr>
        <w:t xml:space="preserve">“Action plans are set to </w:t>
      </w:r>
      <w:r w:rsidR="00933E05">
        <w:rPr>
          <w:rFonts w:ascii="Calibri" w:hAnsi="Calibri"/>
        </w:rPr>
        <w:t>continue to gain momentum as strategies that bring attention to the need to implement [SCR 1325] and, whatever their flaws, they will no doubt be used as tools to compel states to act”.</w:t>
      </w:r>
      <w:r w:rsidR="00933E05">
        <w:rPr>
          <w:rStyle w:val="FootnoteReference"/>
          <w:rFonts w:ascii="Calibri" w:hAnsi="Calibri"/>
        </w:rPr>
        <w:footnoteReference w:id="123"/>
      </w:r>
      <w:r w:rsidR="00933E05">
        <w:rPr>
          <w:rFonts w:ascii="Calibri" w:hAnsi="Calibri"/>
        </w:rPr>
        <w:t xml:space="preserve"> </w:t>
      </w:r>
      <w:r w:rsidR="00D65F5F">
        <w:rPr>
          <w:rFonts w:ascii="Calibri" w:hAnsi="Calibri"/>
        </w:rPr>
        <w:t>Ultimately,</w:t>
      </w:r>
      <w:r w:rsidR="00D135BB">
        <w:rPr>
          <w:rFonts w:ascii="Calibri" w:hAnsi="Calibri"/>
        </w:rPr>
        <w:t xml:space="preserve"> what will be crucial to</w:t>
      </w:r>
      <w:r w:rsidR="00434E8E">
        <w:rPr>
          <w:rFonts w:ascii="Calibri" w:hAnsi="Calibri"/>
        </w:rPr>
        <w:t xml:space="preserve"> NAP’s effectiveness will be evaluating their</w:t>
      </w:r>
      <w:r w:rsidR="00D65F5F">
        <w:rPr>
          <w:rFonts w:ascii="Calibri" w:hAnsi="Calibri"/>
        </w:rPr>
        <w:t xml:space="preserve"> </w:t>
      </w:r>
      <w:r w:rsidR="00933E05">
        <w:rPr>
          <w:rFonts w:ascii="Calibri" w:hAnsi="Calibri"/>
        </w:rPr>
        <w:t xml:space="preserve">performance and impact against credible, appropriate, qualitative indicators </w:t>
      </w:r>
      <w:r w:rsidR="00434E8E">
        <w:rPr>
          <w:rFonts w:ascii="Calibri" w:hAnsi="Calibri"/>
        </w:rPr>
        <w:t>set</w:t>
      </w:r>
      <w:r w:rsidR="00933E05">
        <w:rPr>
          <w:rFonts w:ascii="Calibri" w:hAnsi="Calibri"/>
        </w:rPr>
        <w:t xml:space="preserve"> by women </w:t>
      </w:r>
      <w:r w:rsidR="00434E8E">
        <w:rPr>
          <w:rFonts w:ascii="Calibri" w:hAnsi="Calibri"/>
        </w:rPr>
        <w:t>(and girls) via their participation in the NAP process</w:t>
      </w:r>
      <w:r w:rsidR="00D65F5F">
        <w:rPr>
          <w:rFonts w:ascii="Calibri" w:hAnsi="Calibri"/>
        </w:rPr>
        <w:t xml:space="preserve"> in the coming decade.</w:t>
      </w:r>
      <w:r w:rsidR="00933E05">
        <w:rPr>
          <w:rStyle w:val="FootnoteReference"/>
          <w:rFonts w:ascii="Calibri" w:hAnsi="Calibri"/>
        </w:rPr>
        <w:footnoteReference w:id="124"/>
      </w:r>
    </w:p>
    <w:p w14:paraId="3C4CC584" w14:textId="77777777" w:rsidR="00933E05" w:rsidRDefault="00933E05" w:rsidP="00692895">
      <w:pPr>
        <w:jc w:val="both"/>
        <w:rPr>
          <w:rFonts w:ascii="Calibri" w:hAnsi="Calibri"/>
        </w:rPr>
      </w:pPr>
    </w:p>
    <w:p w14:paraId="573EEE1F" w14:textId="0814D275" w:rsidR="00FF2A3A" w:rsidRPr="00DE7410" w:rsidRDefault="00FF2A3A" w:rsidP="00692895">
      <w:pPr>
        <w:jc w:val="both"/>
        <w:rPr>
          <w:rFonts w:ascii="Calibri" w:hAnsi="Calibri"/>
          <w:b/>
          <w:color w:val="1F497D" w:themeColor="text2"/>
        </w:rPr>
      </w:pPr>
      <w:r w:rsidRPr="00DE7410">
        <w:rPr>
          <w:rFonts w:ascii="Calibri" w:hAnsi="Calibri"/>
          <w:b/>
          <w:color w:val="1F497D" w:themeColor="text2"/>
        </w:rPr>
        <w:t>Assessing the impact of National Action Plans – six country case studies from around the world</w:t>
      </w:r>
    </w:p>
    <w:p w14:paraId="629E8429" w14:textId="77777777" w:rsidR="00C8102E" w:rsidRPr="00FF2A3A" w:rsidRDefault="00C8102E" w:rsidP="00692895">
      <w:pPr>
        <w:jc w:val="both"/>
        <w:rPr>
          <w:rFonts w:ascii="Calibri" w:hAnsi="Calibri"/>
          <w:b/>
        </w:rPr>
      </w:pPr>
    </w:p>
    <w:p w14:paraId="21DA8A1A" w14:textId="4B1BFB39" w:rsidR="00FF2A3A" w:rsidRDefault="005601A5" w:rsidP="00DE7410">
      <w:pPr>
        <w:spacing w:line="360" w:lineRule="auto"/>
        <w:jc w:val="both"/>
        <w:rPr>
          <w:rFonts w:ascii="Calibri" w:hAnsi="Calibri" w:cs="Times New Roman"/>
        </w:rPr>
      </w:pPr>
      <w:r>
        <w:rPr>
          <w:rFonts w:ascii="Calibri" w:hAnsi="Calibri" w:cs="Times New Roman"/>
        </w:rPr>
        <w:t>The</w:t>
      </w:r>
      <w:r w:rsidR="001B0742">
        <w:rPr>
          <w:rFonts w:ascii="Calibri" w:hAnsi="Calibri" w:cs="Times New Roman"/>
        </w:rPr>
        <w:t xml:space="preserve"> </w:t>
      </w:r>
      <w:r>
        <w:rPr>
          <w:rFonts w:ascii="Calibri" w:hAnsi="Calibri" w:cs="Times New Roman"/>
        </w:rPr>
        <w:t>impact of NAPs is considered</w:t>
      </w:r>
      <w:r w:rsidR="001B0742">
        <w:rPr>
          <w:rFonts w:ascii="Calibri" w:hAnsi="Calibri" w:cs="Times New Roman"/>
        </w:rPr>
        <w:t xml:space="preserve"> </w:t>
      </w:r>
      <w:r w:rsidR="00692895">
        <w:rPr>
          <w:rFonts w:ascii="Calibri" w:hAnsi="Calibri" w:cs="Times New Roman"/>
        </w:rPr>
        <w:t>through</w:t>
      </w:r>
      <w:r w:rsidR="005C68CA" w:rsidRPr="00AA6A15">
        <w:rPr>
          <w:rFonts w:ascii="Calibri" w:hAnsi="Calibri" w:cs="Times New Roman"/>
        </w:rPr>
        <w:t xml:space="preserve"> </w:t>
      </w:r>
      <w:r w:rsidR="001B0742">
        <w:rPr>
          <w:rFonts w:ascii="Calibri" w:hAnsi="Calibri" w:cs="Times New Roman"/>
        </w:rPr>
        <w:t>country</w:t>
      </w:r>
      <w:r w:rsidR="005C68CA" w:rsidRPr="00AA6A15">
        <w:rPr>
          <w:rFonts w:ascii="Calibri" w:hAnsi="Calibri" w:cs="Times New Roman"/>
        </w:rPr>
        <w:t xml:space="preserve"> case studies </w:t>
      </w:r>
      <w:r w:rsidR="0095770D">
        <w:rPr>
          <w:rFonts w:ascii="Calibri" w:hAnsi="Calibri" w:cs="Times New Roman"/>
        </w:rPr>
        <w:t>from various regions, all</w:t>
      </w:r>
      <w:r w:rsidR="001B0742">
        <w:rPr>
          <w:rFonts w:ascii="Calibri" w:hAnsi="Calibri" w:cs="Times New Roman"/>
        </w:rPr>
        <w:t xml:space="preserve"> at different stages of the </w:t>
      </w:r>
      <w:r w:rsidR="00D65F5F">
        <w:rPr>
          <w:rFonts w:ascii="Calibri" w:hAnsi="Calibri" w:cs="Times New Roman"/>
        </w:rPr>
        <w:t>(conflict prevention, conflicts, conflict resolution, post-conflict and transitional justice situations)</w:t>
      </w:r>
      <w:r w:rsidR="0095770D">
        <w:rPr>
          <w:rFonts w:ascii="Calibri" w:hAnsi="Calibri" w:cs="Times New Roman"/>
        </w:rPr>
        <w:t xml:space="preserve">. </w:t>
      </w:r>
      <w:r w:rsidR="00FF2A3A">
        <w:rPr>
          <w:rFonts w:ascii="Calibri" w:hAnsi="Calibri" w:cs="Times New Roman"/>
        </w:rPr>
        <w:t>Each case study tells a story based on the particular features of conflict</w:t>
      </w:r>
      <w:r w:rsidR="00CA029E">
        <w:rPr>
          <w:rFonts w:ascii="Calibri" w:hAnsi="Calibri" w:cs="Times New Roman"/>
        </w:rPr>
        <w:t xml:space="preserve"> prevention or resolution</w:t>
      </w:r>
      <w:r w:rsidR="00FF2A3A">
        <w:rPr>
          <w:rFonts w:ascii="Calibri" w:hAnsi="Calibri" w:cs="Times New Roman"/>
        </w:rPr>
        <w:t xml:space="preserve"> in that country (or region). These are:</w:t>
      </w:r>
    </w:p>
    <w:p w14:paraId="2EB01814" w14:textId="77777777" w:rsidR="00E4120D" w:rsidRDefault="00E4120D" w:rsidP="00692895">
      <w:pPr>
        <w:jc w:val="both"/>
        <w:rPr>
          <w:rFonts w:ascii="Calibri" w:hAnsi="Calibri" w:cs="Times New Roman"/>
        </w:rPr>
      </w:pPr>
    </w:p>
    <w:p w14:paraId="11C25A15" w14:textId="1EBA38B4" w:rsidR="00FF2A3A" w:rsidRPr="00FF2A3A" w:rsidRDefault="00FF2A3A" w:rsidP="00DE7410">
      <w:pPr>
        <w:pStyle w:val="ListParagraph"/>
        <w:numPr>
          <w:ilvl w:val="0"/>
          <w:numId w:val="36"/>
        </w:numPr>
        <w:spacing w:line="360" w:lineRule="auto"/>
        <w:jc w:val="both"/>
        <w:rPr>
          <w:rFonts w:ascii="Calibri" w:hAnsi="Calibri" w:cs="Times New Roman"/>
        </w:rPr>
      </w:pPr>
      <w:r w:rsidRPr="00FF2A3A">
        <w:rPr>
          <w:rFonts w:ascii="Calibri" w:hAnsi="Calibri" w:cs="Times New Roman"/>
        </w:rPr>
        <w:t>The Democratic Republic of the Congo</w:t>
      </w:r>
      <w:r w:rsidR="00787009">
        <w:rPr>
          <w:rFonts w:ascii="Calibri" w:hAnsi="Calibri" w:cs="Times New Roman"/>
        </w:rPr>
        <w:t xml:space="preserve"> (DRC)</w:t>
      </w:r>
      <w:r>
        <w:rPr>
          <w:rFonts w:ascii="Calibri" w:hAnsi="Calibri" w:cs="Times New Roman"/>
        </w:rPr>
        <w:t xml:space="preserve"> – </w:t>
      </w:r>
      <w:r w:rsidR="00F816E3">
        <w:rPr>
          <w:rFonts w:ascii="Calibri" w:hAnsi="Calibri" w:cs="Times New Roman"/>
        </w:rPr>
        <w:t>A Need to Address</w:t>
      </w:r>
      <w:r>
        <w:rPr>
          <w:rFonts w:ascii="Calibri" w:hAnsi="Calibri" w:cs="Times New Roman"/>
        </w:rPr>
        <w:t xml:space="preserve"> </w:t>
      </w:r>
      <w:r w:rsidR="00F816E3">
        <w:rPr>
          <w:rFonts w:ascii="Calibri" w:hAnsi="Calibri" w:cs="Times New Roman"/>
        </w:rPr>
        <w:t>Conflict-Related Sexual and Gender-Based Violence</w:t>
      </w:r>
      <w:r w:rsidRPr="00FF2A3A">
        <w:rPr>
          <w:rFonts w:ascii="Calibri" w:hAnsi="Calibri" w:cs="Times New Roman"/>
        </w:rPr>
        <w:t xml:space="preserve"> </w:t>
      </w:r>
      <w:r w:rsidR="00DD213C">
        <w:rPr>
          <w:rFonts w:ascii="Calibri" w:hAnsi="Calibri" w:cs="Times New Roman"/>
        </w:rPr>
        <w:t>(Africa)</w:t>
      </w:r>
    </w:p>
    <w:p w14:paraId="5D92024C" w14:textId="460D9215" w:rsidR="00FF2A3A" w:rsidRDefault="00FF2A3A" w:rsidP="00DE7410">
      <w:pPr>
        <w:pStyle w:val="ListParagraph"/>
        <w:numPr>
          <w:ilvl w:val="0"/>
          <w:numId w:val="36"/>
        </w:numPr>
        <w:spacing w:line="360" w:lineRule="auto"/>
        <w:jc w:val="both"/>
        <w:rPr>
          <w:rFonts w:ascii="Calibri" w:hAnsi="Calibri" w:cs="Times New Roman"/>
        </w:rPr>
      </w:pPr>
      <w:r w:rsidRPr="00FF2A3A">
        <w:rPr>
          <w:rFonts w:ascii="Calibri" w:hAnsi="Calibri" w:cs="Times New Roman"/>
        </w:rPr>
        <w:t xml:space="preserve">Nepal </w:t>
      </w:r>
      <w:r w:rsidR="00AA20F1">
        <w:rPr>
          <w:rFonts w:ascii="Calibri" w:hAnsi="Calibri" w:cs="Times New Roman"/>
        </w:rPr>
        <w:t>–</w:t>
      </w:r>
      <w:r w:rsidR="00CB2ADD">
        <w:rPr>
          <w:rFonts w:ascii="Calibri" w:hAnsi="Calibri" w:cs="Times New Roman"/>
        </w:rPr>
        <w:t xml:space="preserve"> </w:t>
      </w:r>
      <w:r w:rsidR="00F55EA8">
        <w:rPr>
          <w:rFonts w:ascii="Calibri" w:hAnsi="Calibri" w:cs="Times New Roman"/>
        </w:rPr>
        <w:t>Women’s P</w:t>
      </w:r>
      <w:r w:rsidR="00F73B33">
        <w:rPr>
          <w:rFonts w:ascii="Calibri" w:hAnsi="Calibri" w:cs="Times New Roman"/>
        </w:rPr>
        <w:t>articipation and Civil Society Leadership</w:t>
      </w:r>
      <w:r w:rsidR="00AA20F1">
        <w:rPr>
          <w:rFonts w:ascii="Calibri" w:hAnsi="Calibri" w:cs="Times New Roman"/>
        </w:rPr>
        <w:t xml:space="preserve"> in </w:t>
      </w:r>
      <w:r w:rsidR="00F55EA8">
        <w:rPr>
          <w:rFonts w:ascii="Calibri" w:hAnsi="Calibri" w:cs="Times New Roman"/>
        </w:rPr>
        <w:t>a Post-Conflict NAP (Asia)</w:t>
      </w:r>
    </w:p>
    <w:p w14:paraId="7DF0F3AE" w14:textId="461A4E51" w:rsidR="00F55EA8" w:rsidRPr="00F55EA8" w:rsidRDefault="00F55EA8" w:rsidP="00DE7410">
      <w:pPr>
        <w:pStyle w:val="ListParagraph"/>
        <w:numPr>
          <w:ilvl w:val="0"/>
          <w:numId w:val="36"/>
        </w:numPr>
        <w:spacing w:line="360" w:lineRule="auto"/>
        <w:jc w:val="both"/>
        <w:rPr>
          <w:rFonts w:ascii="Calibri" w:hAnsi="Calibri" w:cs="Times New Roman"/>
        </w:rPr>
      </w:pPr>
      <w:r w:rsidRPr="00FF2A3A">
        <w:rPr>
          <w:rFonts w:ascii="Calibri" w:hAnsi="Calibri" w:cs="Times New Roman"/>
        </w:rPr>
        <w:lastRenderedPageBreak/>
        <w:t xml:space="preserve">Myanmar  </w:t>
      </w:r>
      <w:r w:rsidR="00912347">
        <w:rPr>
          <w:rFonts w:ascii="Calibri" w:hAnsi="Calibri" w:cs="Times New Roman"/>
        </w:rPr>
        <w:t xml:space="preserve">– </w:t>
      </w:r>
      <w:r w:rsidR="00B14F22">
        <w:rPr>
          <w:rFonts w:ascii="Calibri" w:hAnsi="Calibri" w:cs="Times New Roman"/>
        </w:rPr>
        <w:t xml:space="preserve">A Journey Towards a NAP that Draws on the Legal Framework </w:t>
      </w:r>
      <w:r>
        <w:rPr>
          <w:rFonts w:ascii="Calibri" w:hAnsi="Calibri" w:cs="Times New Roman"/>
        </w:rPr>
        <w:t xml:space="preserve"> (Asia)</w:t>
      </w:r>
    </w:p>
    <w:p w14:paraId="456F16FE" w14:textId="5252B7B1" w:rsidR="00FF2A3A" w:rsidRDefault="00FF2A3A" w:rsidP="00DE7410">
      <w:pPr>
        <w:pStyle w:val="ListParagraph"/>
        <w:numPr>
          <w:ilvl w:val="0"/>
          <w:numId w:val="36"/>
        </w:numPr>
        <w:spacing w:line="360" w:lineRule="auto"/>
        <w:jc w:val="both"/>
        <w:rPr>
          <w:rFonts w:ascii="Calibri" w:hAnsi="Calibri" w:cs="Times New Roman"/>
        </w:rPr>
      </w:pPr>
      <w:r w:rsidRPr="00FF2A3A">
        <w:rPr>
          <w:rFonts w:ascii="Calibri" w:hAnsi="Calibri" w:cs="Times New Roman"/>
        </w:rPr>
        <w:t xml:space="preserve">Bosnia and Herzegovina </w:t>
      </w:r>
      <w:r w:rsidR="00AA20F1">
        <w:rPr>
          <w:rFonts w:ascii="Calibri" w:hAnsi="Calibri" w:cs="Times New Roman"/>
        </w:rPr>
        <w:t xml:space="preserve">– </w:t>
      </w:r>
      <w:r w:rsidR="00830AFB">
        <w:rPr>
          <w:rFonts w:ascii="Calibri" w:hAnsi="Calibri" w:cs="Times New Roman"/>
        </w:rPr>
        <w:t xml:space="preserve">An Old NAP </w:t>
      </w:r>
      <w:r w:rsidR="000E78A5">
        <w:rPr>
          <w:rFonts w:ascii="Calibri" w:hAnsi="Calibri" w:cs="Times New Roman"/>
        </w:rPr>
        <w:t>Featuring</w:t>
      </w:r>
      <w:r w:rsidR="00830AFB">
        <w:rPr>
          <w:rFonts w:ascii="Calibri" w:hAnsi="Calibri" w:cs="Times New Roman"/>
        </w:rPr>
        <w:t xml:space="preserve"> Frag</w:t>
      </w:r>
      <w:r w:rsidR="001222F4">
        <w:rPr>
          <w:rFonts w:ascii="Calibri" w:hAnsi="Calibri" w:cs="Times New Roman"/>
        </w:rPr>
        <w:t xml:space="preserve">mentation, a New NAP that Draws </w:t>
      </w:r>
      <w:r w:rsidR="00912347">
        <w:rPr>
          <w:rFonts w:ascii="Calibri" w:hAnsi="Calibri" w:cs="Times New Roman"/>
        </w:rPr>
        <w:t xml:space="preserve">on the Legal Framework </w:t>
      </w:r>
      <w:r w:rsidR="00DD213C">
        <w:rPr>
          <w:rFonts w:ascii="Calibri" w:hAnsi="Calibri" w:cs="Times New Roman"/>
        </w:rPr>
        <w:t>(Europe)</w:t>
      </w:r>
    </w:p>
    <w:p w14:paraId="51D1F201" w14:textId="04D2B234" w:rsidR="00FF2A3A" w:rsidRPr="00FF2A3A" w:rsidRDefault="00FF2A3A" w:rsidP="00DE7410">
      <w:pPr>
        <w:pStyle w:val="ListParagraph"/>
        <w:numPr>
          <w:ilvl w:val="0"/>
          <w:numId w:val="36"/>
        </w:numPr>
        <w:spacing w:line="360" w:lineRule="auto"/>
        <w:jc w:val="both"/>
        <w:rPr>
          <w:rFonts w:ascii="Calibri" w:hAnsi="Calibri" w:cs="Times New Roman"/>
        </w:rPr>
      </w:pPr>
      <w:r w:rsidRPr="00FF2A3A">
        <w:rPr>
          <w:rFonts w:ascii="Calibri" w:hAnsi="Calibri" w:cs="Times New Roman"/>
        </w:rPr>
        <w:t xml:space="preserve">Chile </w:t>
      </w:r>
      <w:r w:rsidR="00AA20F1">
        <w:rPr>
          <w:rFonts w:ascii="Calibri" w:hAnsi="Calibri" w:cs="Times New Roman"/>
        </w:rPr>
        <w:t xml:space="preserve">– </w:t>
      </w:r>
      <w:r w:rsidR="00F816E3">
        <w:rPr>
          <w:rFonts w:ascii="Calibri" w:hAnsi="Calibri" w:cs="Times New Roman"/>
        </w:rPr>
        <w:t>A NAP for National and International</w:t>
      </w:r>
      <w:r w:rsidR="00CA029E">
        <w:rPr>
          <w:rFonts w:ascii="Calibri" w:hAnsi="Calibri" w:cs="Times New Roman"/>
        </w:rPr>
        <w:t xml:space="preserve"> Cooperation</w:t>
      </w:r>
      <w:r w:rsidR="00DD213C">
        <w:rPr>
          <w:rFonts w:ascii="Calibri" w:hAnsi="Calibri" w:cs="Times New Roman"/>
        </w:rPr>
        <w:t xml:space="preserve"> (Latin America and the Caribbean) </w:t>
      </w:r>
    </w:p>
    <w:p w14:paraId="1F642CA8" w14:textId="2E11F689" w:rsidR="00FF2A3A" w:rsidRPr="00F55EA8" w:rsidRDefault="00FF2A3A" w:rsidP="00DE7410">
      <w:pPr>
        <w:pStyle w:val="ListParagraph"/>
        <w:numPr>
          <w:ilvl w:val="0"/>
          <w:numId w:val="36"/>
        </w:numPr>
        <w:spacing w:line="360" w:lineRule="auto"/>
        <w:jc w:val="both"/>
        <w:rPr>
          <w:rFonts w:ascii="Calibri" w:hAnsi="Calibri" w:cs="Times New Roman"/>
        </w:rPr>
      </w:pPr>
      <w:r w:rsidRPr="00FF2A3A">
        <w:rPr>
          <w:rFonts w:ascii="Calibri" w:hAnsi="Calibri" w:cs="Times New Roman"/>
        </w:rPr>
        <w:t xml:space="preserve">Iraq </w:t>
      </w:r>
      <w:r w:rsidR="00AA20F1">
        <w:rPr>
          <w:rFonts w:ascii="Calibri" w:hAnsi="Calibri" w:cs="Times New Roman"/>
        </w:rPr>
        <w:t xml:space="preserve">– </w:t>
      </w:r>
      <w:r w:rsidR="005076AE">
        <w:rPr>
          <w:rFonts w:ascii="Calibri" w:hAnsi="Calibri" w:cs="Times New Roman"/>
        </w:rPr>
        <w:t xml:space="preserve">A NAP amidst </w:t>
      </w:r>
      <w:r w:rsidR="00EB00D4">
        <w:rPr>
          <w:rFonts w:ascii="Calibri" w:hAnsi="Calibri" w:cs="Times New Roman"/>
        </w:rPr>
        <w:t xml:space="preserve">Current Conflict, </w:t>
      </w:r>
      <w:r w:rsidR="00280629">
        <w:rPr>
          <w:rFonts w:ascii="Calibri" w:hAnsi="Calibri" w:cs="Times New Roman"/>
        </w:rPr>
        <w:t xml:space="preserve">following </w:t>
      </w:r>
      <w:r w:rsidR="00CA029E">
        <w:rPr>
          <w:rFonts w:ascii="Calibri" w:hAnsi="Calibri" w:cs="Times New Roman"/>
        </w:rPr>
        <w:t>War and Occu</w:t>
      </w:r>
      <w:r w:rsidR="00DD213C">
        <w:rPr>
          <w:rFonts w:ascii="Calibri" w:hAnsi="Calibri" w:cs="Times New Roman"/>
        </w:rPr>
        <w:t>pation (the Middle East)</w:t>
      </w:r>
    </w:p>
    <w:p w14:paraId="196DBCE5" w14:textId="77777777" w:rsidR="00F55EA8" w:rsidRDefault="00F55EA8" w:rsidP="00692895">
      <w:pPr>
        <w:jc w:val="both"/>
        <w:rPr>
          <w:rFonts w:ascii="Calibri" w:hAnsi="Calibri" w:cs="Times New Roman"/>
        </w:rPr>
      </w:pPr>
    </w:p>
    <w:p w14:paraId="6E3E3056" w14:textId="36E44A4C" w:rsidR="007F7974" w:rsidRPr="00692895" w:rsidRDefault="0095770D" w:rsidP="00DE7410">
      <w:pPr>
        <w:spacing w:line="360" w:lineRule="auto"/>
        <w:jc w:val="both"/>
        <w:rPr>
          <w:rFonts w:ascii="Calibri" w:hAnsi="Calibri" w:cs="Times New Roman"/>
        </w:rPr>
      </w:pPr>
      <w:r>
        <w:rPr>
          <w:rFonts w:ascii="Calibri" w:hAnsi="Calibri" w:cs="Times New Roman"/>
        </w:rPr>
        <w:t xml:space="preserve">This Section </w:t>
      </w:r>
      <w:r w:rsidR="009726A9">
        <w:rPr>
          <w:rFonts w:ascii="Calibri" w:hAnsi="Calibri" w:cs="Times New Roman"/>
        </w:rPr>
        <w:t>discusses</w:t>
      </w:r>
      <w:r w:rsidR="001B0742">
        <w:rPr>
          <w:rFonts w:ascii="Calibri" w:hAnsi="Calibri" w:cs="Times New Roman"/>
        </w:rPr>
        <w:t xml:space="preserve"> </w:t>
      </w:r>
      <w:r>
        <w:rPr>
          <w:rFonts w:ascii="Calibri" w:hAnsi="Calibri" w:cs="Times New Roman"/>
        </w:rPr>
        <w:t xml:space="preserve">how NAPs have been developed, </w:t>
      </w:r>
      <w:r w:rsidR="00A61E6C">
        <w:rPr>
          <w:rFonts w:ascii="Calibri" w:hAnsi="Calibri" w:cs="Times New Roman"/>
        </w:rPr>
        <w:t>implemented</w:t>
      </w:r>
      <w:r w:rsidR="00EE5FA9">
        <w:rPr>
          <w:rFonts w:ascii="Calibri" w:hAnsi="Calibri" w:cs="Times New Roman"/>
        </w:rPr>
        <w:t xml:space="preserve"> and reviewed </w:t>
      </w:r>
      <w:r w:rsidR="005C68CA" w:rsidRPr="00AA6A15">
        <w:rPr>
          <w:rFonts w:ascii="Calibri" w:hAnsi="Calibri" w:cs="Times New Roman"/>
        </w:rPr>
        <w:t>by governments, developm</w:t>
      </w:r>
      <w:r>
        <w:rPr>
          <w:rFonts w:ascii="Calibri" w:hAnsi="Calibri" w:cs="Times New Roman"/>
        </w:rPr>
        <w:t>ent agencies and civil society</w:t>
      </w:r>
      <w:r w:rsidR="00EE5FA9">
        <w:rPr>
          <w:rFonts w:ascii="Calibri" w:hAnsi="Calibri" w:cs="Times New Roman"/>
        </w:rPr>
        <w:t>, including women’s organization</w:t>
      </w:r>
      <w:r w:rsidR="00A61E6C">
        <w:rPr>
          <w:rFonts w:ascii="Calibri" w:hAnsi="Calibri" w:cs="Times New Roman"/>
        </w:rPr>
        <w:t>s</w:t>
      </w:r>
      <w:r w:rsidR="00EE5FA9">
        <w:rPr>
          <w:rFonts w:ascii="Calibri" w:hAnsi="Calibri" w:cs="Times New Roman"/>
        </w:rPr>
        <w:t xml:space="preserve"> and victims and survivors of </w:t>
      </w:r>
      <w:r w:rsidR="00A61E6C">
        <w:rPr>
          <w:rFonts w:ascii="Calibri" w:hAnsi="Calibri" w:cs="Times New Roman"/>
        </w:rPr>
        <w:t xml:space="preserve">conflict-related </w:t>
      </w:r>
      <w:r w:rsidR="00EE5FA9">
        <w:rPr>
          <w:rFonts w:ascii="Calibri" w:hAnsi="Calibri" w:cs="Times New Roman"/>
        </w:rPr>
        <w:t>rights violations</w:t>
      </w:r>
      <w:r>
        <w:rPr>
          <w:rFonts w:ascii="Calibri" w:hAnsi="Calibri" w:cs="Times New Roman"/>
        </w:rPr>
        <w:t xml:space="preserve">. </w:t>
      </w:r>
      <w:r w:rsidR="00EE5FA9">
        <w:rPr>
          <w:rFonts w:ascii="Calibri" w:hAnsi="Calibri" w:cs="Times New Roman"/>
        </w:rPr>
        <w:t xml:space="preserve">As discussed below, two factors </w:t>
      </w:r>
      <w:r w:rsidR="005601A5">
        <w:rPr>
          <w:rFonts w:ascii="Calibri" w:hAnsi="Calibri" w:cs="Times New Roman"/>
        </w:rPr>
        <w:t>seem to have the</w:t>
      </w:r>
      <w:r>
        <w:rPr>
          <w:rFonts w:ascii="Calibri" w:hAnsi="Calibri" w:cs="Times New Roman"/>
        </w:rPr>
        <w:t xml:space="preserve"> greatest impact on the </w:t>
      </w:r>
      <w:r w:rsidR="005601A5">
        <w:rPr>
          <w:rFonts w:ascii="Calibri" w:hAnsi="Calibri" w:cs="Times New Roman"/>
        </w:rPr>
        <w:t xml:space="preserve">effectiveness of the </w:t>
      </w:r>
      <w:r>
        <w:rPr>
          <w:rFonts w:ascii="Calibri" w:hAnsi="Calibri" w:cs="Times New Roman"/>
        </w:rPr>
        <w:t xml:space="preserve">NAP process </w:t>
      </w:r>
      <w:r w:rsidR="00EE5FA9">
        <w:rPr>
          <w:rFonts w:ascii="Calibri" w:hAnsi="Calibri" w:cs="Times New Roman"/>
        </w:rPr>
        <w:t>(design, implementation</w:t>
      </w:r>
      <w:r w:rsidR="00446819">
        <w:rPr>
          <w:rFonts w:ascii="Calibri" w:hAnsi="Calibri" w:cs="Times New Roman"/>
        </w:rPr>
        <w:t>,</w:t>
      </w:r>
      <w:r w:rsidR="00EE5FA9">
        <w:rPr>
          <w:rFonts w:ascii="Calibri" w:hAnsi="Calibri" w:cs="Times New Roman"/>
        </w:rPr>
        <w:t xml:space="preserve"> monitoring and evaluation)</w:t>
      </w:r>
      <w:r>
        <w:rPr>
          <w:rFonts w:ascii="Calibri" w:hAnsi="Calibri" w:cs="Times New Roman"/>
        </w:rPr>
        <w:t>. These</w:t>
      </w:r>
      <w:r w:rsidR="00EE5FA9">
        <w:rPr>
          <w:rFonts w:ascii="Calibri" w:hAnsi="Calibri" w:cs="Times New Roman"/>
        </w:rPr>
        <w:t xml:space="preserve"> are: </w:t>
      </w:r>
      <w:r w:rsidR="00EE5FA9" w:rsidRPr="00DE7410">
        <w:rPr>
          <w:rFonts w:ascii="Calibri" w:hAnsi="Calibri" w:cs="Times New Roman"/>
          <w:b/>
          <w:color w:val="4F81BD" w:themeColor="accent1"/>
        </w:rPr>
        <w:t xml:space="preserve">women and girls’ </w:t>
      </w:r>
      <w:r w:rsidR="007F7974" w:rsidRPr="00DE7410">
        <w:rPr>
          <w:rFonts w:ascii="Calibri" w:hAnsi="Calibri" w:cs="Times New Roman"/>
          <w:b/>
          <w:color w:val="4F81BD" w:themeColor="accent1"/>
        </w:rPr>
        <w:t>participation</w:t>
      </w:r>
      <w:r w:rsidR="00EE5FA9" w:rsidRPr="00DE7410">
        <w:rPr>
          <w:rFonts w:ascii="Calibri" w:hAnsi="Calibri" w:cs="Times New Roman"/>
          <w:b/>
          <w:color w:val="4F81BD" w:themeColor="accent1"/>
        </w:rPr>
        <w:t xml:space="preserve"> and inclusion</w:t>
      </w:r>
      <w:r>
        <w:rPr>
          <w:rFonts w:ascii="Calibri" w:hAnsi="Calibri" w:cs="Times New Roman"/>
        </w:rPr>
        <w:t xml:space="preserve">; and </w:t>
      </w:r>
      <w:r w:rsidRPr="00DE7410">
        <w:rPr>
          <w:rFonts w:ascii="Calibri" w:hAnsi="Calibri" w:cs="Times New Roman"/>
          <w:b/>
          <w:color w:val="4F81BD" w:themeColor="accent1"/>
        </w:rPr>
        <w:t>government-buy in</w:t>
      </w:r>
      <w:r>
        <w:rPr>
          <w:rFonts w:ascii="Calibri" w:hAnsi="Calibri" w:cs="Times New Roman"/>
        </w:rPr>
        <w:t xml:space="preserve"> and </w:t>
      </w:r>
      <w:r w:rsidRPr="00DE7410">
        <w:rPr>
          <w:rFonts w:ascii="Calibri" w:hAnsi="Calibri" w:cs="Times New Roman"/>
          <w:b/>
          <w:color w:val="4F81BD" w:themeColor="accent1"/>
        </w:rPr>
        <w:t>civil society</w:t>
      </w:r>
      <w:r w:rsidRPr="00DE7410">
        <w:rPr>
          <w:rFonts w:ascii="Calibri" w:hAnsi="Calibri"/>
          <w:b/>
          <w:color w:val="4F81BD" w:themeColor="accent1"/>
        </w:rPr>
        <w:t xml:space="preserve"> engagement</w:t>
      </w:r>
      <w:r>
        <w:rPr>
          <w:rFonts w:ascii="Calibri" w:hAnsi="Calibri"/>
        </w:rPr>
        <w:t xml:space="preserve"> on the legal framework, both </w:t>
      </w:r>
      <w:r w:rsidR="005601A5">
        <w:rPr>
          <w:rFonts w:ascii="Calibri" w:hAnsi="Calibri"/>
        </w:rPr>
        <w:t>via NAPs and other actions.</w:t>
      </w:r>
    </w:p>
    <w:p w14:paraId="7640F7AD" w14:textId="77777777" w:rsidR="00C8102E" w:rsidRDefault="00C8102E" w:rsidP="005C68CA">
      <w:pPr>
        <w:jc w:val="both"/>
        <w:rPr>
          <w:rFonts w:ascii="Calibri" w:hAnsi="Calibri" w:cs="Times New Roman"/>
        </w:rPr>
      </w:pPr>
    </w:p>
    <w:p w14:paraId="2EDD8775" w14:textId="70494BBB" w:rsidR="005C68CA" w:rsidRPr="00DE7410" w:rsidRDefault="00EF78C7" w:rsidP="005C68CA">
      <w:pPr>
        <w:jc w:val="both"/>
        <w:rPr>
          <w:rFonts w:ascii="Calibri" w:hAnsi="Calibri" w:cs="Times New Roman"/>
          <w:b/>
          <w:color w:val="1F497D" w:themeColor="text2"/>
        </w:rPr>
      </w:pPr>
      <w:r w:rsidRPr="00DE7410">
        <w:rPr>
          <w:rFonts w:ascii="Calibri" w:hAnsi="Calibri" w:cs="Times New Roman"/>
          <w:b/>
          <w:color w:val="1F497D" w:themeColor="text2"/>
        </w:rPr>
        <w:t>The participation and inclusion of women and girls</w:t>
      </w:r>
      <w:r w:rsidR="006F6B7D" w:rsidRPr="00DE7410">
        <w:rPr>
          <w:rFonts w:ascii="Calibri" w:hAnsi="Calibri" w:cs="Times New Roman"/>
          <w:b/>
          <w:color w:val="1F497D" w:themeColor="text2"/>
        </w:rPr>
        <w:t xml:space="preserve"> </w:t>
      </w:r>
      <w:r w:rsidR="0095770D" w:rsidRPr="00DE7410">
        <w:rPr>
          <w:rFonts w:ascii="Calibri" w:hAnsi="Calibri" w:cs="Times New Roman"/>
          <w:b/>
          <w:color w:val="1F497D" w:themeColor="text2"/>
        </w:rPr>
        <w:t>in the NAP process</w:t>
      </w:r>
    </w:p>
    <w:p w14:paraId="356A9F6F" w14:textId="77777777" w:rsidR="00C8102E" w:rsidRPr="00EE2B6A" w:rsidRDefault="00C8102E" w:rsidP="005C68CA">
      <w:pPr>
        <w:jc w:val="both"/>
        <w:rPr>
          <w:rFonts w:ascii="Calibri" w:hAnsi="Calibri" w:cs="Times New Roman"/>
          <w:b/>
        </w:rPr>
      </w:pPr>
    </w:p>
    <w:p w14:paraId="3FE01957" w14:textId="65F26F2A" w:rsidR="009420B0" w:rsidRDefault="00D65F5F" w:rsidP="00DE7410">
      <w:pPr>
        <w:spacing w:line="360" w:lineRule="auto"/>
        <w:jc w:val="both"/>
        <w:rPr>
          <w:rFonts w:ascii="Calibri" w:hAnsi="Calibri" w:cs="Times New Roman"/>
        </w:rPr>
      </w:pPr>
      <w:r>
        <w:rPr>
          <w:rFonts w:ascii="Calibri" w:hAnsi="Calibri" w:cs="Times New Roman"/>
        </w:rPr>
        <w:t xml:space="preserve">Participation is the only </w:t>
      </w:r>
      <w:r w:rsidR="005601A5">
        <w:rPr>
          <w:rFonts w:ascii="Calibri" w:hAnsi="Calibri" w:cs="Times New Roman"/>
        </w:rPr>
        <w:t>one</w:t>
      </w:r>
      <w:r>
        <w:rPr>
          <w:rFonts w:ascii="Calibri" w:hAnsi="Calibri" w:cs="Times New Roman"/>
        </w:rPr>
        <w:t xml:space="preserve"> of the “three Ps” of SCR 1325 (the other two </w:t>
      </w:r>
      <w:r w:rsidR="00434E8E">
        <w:rPr>
          <w:rFonts w:ascii="Calibri" w:hAnsi="Calibri" w:cs="Times New Roman"/>
        </w:rPr>
        <w:t>being</w:t>
      </w:r>
      <w:r>
        <w:rPr>
          <w:rFonts w:ascii="Calibri" w:hAnsi="Calibri" w:cs="Times New Roman"/>
        </w:rPr>
        <w:t xml:space="preserve"> prevention and protection) to </w:t>
      </w:r>
      <w:r w:rsidR="005601A5">
        <w:rPr>
          <w:rFonts w:ascii="Calibri" w:hAnsi="Calibri" w:cs="Times New Roman"/>
        </w:rPr>
        <w:t>feature as a priority</w:t>
      </w:r>
      <w:r>
        <w:rPr>
          <w:rFonts w:ascii="Calibri" w:hAnsi="Calibri" w:cs="Times New Roman"/>
        </w:rPr>
        <w:t xml:space="preserve"> in every NAP</w:t>
      </w:r>
      <w:r w:rsidR="00EE5FA9">
        <w:rPr>
          <w:rFonts w:ascii="Calibri" w:hAnsi="Calibri" w:cs="Times New Roman"/>
        </w:rPr>
        <w:t xml:space="preserve"> in the case studies</w:t>
      </w:r>
      <w:r w:rsidR="00933E05">
        <w:rPr>
          <w:rFonts w:ascii="Calibri" w:hAnsi="Calibri" w:cs="Times New Roman"/>
        </w:rPr>
        <w:t xml:space="preserve">. While the NAPs focus on the other three pillars of </w:t>
      </w:r>
      <w:r w:rsidR="00EE5FA9">
        <w:rPr>
          <w:rFonts w:ascii="Calibri" w:hAnsi="Calibri" w:cs="Times New Roman"/>
        </w:rPr>
        <w:t>SCR 1325</w:t>
      </w:r>
      <w:r>
        <w:rPr>
          <w:rFonts w:ascii="Calibri" w:hAnsi="Calibri" w:cs="Times New Roman"/>
        </w:rPr>
        <w:t xml:space="preserve"> to varying degrees</w:t>
      </w:r>
      <w:r w:rsidR="00EE5FA9">
        <w:rPr>
          <w:rFonts w:ascii="Calibri" w:hAnsi="Calibri" w:cs="Times New Roman"/>
        </w:rPr>
        <w:t xml:space="preserve"> (</w:t>
      </w:r>
      <w:r>
        <w:rPr>
          <w:rFonts w:ascii="Calibri" w:hAnsi="Calibri" w:cs="Times New Roman"/>
        </w:rPr>
        <w:t xml:space="preserve">the fourth pillar </w:t>
      </w:r>
      <w:r w:rsidR="00434E8E">
        <w:rPr>
          <w:rFonts w:ascii="Calibri" w:hAnsi="Calibri" w:cs="Times New Roman"/>
        </w:rPr>
        <w:t xml:space="preserve">being </w:t>
      </w:r>
      <w:r w:rsidR="00EE5FA9">
        <w:rPr>
          <w:rFonts w:ascii="Calibri" w:hAnsi="Calibri" w:cs="Times New Roman"/>
        </w:rPr>
        <w:t>relief and recovery)</w:t>
      </w:r>
      <w:r w:rsidR="00933E05">
        <w:rPr>
          <w:rFonts w:ascii="Calibri" w:hAnsi="Calibri" w:cs="Times New Roman"/>
        </w:rPr>
        <w:t xml:space="preserve"> either explicitly or implicitly, the </w:t>
      </w:r>
      <w:r w:rsidR="00B72C09">
        <w:rPr>
          <w:rFonts w:ascii="Calibri" w:hAnsi="Calibri" w:cs="Times New Roman"/>
        </w:rPr>
        <w:t>meaningful inclusion</w:t>
      </w:r>
      <w:r w:rsidR="00933E05">
        <w:rPr>
          <w:rFonts w:ascii="Calibri" w:hAnsi="Calibri" w:cs="Times New Roman"/>
        </w:rPr>
        <w:t xml:space="preserve"> of women and girls is crucial to the </w:t>
      </w:r>
      <w:r>
        <w:rPr>
          <w:rFonts w:ascii="Calibri" w:hAnsi="Calibri" w:cs="Times New Roman"/>
        </w:rPr>
        <w:t>NAP process</w:t>
      </w:r>
      <w:r w:rsidR="009420B0">
        <w:rPr>
          <w:rFonts w:ascii="Calibri" w:hAnsi="Calibri" w:cs="Times New Roman"/>
        </w:rPr>
        <w:t>.</w:t>
      </w:r>
      <w:r w:rsidR="009420B0" w:rsidRPr="00AA6A15">
        <w:rPr>
          <w:rFonts w:ascii="Calibri" w:hAnsi="Calibri" w:cs="Times New Roman"/>
        </w:rPr>
        <w:t xml:space="preserve"> In Myanmar, </w:t>
      </w:r>
      <w:r w:rsidR="009420B0">
        <w:rPr>
          <w:rFonts w:ascii="Calibri" w:hAnsi="Calibri" w:cs="Times New Roman"/>
        </w:rPr>
        <w:t xml:space="preserve">the only </w:t>
      </w:r>
      <w:r w:rsidR="005601A5">
        <w:rPr>
          <w:rFonts w:ascii="Calibri" w:hAnsi="Calibri" w:cs="Times New Roman"/>
        </w:rPr>
        <w:t>country yet to implement a NAP,</w:t>
      </w:r>
      <w:r w:rsidR="009420B0">
        <w:rPr>
          <w:rFonts w:ascii="Calibri" w:hAnsi="Calibri" w:cs="Times New Roman"/>
        </w:rPr>
        <w:t xml:space="preserve"> </w:t>
      </w:r>
      <w:r w:rsidR="009420B0" w:rsidRPr="00AA6A15">
        <w:rPr>
          <w:rFonts w:ascii="Calibri" w:hAnsi="Calibri" w:cs="Times New Roman"/>
        </w:rPr>
        <w:t xml:space="preserve">preliminary measures to promote </w:t>
      </w:r>
      <w:r w:rsidR="009420B0">
        <w:rPr>
          <w:rFonts w:ascii="Calibri" w:hAnsi="Calibri" w:cs="Times New Roman"/>
        </w:rPr>
        <w:t xml:space="preserve">women’s </w:t>
      </w:r>
      <w:r w:rsidR="00434E8E">
        <w:rPr>
          <w:rFonts w:ascii="Calibri" w:hAnsi="Calibri" w:cs="Times New Roman"/>
        </w:rPr>
        <w:t xml:space="preserve">political </w:t>
      </w:r>
      <w:r w:rsidR="009420B0">
        <w:rPr>
          <w:rFonts w:ascii="Calibri" w:hAnsi="Calibri" w:cs="Times New Roman"/>
        </w:rPr>
        <w:t xml:space="preserve">participation </w:t>
      </w:r>
      <w:r w:rsidR="009420B0" w:rsidRPr="00AA6A15">
        <w:rPr>
          <w:rFonts w:ascii="Calibri" w:hAnsi="Calibri" w:cs="Times New Roman"/>
        </w:rPr>
        <w:t>include a National Strategic Action Plan for t</w:t>
      </w:r>
      <w:r w:rsidR="009420B0">
        <w:rPr>
          <w:rFonts w:ascii="Calibri" w:hAnsi="Calibri" w:cs="Times New Roman"/>
        </w:rPr>
        <w:t xml:space="preserve">he Advancement of Women </w:t>
      </w:r>
      <w:r w:rsidR="005601A5">
        <w:rPr>
          <w:rFonts w:ascii="Calibri" w:hAnsi="Calibri" w:cs="Times New Roman"/>
        </w:rPr>
        <w:t xml:space="preserve">2013-2022 </w:t>
      </w:r>
      <w:r w:rsidR="009420B0">
        <w:rPr>
          <w:rFonts w:ascii="Calibri" w:hAnsi="Calibri" w:cs="Times New Roman"/>
        </w:rPr>
        <w:t xml:space="preserve">(NSPAW). The NSPAW </w:t>
      </w:r>
      <w:r w:rsidR="00B72C09">
        <w:rPr>
          <w:rFonts w:ascii="Calibri" w:hAnsi="Calibri" w:cs="Times New Roman"/>
        </w:rPr>
        <w:t>includes</w:t>
      </w:r>
      <w:r w:rsidR="009420B0">
        <w:rPr>
          <w:rFonts w:ascii="Calibri" w:hAnsi="Calibri" w:cs="Times New Roman"/>
        </w:rPr>
        <w:t xml:space="preserve"> “decision-making” as a priority, and is</w:t>
      </w:r>
      <w:r w:rsidR="009420B0" w:rsidRPr="00AA6A15">
        <w:rPr>
          <w:rFonts w:ascii="Calibri" w:hAnsi="Calibri" w:cs="Times New Roman"/>
        </w:rPr>
        <w:t xml:space="preserve"> based on </w:t>
      </w:r>
      <w:r w:rsidR="009420B0">
        <w:rPr>
          <w:rFonts w:ascii="Calibri" w:hAnsi="Calibri" w:cs="Times New Roman"/>
        </w:rPr>
        <w:t>elements of the legal framework</w:t>
      </w:r>
      <w:r w:rsidR="005601A5">
        <w:rPr>
          <w:rFonts w:ascii="Calibri" w:hAnsi="Calibri" w:cs="Times New Roman"/>
        </w:rPr>
        <w:t xml:space="preserve"> on women, peace and security</w:t>
      </w:r>
      <w:r w:rsidR="009420B0">
        <w:rPr>
          <w:rFonts w:ascii="Calibri" w:hAnsi="Calibri" w:cs="Times New Roman"/>
        </w:rPr>
        <w:t xml:space="preserve"> that prioritise the participation of women and girls in preventing, managing and resolving conflict, namely</w:t>
      </w:r>
      <w:r w:rsidR="009420B0" w:rsidRPr="00AA6A15">
        <w:rPr>
          <w:rFonts w:ascii="Calibri" w:hAnsi="Calibri" w:cs="Times New Roman"/>
        </w:rPr>
        <w:t xml:space="preserve"> </w:t>
      </w:r>
      <w:r w:rsidR="009420B0">
        <w:rPr>
          <w:rFonts w:ascii="Calibri" w:hAnsi="Calibri" w:cs="Times New Roman"/>
        </w:rPr>
        <w:t>the Convention on the Elimination of All Forms of Discrimination against Women 1979 (CEDAW) and its General Recommendations, which include the General Recommendation No. 30 on women in conflict prevention, conflict and post-conflict situations</w:t>
      </w:r>
      <w:r w:rsidR="00B72C09">
        <w:rPr>
          <w:rFonts w:ascii="Calibri" w:hAnsi="Calibri" w:cs="Times New Roman"/>
        </w:rPr>
        <w:t xml:space="preserve"> (CEDAW GR No. 30)</w:t>
      </w:r>
      <w:r w:rsidR="009420B0">
        <w:rPr>
          <w:rFonts w:ascii="Calibri" w:hAnsi="Calibri" w:cs="Times New Roman"/>
        </w:rPr>
        <w:t xml:space="preserve"> and the Beijing Platform for Action 1995 (BPfA)</w:t>
      </w:r>
      <w:r w:rsidR="00B72C09">
        <w:rPr>
          <w:rFonts w:ascii="Calibri" w:hAnsi="Calibri" w:cs="Times New Roman"/>
        </w:rPr>
        <w:t>.</w:t>
      </w:r>
      <w:r w:rsidR="00B72C09" w:rsidRPr="00B72C09">
        <w:rPr>
          <w:rStyle w:val="FootnoteReference"/>
          <w:rFonts w:ascii="Calibri" w:hAnsi="Calibri" w:cs="Times New Roman"/>
        </w:rPr>
        <w:t xml:space="preserve"> </w:t>
      </w:r>
      <w:r w:rsidR="00B72C09">
        <w:rPr>
          <w:rStyle w:val="FootnoteReference"/>
          <w:rFonts w:ascii="Calibri" w:hAnsi="Calibri" w:cs="Times New Roman"/>
        </w:rPr>
        <w:footnoteReference w:id="125"/>
      </w:r>
      <w:r w:rsidR="00B72C09">
        <w:rPr>
          <w:rFonts w:ascii="Calibri" w:hAnsi="Calibri" w:cs="Times New Roman"/>
        </w:rPr>
        <w:t xml:space="preserve">  CEDAW and its GR No. 30 and the BPfA</w:t>
      </w:r>
      <w:r w:rsidR="009420B0">
        <w:rPr>
          <w:rFonts w:ascii="Calibri" w:hAnsi="Calibri" w:cs="Times New Roman"/>
        </w:rPr>
        <w:t xml:space="preserve"> are two key elements of the legal framework that complement SCR 1325.</w:t>
      </w:r>
      <w:r w:rsidR="00A61E6C">
        <w:rPr>
          <w:rFonts w:ascii="Calibri" w:hAnsi="Calibri" w:cs="Times New Roman"/>
        </w:rPr>
        <w:t xml:space="preserve"> These elements of the legal framework are mentioned in </w:t>
      </w:r>
      <w:r w:rsidR="009559AD">
        <w:rPr>
          <w:rFonts w:ascii="Calibri" w:hAnsi="Calibri" w:cs="Times New Roman"/>
        </w:rPr>
        <w:t xml:space="preserve">all of the NAPs in the case studies (Chile, the </w:t>
      </w:r>
      <w:r w:rsidR="00A61E6C">
        <w:rPr>
          <w:rFonts w:ascii="Calibri" w:hAnsi="Calibri" w:cs="Times New Roman"/>
        </w:rPr>
        <w:t>DRC</w:t>
      </w:r>
      <w:r w:rsidR="009559AD">
        <w:rPr>
          <w:rFonts w:ascii="Calibri" w:hAnsi="Calibri" w:cs="Times New Roman"/>
        </w:rPr>
        <w:t>, Iraq, Bosnia and Herzegovina</w:t>
      </w:r>
      <w:r w:rsidR="00A61E6C">
        <w:rPr>
          <w:rFonts w:ascii="Calibri" w:hAnsi="Calibri" w:cs="Times New Roman"/>
        </w:rPr>
        <w:t xml:space="preserve"> and Nepal</w:t>
      </w:r>
      <w:r w:rsidR="009559AD">
        <w:rPr>
          <w:rFonts w:ascii="Calibri" w:hAnsi="Calibri" w:cs="Times New Roman"/>
        </w:rPr>
        <w:t>)</w:t>
      </w:r>
      <w:r w:rsidR="00A61E6C">
        <w:rPr>
          <w:rFonts w:ascii="Calibri" w:hAnsi="Calibri" w:cs="Times New Roman"/>
        </w:rPr>
        <w:t xml:space="preserve">. </w:t>
      </w:r>
    </w:p>
    <w:p w14:paraId="4CEBFA95" w14:textId="77777777" w:rsidR="008B5F1C" w:rsidRDefault="008B5F1C" w:rsidP="00DE7410">
      <w:pPr>
        <w:spacing w:line="360" w:lineRule="auto"/>
        <w:jc w:val="both"/>
        <w:rPr>
          <w:rFonts w:ascii="Calibri" w:hAnsi="Calibri" w:cs="Times New Roman"/>
        </w:rPr>
      </w:pPr>
    </w:p>
    <w:p w14:paraId="13F8F16F" w14:textId="77777777" w:rsidR="008B5F1C" w:rsidRDefault="008B5F1C" w:rsidP="00DE7410">
      <w:pPr>
        <w:spacing w:line="360" w:lineRule="auto"/>
        <w:jc w:val="both"/>
        <w:rPr>
          <w:rFonts w:ascii="Calibri" w:hAnsi="Calibri" w:cs="Times New Roman"/>
        </w:rPr>
      </w:pPr>
    </w:p>
    <w:p w14:paraId="1E97AD5F" w14:textId="77777777" w:rsidR="005C68CA" w:rsidRDefault="005C68CA" w:rsidP="005C68CA">
      <w:pPr>
        <w:jc w:val="both"/>
        <w:rPr>
          <w:rFonts w:ascii="Calibri" w:hAnsi="Calibri" w:cs="Times New Roman"/>
          <w:b/>
        </w:rPr>
      </w:pPr>
    </w:p>
    <w:p w14:paraId="0B6148BE" w14:textId="19FB5FCE" w:rsidR="005C68CA" w:rsidRPr="00DE7410" w:rsidRDefault="00EF78C7" w:rsidP="005C68CA">
      <w:pPr>
        <w:jc w:val="both"/>
        <w:rPr>
          <w:rFonts w:ascii="Calibri" w:hAnsi="Calibri" w:cs="Times New Roman"/>
          <w:b/>
          <w:color w:val="1F497D" w:themeColor="text2"/>
        </w:rPr>
      </w:pPr>
      <w:r w:rsidRPr="00DE7410">
        <w:rPr>
          <w:rFonts w:ascii="Calibri" w:hAnsi="Calibri" w:cs="Times New Roman"/>
          <w:b/>
          <w:color w:val="1F497D" w:themeColor="text2"/>
        </w:rPr>
        <w:t>P</w:t>
      </w:r>
      <w:r w:rsidR="003B6A14" w:rsidRPr="00DE7410">
        <w:rPr>
          <w:rFonts w:ascii="Calibri" w:hAnsi="Calibri" w:cs="Times New Roman"/>
          <w:b/>
          <w:color w:val="1F497D" w:themeColor="text2"/>
        </w:rPr>
        <w:t>olitical will</w:t>
      </w:r>
      <w:r w:rsidR="006F6B7D" w:rsidRPr="00DE7410">
        <w:rPr>
          <w:rFonts w:ascii="Calibri" w:hAnsi="Calibri" w:cs="Times New Roman"/>
          <w:b/>
          <w:color w:val="1F497D" w:themeColor="text2"/>
        </w:rPr>
        <w:t xml:space="preserve"> and </w:t>
      </w:r>
      <w:r w:rsidR="0095770D" w:rsidRPr="00DE7410">
        <w:rPr>
          <w:rFonts w:ascii="Calibri" w:hAnsi="Calibri" w:cs="Times New Roman"/>
          <w:b/>
          <w:color w:val="1F497D" w:themeColor="text2"/>
        </w:rPr>
        <w:t xml:space="preserve">civil society </w:t>
      </w:r>
      <w:r w:rsidR="006F6B7D" w:rsidRPr="00DE7410">
        <w:rPr>
          <w:rFonts w:ascii="Calibri" w:hAnsi="Calibri" w:cs="Times New Roman"/>
          <w:b/>
          <w:color w:val="1F497D" w:themeColor="text2"/>
        </w:rPr>
        <w:t xml:space="preserve">engagement </w:t>
      </w:r>
      <w:r w:rsidR="0095770D" w:rsidRPr="00DE7410">
        <w:rPr>
          <w:rFonts w:ascii="Calibri" w:hAnsi="Calibri" w:cs="Times New Roman"/>
          <w:b/>
          <w:color w:val="1F497D" w:themeColor="text2"/>
        </w:rPr>
        <w:t xml:space="preserve">on the legal framework </w:t>
      </w:r>
      <w:r w:rsidR="008B5F1C">
        <w:rPr>
          <w:rFonts w:ascii="Calibri" w:hAnsi="Calibri" w:cs="Times New Roman"/>
          <w:b/>
          <w:color w:val="1F497D" w:themeColor="text2"/>
        </w:rPr>
        <w:t xml:space="preserve">on women, peace and security </w:t>
      </w:r>
    </w:p>
    <w:p w14:paraId="56733B44" w14:textId="77777777" w:rsidR="00C8102E" w:rsidRPr="00AA6A15" w:rsidRDefault="00C8102E" w:rsidP="005C68CA">
      <w:pPr>
        <w:jc w:val="both"/>
        <w:rPr>
          <w:rFonts w:ascii="Calibri" w:hAnsi="Calibri" w:cs="Times New Roman"/>
          <w:b/>
        </w:rPr>
      </w:pPr>
    </w:p>
    <w:p w14:paraId="5202727D" w14:textId="40DBBE31" w:rsidR="003B6A14" w:rsidRDefault="005601A5" w:rsidP="00DE7410">
      <w:pPr>
        <w:spacing w:line="360" w:lineRule="auto"/>
        <w:jc w:val="both"/>
        <w:rPr>
          <w:rFonts w:ascii="Calibri" w:hAnsi="Calibri" w:cs="Times New Roman"/>
        </w:rPr>
      </w:pPr>
      <w:r>
        <w:rPr>
          <w:rFonts w:ascii="Calibri" w:hAnsi="Calibri" w:cs="Times New Roman"/>
        </w:rPr>
        <w:t xml:space="preserve">Buy-in by governments and the involvement of civil society are crucial to implementing SCR 1325 and upholding the legal framework. </w:t>
      </w:r>
      <w:r w:rsidR="001A1CC2">
        <w:rPr>
          <w:rFonts w:ascii="Calibri" w:hAnsi="Calibri" w:cs="Times New Roman"/>
        </w:rPr>
        <w:t xml:space="preserve">In each </w:t>
      </w:r>
      <w:r w:rsidR="003B6A14">
        <w:rPr>
          <w:rFonts w:ascii="Calibri" w:hAnsi="Calibri" w:cs="Times New Roman"/>
        </w:rPr>
        <w:t>case study</w:t>
      </w:r>
      <w:r w:rsidR="001A1CC2">
        <w:rPr>
          <w:rFonts w:ascii="Calibri" w:hAnsi="Calibri" w:cs="Times New Roman"/>
        </w:rPr>
        <w:t xml:space="preserve">, political will largely determines </w:t>
      </w:r>
      <w:r w:rsidR="00DD213C">
        <w:rPr>
          <w:rFonts w:ascii="Calibri" w:hAnsi="Calibri" w:cs="Times New Roman"/>
        </w:rPr>
        <w:t>the adequacy of</w:t>
      </w:r>
      <w:r w:rsidR="001A1CC2">
        <w:rPr>
          <w:rFonts w:ascii="Calibri" w:hAnsi="Calibri" w:cs="Times New Roman"/>
        </w:rPr>
        <w:t xml:space="preserve"> the design and content of NAPs. </w:t>
      </w:r>
      <w:r w:rsidR="00DD213C">
        <w:rPr>
          <w:rFonts w:ascii="Calibri" w:hAnsi="Calibri" w:cs="Times New Roman"/>
        </w:rPr>
        <w:t>C</w:t>
      </w:r>
      <w:r w:rsidR="001A1CC2">
        <w:rPr>
          <w:rFonts w:ascii="Calibri" w:hAnsi="Calibri" w:cs="Times New Roman"/>
        </w:rPr>
        <w:t xml:space="preserve">ivil society advocacy </w:t>
      </w:r>
      <w:r w:rsidR="00787009">
        <w:rPr>
          <w:rFonts w:ascii="Calibri" w:hAnsi="Calibri" w:cs="Times New Roman"/>
        </w:rPr>
        <w:t xml:space="preserve">makes </w:t>
      </w:r>
      <w:r w:rsidR="009559AD">
        <w:rPr>
          <w:rFonts w:ascii="Calibri" w:hAnsi="Calibri" w:cs="Times New Roman"/>
        </w:rPr>
        <w:t>a</w:t>
      </w:r>
      <w:r w:rsidR="00787009">
        <w:rPr>
          <w:rFonts w:ascii="Calibri" w:hAnsi="Calibri" w:cs="Times New Roman"/>
        </w:rPr>
        <w:t xml:space="preserve"> difference</w:t>
      </w:r>
      <w:r w:rsidR="00DD213C">
        <w:rPr>
          <w:rFonts w:ascii="Calibri" w:hAnsi="Calibri" w:cs="Times New Roman"/>
        </w:rPr>
        <w:t xml:space="preserve"> in</w:t>
      </w:r>
      <w:r w:rsidR="001A1CC2">
        <w:rPr>
          <w:rFonts w:ascii="Calibri" w:hAnsi="Calibri" w:cs="Times New Roman"/>
        </w:rPr>
        <w:t xml:space="preserve"> </w:t>
      </w:r>
      <w:r w:rsidR="00DD213C">
        <w:rPr>
          <w:rFonts w:ascii="Calibri" w:hAnsi="Calibri" w:cs="Times New Roman"/>
        </w:rPr>
        <w:t xml:space="preserve">holding political leaders accountable </w:t>
      </w:r>
      <w:r w:rsidR="00787009">
        <w:rPr>
          <w:rFonts w:ascii="Calibri" w:hAnsi="Calibri" w:cs="Times New Roman"/>
        </w:rPr>
        <w:t>to</w:t>
      </w:r>
      <w:r w:rsidR="00DD213C">
        <w:rPr>
          <w:rFonts w:ascii="Calibri" w:hAnsi="Calibri" w:cs="Times New Roman"/>
        </w:rPr>
        <w:t xml:space="preserve"> </w:t>
      </w:r>
      <w:r w:rsidR="00787009">
        <w:rPr>
          <w:rFonts w:ascii="Calibri" w:hAnsi="Calibri" w:cs="Times New Roman"/>
        </w:rPr>
        <w:t>put NAPs into action, and to monitor</w:t>
      </w:r>
      <w:r w:rsidR="00DD213C">
        <w:rPr>
          <w:rFonts w:ascii="Calibri" w:hAnsi="Calibri" w:cs="Times New Roman"/>
        </w:rPr>
        <w:t xml:space="preserve"> and evaluat</w:t>
      </w:r>
      <w:r w:rsidR="00787009">
        <w:rPr>
          <w:rFonts w:ascii="Calibri" w:hAnsi="Calibri" w:cs="Times New Roman"/>
        </w:rPr>
        <w:t>e them</w:t>
      </w:r>
      <w:r w:rsidR="00DD213C">
        <w:rPr>
          <w:rFonts w:ascii="Calibri" w:hAnsi="Calibri" w:cs="Times New Roman"/>
        </w:rPr>
        <w:t>. The level</w:t>
      </w:r>
      <w:r w:rsidR="003B6A14">
        <w:rPr>
          <w:rFonts w:ascii="Calibri" w:hAnsi="Calibri" w:cs="Times New Roman"/>
        </w:rPr>
        <w:t>s</w:t>
      </w:r>
      <w:r w:rsidR="00DD213C">
        <w:rPr>
          <w:rFonts w:ascii="Calibri" w:hAnsi="Calibri" w:cs="Times New Roman"/>
        </w:rPr>
        <w:t xml:space="preserve"> of government</w:t>
      </w:r>
      <w:r w:rsidR="00787009">
        <w:rPr>
          <w:rFonts w:ascii="Calibri" w:hAnsi="Calibri" w:cs="Times New Roman"/>
        </w:rPr>
        <w:t xml:space="preserve"> buy-in</w:t>
      </w:r>
      <w:r w:rsidR="003B6A14">
        <w:rPr>
          <w:rFonts w:ascii="Calibri" w:hAnsi="Calibri" w:cs="Times New Roman"/>
        </w:rPr>
        <w:t xml:space="preserve"> and civil society engagement are</w:t>
      </w:r>
      <w:r w:rsidR="00787009">
        <w:rPr>
          <w:rFonts w:ascii="Calibri" w:hAnsi="Calibri" w:cs="Times New Roman"/>
        </w:rPr>
        <w:t xml:space="preserve"> affected by</w:t>
      </w:r>
      <w:r w:rsidR="009559AD">
        <w:rPr>
          <w:rFonts w:ascii="Calibri" w:hAnsi="Calibri" w:cs="Times New Roman"/>
        </w:rPr>
        <w:t>:</w:t>
      </w:r>
      <w:r w:rsidR="00DD213C">
        <w:rPr>
          <w:rFonts w:ascii="Calibri" w:hAnsi="Calibri" w:cs="Times New Roman"/>
        </w:rPr>
        <w:t xml:space="preserve"> the immediacy of conflict in </w:t>
      </w:r>
      <w:r w:rsidR="00787009">
        <w:rPr>
          <w:rFonts w:ascii="Calibri" w:hAnsi="Calibri" w:cs="Times New Roman"/>
        </w:rPr>
        <w:t>a</w:t>
      </w:r>
      <w:r w:rsidR="00DD213C">
        <w:rPr>
          <w:rFonts w:ascii="Calibri" w:hAnsi="Calibri" w:cs="Times New Roman"/>
        </w:rPr>
        <w:t xml:space="preserve"> country</w:t>
      </w:r>
      <w:r w:rsidR="009559AD">
        <w:rPr>
          <w:rFonts w:ascii="Calibri" w:hAnsi="Calibri" w:cs="Times New Roman"/>
        </w:rPr>
        <w:t>;</w:t>
      </w:r>
      <w:r w:rsidR="00DD213C">
        <w:rPr>
          <w:rFonts w:ascii="Calibri" w:hAnsi="Calibri" w:cs="Times New Roman"/>
        </w:rPr>
        <w:t xml:space="preserve"> </w:t>
      </w:r>
      <w:r w:rsidR="009559AD">
        <w:rPr>
          <w:rFonts w:ascii="Calibri" w:hAnsi="Calibri" w:cs="Times New Roman"/>
        </w:rPr>
        <w:t>post-conflict</w:t>
      </w:r>
      <w:r w:rsidR="00DD213C">
        <w:rPr>
          <w:rFonts w:ascii="Calibri" w:hAnsi="Calibri" w:cs="Times New Roman"/>
        </w:rPr>
        <w:t xml:space="preserve"> political inst</w:t>
      </w:r>
      <w:r w:rsidR="00787009">
        <w:rPr>
          <w:rFonts w:ascii="Calibri" w:hAnsi="Calibri" w:cs="Times New Roman"/>
        </w:rPr>
        <w:t>ability an</w:t>
      </w:r>
      <w:r w:rsidR="009559AD">
        <w:rPr>
          <w:rFonts w:ascii="Calibri" w:hAnsi="Calibri" w:cs="Times New Roman"/>
        </w:rPr>
        <w:t>d leadership vacuums;</w:t>
      </w:r>
      <w:r w:rsidR="00787009">
        <w:rPr>
          <w:rFonts w:ascii="Calibri" w:hAnsi="Calibri" w:cs="Times New Roman"/>
        </w:rPr>
        <w:t xml:space="preserve"> and </w:t>
      </w:r>
      <w:r w:rsidR="00DD213C">
        <w:rPr>
          <w:rFonts w:ascii="Calibri" w:hAnsi="Calibri" w:cs="Times New Roman"/>
        </w:rPr>
        <w:t xml:space="preserve">the </w:t>
      </w:r>
      <w:r w:rsidR="003B6A14">
        <w:rPr>
          <w:rFonts w:ascii="Calibri" w:hAnsi="Calibri" w:cs="Times New Roman"/>
        </w:rPr>
        <w:t>coordination by</w:t>
      </w:r>
      <w:r w:rsidR="00DD213C">
        <w:rPr>
          <w:rFonts w:ascii="Calibri" w:hAnsi="Calibri" w:cs="Times New Roman"/>
        </w:rPr>
        <w:t xml:space="preserve"> </w:t>
      </w:r>
      <w:r w:rsidR="009559AD">
        <w:rPr>
          <w:rFonts w:ascii="Calibri" w:hAnsi="Calibri" w:cs="Times New Roman"/>
        </w:rPr>
        <w:t xml:space="preserve">the UN, </w:t>
      </w:r>
      <w:r w:rsidR="00DD213C">
        <w:rPr>
          <w:rFonts w:ascii="Calibri" w:hAnsi="Calibri" w:cs="Times New Roman"/>
        </w:rPr>
        <w:t>development agencies, and civil society actors in supplementing government actions on</w:t>
      </w:r>
      <w:r w:rsidR="009559AD">
        <w:rPr>
          <w:rFonts w:ascii="Calibri" w:hAnsi="Calibri" w:cs="Times New Roman"/>
        </w:rPr>
        <w:t xml:space="preserve"> WPS</w:t>
      </w:r>
      <w:r w:rsidR="00787009">
        <w:rPr>
          <w:rFonts w:ascii="Calibri" w:hAnsi="Calibri" w:cs="Times New Roman"/>
        </w:rPr>
        <w:t xml:space="preserve">. </w:t>
      </w:r>
    </w:p>
    <w:p w14:paraId="696941E4" w14:textId="77777777" w:rsidR="003B6A14" w:rsidRDefault="003B6A14" w:rsidP="00DE7410">
      <w:pPr>
        <w:spacing w:line="360" w:lineRule="auto"/>
        <w:jc w:val="both"/>
        <w:rPr>
          <w:rFonts w:ascii="Calibri" w:hAnsi="Calibri" w:cs="Times New Roman"/>
        </w:rPr>
      </w:pPr>
    </w:p>
    <w:p w14:paraId="4BD9639F" w14:textId="52648349" w:rsidR="00434E8E" w:rsidRDefault="007F7974" w:rsidP="00DE7410">
      <w:pPr>
        <w:spacing w:line="360" w:lineRule="auto"/>
        <w:jc w:val="both"/>
        <w:rPr>
          <w:rFonts w:ascii="Calibri" w:hAnsi="Calibri" w:cs="Times New Roman"/>
        </w:rPr>
      </w:pPr>
      <w:r>
        <w:rPr>
          <w:rFonts w:ascii="Calibri" w:hAnsi="Calibri" w:cs="Times New Roman"/>
        </w:rPr>
        <w:t>The</w:t>
      </w:r>
      <w:r w:rsidR="00787009">
        <w:rPr>
          <w:rFonts w:ascii="Calibri" w:hAnsi="Calibri" w:cs="Times New Roman"/>
        </w:rPr>
        <w:t xml:space="preserve"> relatively successful N</w:t>
      </w:r>
      <w:r w:rsidR="003B6A14">
        <w:rPr>
          <w:rFonts w:ascii="Calibri" w:hAnsi="Calibri" w:cs="Times New Roman"/>
        </w:rPr>
        <w:t>APs</w:t>
      </w:r>
      <w:r w:rsidR="005C68CA" w:rsidRPr="00AA6A15">
        <w:rPr>
          <w:rFonts w:ascii="Calibri" w:hAnsi="Calibri" w:cs="Times New Roman"/>
        </w:rPr>
        <w:t xml:space="preserve">, </w:t>
      </w:r>
      <w:r w:rsidR="00787009">
        <w:rPr>
          <w:rFonts w:ascii="Calibri" w:hAnsi="Calibri" w:cs="Times New Roman"/>
        </w:rPr>
        <w:t xml:space="preserve">like </w:t>
      </w:r>
      <w:r w:rsidR="009559AD">
        <w:rPr>
          <w:rFonts w:ascii="Calibri" w:hAnsi="Calibri" w:cs="Times New Roman"/>
        </w:rPr>
        <w:t xml:space="preserve">those of </w:t>
      </w:r>
      <w:r w:rsidR="00787009">
        <w:rPr>
          <w:rFonts w:ascii="Calibri" w:hAnsi="Calibri" w:cs="Times New Roman"/>
        </w:rPr>
        <w:t>Nepal</w:t>
      </w:r>
      <w:r w:rsidR="003B6A14">
        <w:rPr>
          <w:rFonts w:ascii="Calibri" w:hAnsi="Calibri" w:cs="Times New Roman"/>
        </w:rPr>
        <w:t xml:space="preserve"> and Chile,</w:t>
      </w:r>
      <w:r w:rsidR="005C68CA" w:rsidRPr="00AA6A15">
        <w:rPr>
          <w:rFonts w:ascii="Calibri" w:hAnsi="Calibri" w:cs="Times New Roman"/>
        </w:rPr>
        <w:t xml:space="preserve"> </w:t>
      </w:r>
      <w:r w:rsidR="003B6A14">
        <w:rPr>
          <w:rFonts w:ascii="Calibri" w:hAnsi="Calibri" w:cs="Times New Roman"/>
        </w:rPr>
        <w:t>are</w:t>
      </w:r>
      <w:r w:rsidR="005C68CA" w:rsidRPr="00AA6A15">
        <w:rPr>
          <w:rFonts w:ascii="Calibri" w:hAnsi="Calibri" w:cs="Times New Roman"/>
        </w:rPr>
        <w:t xml:space="preserve"> designed to work closely with development agencies and civil society at local and national level</w:t>
      </w:r>
      <w:r>
        <w:rPr>
          <w:rFonts w:ascii="Calibri" w:hAnsi="Calibri" w:cs="Times New Roman"/>
        </w:rPr>
        <w:t>s</w:t>
      </w:r>
      <w:r w:rsidR="005C68CA" w:rsidRPr="00AA6A15">
        <w:rPr>
          <w:rFonts w:ascii="Calibri" w:hAnsi="Calibri" w:cs="Times New Roman"/>
        </w:rPr>
        <w:t xml:space="preserve">, </w:t>
      </w:r>
      <w:r>
        <w:rPr>
          <w:rFonts w:ascii="Calibri" w:hAnsi="Calibri" w:cs="Times New Roman"/>
        </w:rPr>
        <w:t>and</w:t>
      </w:r>
      <w:r w:rsidR="005C68CA" w:rsidRPr="00AA6A15">
        <w:rPr>
          <w:rFonts w:ascii="Calibri" w:hAnsi="Calibri" w:cs="Times New Roman"/>
        </w:rPr>
        <w:t xml:space="preserve"> across government. </w:t>
      </w:r>
      <w:r w:rsidR="00787009">
        <w:rPr>
          <w:rFonts w:ascii="Calibri" w:hAnsi="Calibri" w:cs="Times New Roman"/>
        </w:rPr>
        <w:t>C</w:t>
      </w:r>
      <w:r w:rsidR="00787009" w:rsidRPr="00AA6A15">
        <w:rPr>
          <w:rFonts w:ascii="Calibri" w:hAnsi="Calibri" w:cs="Times New Roman"/>
        </w:rPr>
        <w:t>onsultation appear</w:t>
      </w:r>
      <w:r w:rsidR="00787009">
        <w:rPr>
          <w:rFonts w:ascii="Calibri" w:hAnsi="Calibri" w:cs="Times New Roman"/>
        </w:rPr>
        <w:t>s</w:t>
      </w:r>
      <w:r w:rsidR="00787009" w:rsidRPr="00AA6A15">
        <w:rPr>
          <w:rFonts w:ascii="Calibri" w:hAnsi="Calibri" w:cs="Times New Roman"/>
        </w:rPr>
        <w:t xml:space="preserve"> to </w:t>
      </w:r>
      <w:r w:rsidR="00787009">
        <w:rPr>
          <w:rFonts w:ascii="Calibri" w:hAnsi="Calibri" w:cs="Times New Roman"/>
        </w:rPr>
        <w:t>best secure government buy-in</w:t>
      </w:r>
      <w:r w:rsidR="00787009" w:rsidRPr="00AA6A15">
        <w:rPr>
          <w:rFonts w:ascii="Calibri" w:hAnsi="Calibri" w:cs="Times New Roman"/>
        </w:rPr>
        <w:t xml:space="preserve"> where, as in Myanmar</w:t>
      </w:r>
      <w:r w:rsidR="00787009">
        <w:rPr>
          <w:rFonts w:ascii="Calibri" w:hAnsi="Calibri" w:cs="Times New Roman"/>
        </w:rPr>
        <w:t xml:space="preserve"> and Nepal</w:t>
      </w:r>
      <w:r w:rsidR="00787009" w:rsidRPr="00AA6A15">
        <w:rPr>
          <w:rFonts w:ascii="Calibri" w:hAnsi="Calibri" w:cs="Times New Roman"/>
        </w:rPr>
        <w:t xml:space="preserve">, </w:t>
      </w:r>
      <w:r w:rsidR="00787009">
        <w:rPr>
          <w:rFonts w:ascii="Calibri" w:hAnsi="Calibri" w:cs="Times New Roman"/>
        </w:rPr>
        <w:t>it is</w:t>
      </w:r>
      <w:r w:rsidR="00787009" w:rsidRPr="00AA6A15">
        <w:rPr>
          <w:rFonts w:ascii="Calibri" w:hAnsi="Calibri" w:cs="Times New Roman"/>
        </w:rPr>
        <w:t xml:space="preserve"> </w:t>
      </w:r>
      <w:r w:rsidR="00E37292">
        <w:rPr>
          <w:rFonts w:ascii="Calibri" w:hAnsi="Calibri" w:cs="Times New Roman"/>
        </w:rPr>
        <w:t>initiated at the beginning of the NA</w:t>
      </w:r>
      <w:r w:rsidR="009559AD">
        <w:rPr>
          <w:rFonts w:ascii="Calibri" w:hAnsi="Calibri" w:cs="Times New Roman"/>
        </w:rPr>
        <w:t>P</w:t>
      </w:r>
      <w:r w:rsidR="00E37292">
        <w:rPr>
          <w:rFonts w:ascii="Calibri" w:hAnsi="Calibri" w:cs="Times New Roman"/>
        </w:rPr>
        <w:t xml:space="preserve"> process to involve </w:t>
      </w:r>
      <w:r w:rsidR="00787009">
        <w:rPr>
          <w:rFonts w:ascii="Calibri" w:hAnsi="Calibri" w:cs="Times New Roman"/>
        </w:rPr>
        <w:t>all relevant stakeholders</w:t>
      </w:r>
      <w:r w:rsidR="003B6A14">
        <w:rPr>
          <w:rFonts w:ascii="Calibri" w:hAnsi="Calibri" w:cs="Times New Roman"/>
        </w:rPr>
        <w:t>, including women’s ministries</w:t>
      </w:r>
      <w:r w:rsidR="00EF78C7">
        <w:rPr>
          <w:rFonts w:ascii="Calibri" w:hAnsi="Calibri" w:cs="Times New Roman"/>
        </w:rPr>
        <w:t>,</w:t>
      </w:r>
      <w:r w:rsidR="003B6A14">
        <w:rPr>
          <w:rFonts w:ascii="Calibri" w:hAnsi="Calibri" w:cs="Times New Roman"/>
        </w:rPr>
        <w:t xml:space="preserve"> national women’s machineries</w:t>
      </w:r>
      <w:r w:rsidR="00EF78C7">
        <w:rPr>
          <w:rFonts w:ascii="Calibri" w:hAnsi="Calibri" w:cs="Times New Roman"/>
        </w:rPr>
        <w:t xml:space="preserve"> and women’s</w:t>
      </w:r>
      <w:r w:rsidR="009559AD">
        <w:rPr>
          <w:rFonts w:ascii="Calibri" w:hAnsi="Calibri" w:cs="Times New Roman"/>
        </w:rPr>
        <w:t xml:space="preserve"> and girls’</w:t>
      </w:r>
      <w:r w:rsidR="00EF78C7">
        <w:rPr>
          <w:rFonts w:ascii="Calibri" w:hAnsi="Calibri" w:cs="Times New Roman"/>
        </w:rPr>
        <w:t xml:space="preserve"> organizations</w:t>
      </w:r>
      <w:r w:rsidR="00787009">
        <w:rPr>
          <w:rFonts w:ascii="Calibri" w:hAnsi="Calibri" w:cs="Times New Roman"/>
        </w:rPr>
        <w:t xml:space="preserve">. </w:t>
      </w:r>
      <w:r w:rsidR="00EF78C7">
        <w:rPr>
          <w:rFonts w:ascii="Calibri" w:hAnsi="Calibri" w:cs="Times New Roman"/>
        </w:rPr>
        <w:t xml:space="preserve">In </w:t>
      </w:r>
      <w:r w:rsidR="005C68CA" w:rsidRPr="00AA6A15">
        <w:rPr>
          <w:rFonts w:ascii="Calibri" w:hAnsi="Calibri" w:cs="Times New Roman"/>
        </w:rPr>
        <w:t>Bosnia and Herzegovina</w:t>
      </w:r>
      <w:r w:rsidR="009559AD">
        <w:rPr>
          <w:rFonts w:ascii="Calibri" w:hAnsi="Calibri" w:cs="Times New Roman"/>
        </w:rPr>
        <w:t xml:space="preserve"> (BiH)</w:t>
      </w:r>
      <w:r w:rsidR="005C68CA" w:rsidRPr="00AA6A15">
        <w:rPr>
          <w:rFonts w:ascii="Calibri" w:hAnsi="Calibri" w:cs="Times New Roman"/>
        </w:rPr>
        <w:t xml:space="preserve"> the </w:t>
      </w:r>
      <w:r>
        <w:rPr>
          <w:rFonts w:ascii="Calibri" w:hAnsi="Calibri" w:cs="Times New Roman"/>
        </w:rPr>
        <w:t xml:space="preserve">federal structure of the government </w:t>
      </w:r>
      <w:r w:rsidR="005C68CA" w:rsidRPr="00AA6A15">
        <w:rPr>
          <w:rFonts w:ascii="Calibri" w:hAnsi="Calibri" w:cs="Times New Roman"/>
        </w:rPr>
        <w:t xml:space="preserve">coupled with official denial </w:t>
      </w:r>
      <w:r w:rsidR="00787009">
        <w:rPr>
          <w:rFonts w:ascii="Calibri" w:hAnsi="Calibri" w:cs="Times New Roman"/>
        </w:rPr>
        <w:t>by the</w:t>
      </w:r>
      <w:r w:rsidR="005C68CA" w:rsidRPr="00AA6A15">
        <w:rPr>
          <w:rFonts w:ascii="Calibri" w:hAnsi="Calibri" w:cs="Times New Roman"/>
        </w:rPr>
        <w:t xml:space="preserve"> regional government </w:t>
      </w:r>
      <w:r w:rsidR="00EF78C7">
        <w:rPr>
          <w:rFonts w:ascii="Calibri" w:hAnsi="Calibri" w:cs="Times New Roman"/>
        </w:rPr>
        <w:t>hampered</w:t>
      </w:r>
      <w:r w:rsidR="005C68CA" w:rsidRPr="00AA6A15">
        <w:rPr>
          <w:rFonts w:ascii="Calibri" w:hAnsi="Calibri" w:cs="Times New Roman"/>
        </w:rPr>
        <w:t xml:space="preserve"> implementation</w:t>
      </w:r>
      <w:r w:rsidR="00EF78C7">
        <w:rPr>
          <w:rFonts w:ascii="Calibri" w:hAnsi="Calibri" w:cs="Times New Roman"/>
        </w:rPr>
        <w:t xml:space="preserve"> of the first NAP. The second NAP</w:t>
      </w:r>
      <w:r w:rsidR="009559AD">
        <w:rPr>
          <w:rFonts w:ascii="Calibri" w:hAnsi="Calibri" w:cs="Times New Roman"/>
        </w:rPr>
        <w:t xml:space="preserve"> of BiH</w:t>
      </w:r>
      <w:r w:rsidR="00EF78C7">
        <w:rPr>
          <w:rFonts w:ascii="Calibri" w:hAnsi="Calibri" w:cs="Times New Roman"/>
        </w:rPr>
        <w:t xml:space="preserve"> shows promise by incorporating lessons learned from the CEDAW Committee and the country’s obligations under the legal framework</w:t>
      </w:r>
      <w:r w:rsidR="005C68CA" w:rsidRPr="00AA6A15">
        <w:rPr>
          <w:rFonts w:ascii="Calibri" w:hAnsi="Calibri" w:cs="Times New Roman"/>
        </w:rPr>
        <w:t>.</w:t>
      </w:r>
      <w:r w:rsidR="00E37292">
        <w:rPr>
          <w:rFonts w:ascii="Calibri" w:hAnsi="Calibri" w:cs="Times New Roman"/>
        </w:rPr>
        <w:t xml:space="preserve"> </w:t>
      </w:r>
      <w:r>
        <w:rPr>
          <w:rFonts w:ascii="Calibri" w:hAnsi="Calibri" w:cs="Times New Roman"/>
        </w:rPr>
        <w:t>In I</w:t>
      </w:r>
      <w:r w:rsidR="005C68CA" w:rsidRPr="00AA6A15">
        <w:rPr>
          <w:rFonts w:ascii="Calibri" w:hAnsi="Calibri" w:cs="Times New Roman"/>
        </w:rPr>
        <w:t xml:space="preserve">raq, </w:t>
      </w:r>
      <w:r w:rsidR="00787009">
        <w:rPr>
          <w:rFonts w:ascii="Calibri" w:hAnsi="Calibri" w:cs="Times New Roman"/>
        </w:rPr>
        <w:t xml:space="preserve">efforts to enforce the newly adopted NAP </w:t>
      </w:r>
      <w:r w:rsidR="00EF78C7">
        <w:rPr>
          <w:rFonts w:ascii="Calibri" w:hAnsi="Calibri" w:cs="Times New Roman"/>
        </w:rPr>
        <w:t>must be understood</w:t>
      </w:r>
      <w:r w:rsidR="003B6A14">
        <w:rPr>
          <w:rFonts w:ascii="Calibri" w:hAnsi="Calibri" w:cs="Times New Roman"/>
        </w:rPr>
        <w:t xml:space="preserve"> against a backdrop of renewed</w:t>
      </w:r>
      <w:r w:rsidR="00787009">
        <w:rPr>
          <w:rFonts w:ascii="Calibri" w:hAnsi="Calibri" w:cs="Times New Roman"/>
        </w:rPr>
        <w:t xml:space="preserve"> conflict </w:t>
      </w:r>
      <w:r w:rsidR="00EF78C7">
        <w:rPr>
          <w:rFonts w:ascii="Calibri" w:hAnsi="Calibri" w:cs="Times New Roman"/>
        </w:rPr>
        <w:t>from</w:t>
      </w:r>
      <w:r w:rsidR="00787009">
        <w:rPr>
          <w:rFonts w:ascii="Calibri" w:hAnsi="Calibri" w:cs="Times New Roman"/>
        </w:rPr>
        <w:t xml:space="preserve"> </w:t>
      </w:r>
      <w:r w:rsidR="005C68CA" w:rsidRPr="00AA6A15">
        <w:rPr>
          <w:rFonts w:ascii="Calibri" w:hAnsi="Calibri" w:cs="Times New Roman"/>
        </w:rPr>
        <w:t>the recent military campaign by</w:t>
      </w:r>
      <w:r w:rsidR="00787009">
        <w:rPr>
          <w:rFonts w:ascii="Calibri" w:hAnsi="Calibri" w:cs="Times New Roman"/>
        </w:rPr>
        <w:t xml:space="preserve"> the Islamic State of </w:t>
      </w:r>
      <w:r w:rsidR="00B705DF">
        <w:rPr>
          <w:rFonts w:ascii="Calibri" w:hAnsi="Calibri" w:cs="Times New Roman"/>
        </w:rPr>
        <w:t>Iraq</w:t>
      </w:r>
      <w:r w:rsidR="00787009">
        <w:rPr>
          <w:rFonts w:ascii="Calibri" w:hAnsi="Calibri" w:cs="Times New Roman"/>
        </w:rPr>
        <w:t xml:space="preserve"> and Levant (ISIL)</w:t>
      </w:r>
      <w:r w:rsidR="005C68CA" w:rsidRPr="00AA6A15">
        <w:rPr>
          <w:rFonts w:ascii="Calibri" w:hAnsi="Calibri" w:cs="Times New Roman"/>
        </w:rPr>
        <w:t>.</w:t>
      </w:r>
      <w:r w:rsidR="00787009">
        <w:rPr>
          <w:rFonts w:ascii="Calibri" w:hAnsi="Calibri" w:cs="Times New Roman"/>
        </w:rPr>
        <w:t xml:space="preserve"> The DRC retains the title of </w:t>
      </w:r>
      <w:r w:rsidR="003B6A14">
        <w:rPr>
          <w:rFonts w:ascii="Calibri" w:hAnsi="Calibri" w:cs="Times New Roman"/>
        </w:rPr>
        <w:t>the wor</w:t>
      </w:r>
      <w:r w:rsidR="00517287">
        <w:rPr>
          <w:rFonts w:ascii="Calibri" w:hAnsi="Calibri" w:cs="Times New Roman"/>
        </w:rPr>
        <w:t>l</w:t>
      </w:r>
      <w:r w:rsidR="003B6A14">
        <w:rPr>
          <w:rFonts w:ascii="Calibri" w:hAnsi="Calibri" w:cs="Times New Roman"/>
        </w:rPr>
        <w:t xml:space="preserve">d’s </w:t>
      </w:r>
      <w:r w:rsidR="00641480">
        <w:rPr>
          <w:rFonts w:ascii="Calibri" w:hAnsi="Calibri" w:cs="Times New Roman"/>
        </w:rPr>
        <w:t>‘</w:t>
      </w:r>
      <w:r w:rsidR="00787009">
        <w:rPr>
          <w:rFonts w:ascii="Calibri" w:hAnsi="Calibri" w:cs="Times New Roman"/>
        </w:rPr>
        <w:t>rape capital</w:t>
      </w:r>
      <w:r w:rsidR="00641480">
        <w:rPr>
          <w:rFonts w:ascii="Calibri" w:hAnsi="Calibri" w:cs="Times New Roman"/>
        </w:rPr>
        <w:t>’</w:t>
      </w:r>
      <w:r w:rsidR="00A85B67">
        <w:rPr>
          <w:rFonts w:ascii="Calibri" w:hAnsi="Calibri" w:cs="Times New Roman"/>
        </w:rPr>
        <w:t xml:space="preserve"> </w:t>
      </w:r>
      <w:r w:rsidR="00641480">
        <w:rPr>
          <w:rFonts w:ascii="Calibri" w:hAnsi="Calibri" w:cs="Times New Roman"/>
        </w:rPr>
        <w:t xml:space="preserve">and the government’s inadequate </w:t>
      </w:r>
      <w:r w:rsidR="00A85B67">
        <w:rPr>
          <w:rFonts w:ascii="Calibri" w:hAnsi="Calibri" w:cs="Times New Roman"/>
        </w:rPr>
        <w:t>implementation of its</w:t>
      </w:r>
      <w:r w:rsidR="009559AD">
        <w:rPr>
          <w:rFonts w:ascii="Calibri" w:hAnsi="Calibri" w:cs="Times New Roman"/>
        </w:rPr>
        <w:t xml:space="preserve"> NAP </w:t>
      </w:r>
      <w:r w:rsidR="00A85B67">
        <w:rPr>
          <w:rFonts w:ascii="Calibri" w:hAnsi="Calibri" w:cs="Times New Roman"/>
        </w:rPr>
        <w:t>indicates</w:t>
      </w:r>
      <w:r w:rsidR="009559AD">
        <w:rPr>
          <w:rFonts w:ascii="Calibri" w:hAnsi="Calibri" w:cs="Times New Roman"/>
        </w:rPr>
        <w:t xml:space="preserve"> </w:t>
      </w:r>
      <w:r w:rsidR="00E37292">
        <w:rPr>
          <w:rFonts w:ascii="Calibri" w:hAnsi="Calibri" w:cs="Times New Roman"/>
        </w:rPr>
        <w:t>a lack of</w:t>
      </w:r>
      <w:r w:rsidR="00641480">
        <w:rPr>
          <w:rFonts w:ascii="Calibri" w:hAnsi="Calibri" w:cs="Times New Roman"/>
        </w:rPr>
        <w:t xml:space="preserve"> political will</w:t>
      </w:r>
      <w:r w:rsidR="00D75A79">
        <w:rPr>
          <w:rFonts w:ascii="Calibri" w:hAnsi="Calibri" w:cs="Times New Roman"/>
        </w:rPr>
        <w:t xml:space="preserve">. </w:t>
      </w:r>
    </w:p>
    <w:p w14:paraId="0F76ECCD" w14:textId="60672CE4" w:rsidR="00517287" w:rsidRDefault="00517287">
      <w:pPr>
        <w:rPr>
          <w:rFonts w:ascii="Calibri" w:hAnsi="Calibri" w:cs="Times New Roman"/>
        </w:rPr>
      </w:pPr>
      <w:r>
        <w:rPr>
          <w:rFonts w:ascii="Calibri" w:hAnsi="Calibri" w:cs="Times New Roman"/>
        </w:rPr>
        <w:br w:type="page"/>
      </w:r>
    </w:p>
    <w:p w14:paraId="541DE045" w14:textId="77777777" w:rsidR="00434E8E" w:rsidRPr="00C8102E" w:rsidRDefault="00434E8E" w:rsidP="00C8102E">
      <w:pPr>
        <w:jc w:val="both"/>
        <w:rPr>
          <w:rFonts w:ascii="Calibri" w:hAnsi="Calibri" w:cs="Times New Roman"/>
        </w:rPr>
      </w:pPr>
    </w:p>
    <w:p w14:paraId="1B35B4B7" w14:textId="6F70E33E" w:rsidR="00F73B33" w:rsidRPr="003330F3" w:rsidRDefault="00F73B33" w:rsidP="00F73B33">
      <w:pPr>
        <w:pStyle w:val="Heading3"/>
        <w:keepLines/>
        <w:spacing w:before="20" w:after="0"/>
        <w:jc w:val="center"/>
        <w:rPr>
          <w:b w:val="0"/>
          <w:color w:val="1F497D" w:themeColor="text2"/>
          <w:spacing w:val="14"/>
          <w:sz w:val="32"/>
          <w:szCs w:val="32"/>
          <w:u w:val="single"/>
          <w:lang w:val="en-GB"/>
        </w:rPr>
      </w:pPr>
      <w:bookmarkStart w:id="9" w:name="_Toc416867087"/>
      <w:r>
        <w:rPr>
          <w:b w:val="0"/>
          <w:color w:val="1F497D" w:themeColor="text2"/>
          <w:spacing w:val="14"/>
          <w:sz w:val="32"/>
          <w:szCs w:val="32"/>
          <w:u w:val="single"/>
          <w:lang w:val="en-GB"/>
        </w:rPr>
        <w:t>AFRICA</w:t>
      </w:r>
      <w:bookmarkEnd w:id="9"/>
    </w:p>
    <w:p w14:paraId="76629FAD" w14:textId="77777777" w:rsidR="00F73B33" w:rsidRDefault="00F73B33" w:rsidP="00F73B33">
      <w:pPr>
        <w:jc w:val="both"/>
        <w:rPr>
          <w:rFonts w:ascii="Calibri" w:hAnsi="Calibri"/>
          <w:b/>
        </w:rPr>
      </w:pPr>
    </w:p>
    <w:p w14:paraId="4094AFD3" w14:textId="401A963B" w:rsidR="00F73B33" w:rsidRPr="000E78A5" w:rsidRDefault="00F73B33" w:rsidP="00F73B33">
      <w:pPr>
        <w:pStyle w:val="Heading3"/>
        <w:keepLines/>
        <w:spacing w:before="20" w:after="0"/>
        <w:jc w:val="center"/>
        <w:rPr>
          <w:b w:val="0"/>
          <w:color w:val="1F497D" w:themeColor="text2"/>
          <w:spacing w:val="14"/>
          <w:sz w:val="32"/>
          <w:szCs w:val="32"/>
          <w:lang w:val="en-GB"/>
        </w:rPr>
      </w:pPr>
      <w:bookmarkStart w:id="10" w:name="_Toc416867088"/>
      <w:r>
        <w:rPr>
          <w:b w:val="0"/>
          <w:color w:val="1F497D" w:themeColor="text2"/>
          <w:spacing w:val="14"/>
          <w:sz w:val="32"/>
          <w:szCs w:val="32"/>
          <w:lang w:val="en-GB"/>
        </w:rPr>
        <w:t>THE DEMOCRATIC REPUBLIC OF THE CONGO (DRC) – A NEED TO ADDRESS CONFLICT-RELATED SEXUAL AND GENDER-BASED VIOLENCE</w:t>
      </w:r>
      <w:bookmarkEnd w:id="10"/>
      <w:r>
        <w:rPr>
          <w:b w:val="0"/>
          <w:color w:val="1F497D" w:themeColor="text2"/>
          <w:spacing w:val="14"/>
          <w:sz w:val="32"/>
          <w:szCs w:val="32"/>
          <w:lang w:val="en-GB"/>
        </w:rPr>
        <w:t xml:space="preserve"> </w:t>
      </w:r>
    </w:p>
    <w:p w14:paraId="077F785A" w14:textId="77777777" w:rsidR="005C68CA" w:rsidRPr="0036684D" w:rsidRDefault="005C68CA" w:rsidP="005C68CA">
      <w:pPr>
        <w:pStyle w:val="ListParagraph"/>
        <w:ind w:left="0"/>
        <w:jc w:val="both"/>
        <w:rPr>
          <w:rFonts w:asciiTheme="majorHAnsi" w:hAnsiTheme="majorHAnsi" w:cs="Times New Roman"/>
          <w:b/>
          <w:u w:val="single"/>
        </w:rPr>
      </w:pPr>
    </w:p>
    <w:p w14:paraId="4D5FB814" w14:textId="4EC85816" w:rsidR="005C68CA" w:rsidRPr="001222F4" w:rsidRDefault="003B6A14" w:rsidP="007F364C">
      <w:pPr>
        <w:pStyle w:val="ListParagraph"/>
        <w:widowControl w:val="0"/>
        <w:numPr>
          <w:ilvl w:val="0"/>
          <w:numId w:val="15"/>
        </w:numPr>
        <w:autoSpaceDE w:val="0"/>
        <w:autoSpaceDN w:val="0"/>
        <w:adjustRightInd w:val="0"/>
        <w:jc w:val="both"/>
        <w:rPr>
          <w:rFonts w:asciiTheme="majorHAnsi" w:hAnsiTheme="majorHAnsi" w:cs="Arial"/>
          <w:b/>
          <w:color w:val="1F497D" w:themeColor="text2"/>
          <w:lang w:val="en-US"/>
        </w:rPr>
      </w:pPr>
      <w:r w:rsidRPr="001222F4">
        <w:rPr>
          <w:rFonts w:asciiTheme="majorHAnsi" w:hAnsiTheme="majorHAnsi" w:cs="Arial"/>
          <w:b/>
          <w:color w:val="1F497D" w:themeColor="text2"/>
          <w:lang w:val="en-US"/>
        </w:rPr>
        <w:t>An</w:t>
      </w:r>
      <w:r w:rsidR="005C68CA" w:rsidRPr="001222F4">
        <w:rPr>
          <w:rFonts w:asciiTheme="majorHAnsi" w:hAnsiTheme="majorHAnsi" w:cs="Arial"/>
          <w:b/>
          <w:color w:val="1F497D" w:themeColor="text2"/>
          <w:lang w:val="en-US"/>
        </w:rPr>
        <w:t xml:space="preserve"> Overview of Conflict in </w:t>
      </w:r>
      <w:r w:rsidR="00DE3570" w:rsidRPr="001222F4">
        <w:rPr>
          <w:rFonts w:asciiTheme="majorHAnsi" w:hAnsiTheme="majorHAnsi" w:cs="Arial"/>
          <w:b/>
          <w:color w:val="1F497D" w:themeColor="text2"/>
          <w:lang w:val="en-US"/>
        </w:rPr>
        <w:t xml:space="preserve">the </w:t>
      </w:r>
      <w:r w:rsidR="00F55EA8" w:rsidRPr="001222F4">
        <w:rPr>
          <w:rFonts w:asciiTheme="majorHAnsi" w:hAnsiTheme="majorHAnsi" w:cs="Arial"/>
          <w:b/>
          <w:color w:val="1F497D" w:themeColor="text2"/>
          <w:lang w:val="en-US"/>
        </w:rPr>
        <w:t>Democratic Republic of the Congo (DRC)</w:t>
      </w:r>
    </w:p>
    <w:p w14:paraId="3C82E642" w14:textId="77777777" w:rsidR="007A60C9" w:rsidRPr="001222F4" w:rsidRDefault="007A60C9" w:rsidP="007A60C9">
      <w:pPr>
        <w:widowControl w:val="0"/>
        <w:autoSpaceDE w:val="0"/>
        <w:autoSpaceDN w:val="0"/>
        <w:adjustRightInd w:val="0"/>
        <w:ind w:left="360"/>
        <w:jc w:val="both"/>
        <w:rPr>
          <w:rFonts w:asciiTheme="majorHAnsi" w:hAnsiTheme="majorHAnsi" w:cs="Arial"/>
          <w:b/>
          <w:lang w:val="en-US"/>
        </w:rPr>
      </w:pPr>
    </w:p>
    <w:p w14:paraId="0C700461" w14:textId="1CB17E96" w:rsidR="005C68CA" w:rsidRPr="001222F4" w:rsidRDefault="005C68CA" w:rsidP="00B05609">
      <w:pPr>
        <w:widowControl w:val="0"/>
        <w:autoSpaceDE w:val="0"/>
        <w:autoSpaceDN w:val="0"/>
        <w:adjustRightInd w:val="0"/>
        <w:spacing w:line="360" w:lineRule="auto"/>
        <w:jc w:val="both"/>
        <w:rPr>
          <w:rFonts w:asciiTheme="majorHAnsi" w:hAnsiTheme="majorHAnsi" w:cs="Arial"/>
          <w:lang w:val="en-US"/>
        </w:rPr>
      </w:pPr>
      <w:r w:rsidRPr="001222F4">
        <w:rPr>
          <w:rFonts w:asciiTheme="majorHAnsi" w:hAnsiTheme="majorHAnsi" w:cs="Arial"/>
          <w:lang w:val="en-US"/>
        </w:rPr>
        <w:t xml:space="preserve">The situation for women </w:t>
      </w:r>
      <w:r w:rsidR="007F2A73" w:rsidRPr="001222F4">
        <w:rPr>
          <w:rFonts w:asciiTheme="majorHAnsi" w:hAnsiTheme="majorHAnsi" w:cs="Arial"/>
          <w:lang w:val="en-US"/>
        </w:rPr>
        <w:t xml:space="preserve">and girls </w:t>
      </w:r>
      <w:r w:rsidRPr="001222F4">
        <w:rPr>
          <w:rFonts w:asciiTheme="majorHAnsi" w:hAnsiTheme="majorHAnsi" w:cs="Arial"/>
          <w:lang w:val="en-US"/>
        </w:rPr>
        <w:t xml:space="preserve">in the eastern DRC </w:t>
      </w:r>
      <w:r w:rsidR="003B6A14" w:rsidRPr="001222F4">
        <w:rPr>
          <w:rFonts w:asciiTheme="majorHAnsi" w:hAnsiTheme="majorHAnsi" w:cs="Arial"/>
          <w:lang w:val="en-US"/>
        </w:rPr>
        <w:t>i</w:t>
      </w:r>
      <w:r w:rsidR="005062A7" w:rsidRPr="001222F4">
        <w:rPr>
          <w:rFonts w:asciiTheme="majorHAnsi" w:hAnsiTheme="majorHAnsi" w:cs="Arial"/>
          <w:lang w:val="en-US"/>
        </w:rPr>
        <w:t>s</w:t>
      </w:r>
      <w:r w:rsidRPr="001222F4">
        <w:rPr>
          <w:rFonts w:asciiTheme="majorHAnsi" w:hAnsiTheme="majorHAnsi" w:cs="Arial"/>
          <w:lang w:val="en-US"/>
        </w:rPr>
        <w:t xml:space="preserve"> dire following decades of conflict. </w:t>
      </w:r>
      <w:r w:rsidR="00EE2B6A" w:rsidRPr="001222F4">
        <w:rPr>
          <w:rFonts w:asciiTheme="majorHAnsi" w:hAnsiTheme="majorHAnsi" w:cs="Arial"/>
          <w:lang w:val="en-US"/>
        </w:rPr>
        <w:t xml:space="preserve">Instability remains and the eastern Congo is in a fragile state of being </w:t>
      </w:r>
      <w:r w:rsidR="00EE2B6A" w:rsidRPr="001222F4">
        <w:rPr>
          <w:rFonts w:asciiTheme="majorHAnsi" w:hAnsiTheme="majorHAnsi" w:cs="Arial"/>
          <w:b/>
          <w:color w:val="4F81BD" w:themeColor="accent1"/>
          <w:lang w:val="en-US"/>
        </w:rPr>
        <w:t>neither in conflict, nor at peace</w:t>
      </w:r>
      <w:r w:rsidR="00EE2B6A" w:rsidRPr="001222F4">
        <w:rPr>
          <w:rFonts w:asciiTheme="majorHAnsi" w:hAnsiTheme="majorHAnsi" w:cs="Arial"/>
          <w:lang w:val="en-US"/>
        </w:rPr>
        <w:t xml:space="preserve">. </w:t>
      </w:r>
      <w:r w:rsidR="00517287" w:rsidRPr="001222F4">
        <w:rPr>
          <w:rFonts w:asciiTheme="majorHAnsi" w:hAnsiTheme="majorHAnsi" w:cs="Arial"/>
          <w:lang w:val="en-US"/>
        </w:rPr>
        <w:t xml:space="preserve">Following </w:t>
      </w:r>
      <w:r w:rsidRPr="001222F4">
        <w:rPr>
          <w:rFonts w:asciiTheme="majorHAnsi" w:hAnsiTheme="majorHAnsi" w:cs="Arial"/>
          <w:lang w:val="en-US"/>
        </w:rPr>
        <w:t xml:space="preserve">the genocide in neighboring Rwanda, refugees and génocidaires fled to the </w:t>
      </w:r>
      <w:r w:rsidR="00EE2B6A" w:rsidRPr="001222F4">
        <w:rPr>
          <w:rFonts w:asciiTheme="majorHAnsi" w:hAnsiTheme="majorHAnsi" w:cs="Arial"/>
          <w:lang w:val="en-US"/>
        </w:rPr>
        <w:t>DRC</w:t>
      </w:r>
      <w:r w:rsidRPr="001222F4">
        <w:rPr>
          <w:rFonts w:asciiTheme="majorHAnsi" w:hAnsiTheme="majorHAnsi" w:cs="Arial"/>
          <w:lang w:val="en-US"/>
        </w:rPr>
        <w:t xml:space="preserve">. Rwanda and Uganda then invaded the DRC in July 1996 in pursuit of the perpetrators of the genocide. </w:t>
      </w:r>
      <w:r w:rsidRPr="001222F4">
        <w:rPr>
          <w:rFonts w:asciiTheme="majorHAnsi" w:hAnsiTheme="majorHAnsi" w:cs="Arial"/>
          <w:color w:val="000000" w:themeColor="text1"/>
          <w:lang w:val="en-US"/>
        </w:rPr>
        <w:t xml:space="preserve">After </w:t>
      </w:r>
      <w:r w:rsidR="00030718" w:rsidRPr="001222F4">
        <w:rPr>
          <w:rFonts w:asciiTheme="majorHAnsi" w:eastAsia="Times New Roman" w:hAnsiTheme="majorHAnsi" w:cs="Arial"/>
          <w:color w:val="000000" w:themeColor="text1"/>
          <w:shd w:val="clear" w:color="auto" w:fill="FFFFFF"/>
        </w:rPr>
        <w:t xml:space="preserve">Laurent-Désiré Kabila, former </w:t>
      </w:r>
      <w:r w:rsidRPr="001222F4">
        <w:rPr>
          <w:rFonts w:asciiTheme="majorHAnsi" w:hAnsiTheme="majorHAnsi" w:cs="Arial"/>
          <w:lang w:val="en-US"/>
        </w:rPr>
        <w:t>dictator of the DRC</w:t>
      </w:r>
      <w:r w:rsidR="00030718" w:rsidRPr="001222F4">
        <w:rPr>
          <w:rFonts w:asciiTheme="majorHAnsi" w:hAnsiTheme="majorHAnsi" w:cs="Arial"/>
          <w:lang w:val="en-US"/>
        </w:rPr>
        <w:t xml:space="preserve"> (and father of current President J</w:t>
      </w:r>
      <w:r w:rsidR="007F2A73" w:rsidRPr="001222F4">
        <w:rPr>
          <w:rFonts w:asciiTheme="majorHAnsi" w:hAnsiTheme="majorHAnsi" w:cs="Arial"/>
          <w:lang w:val="en-US"/>
        </w:rPr>
        <w:t>oseph Kabila</w:t>
      </w:r>
      <w:r w:rsidR="00030718" w:rsidRPr="001222F4">
        <w:rPr>
          <w:rFonts w:asciiTheme="majorHAnsi" w:hAnsiTheme="majorHAnsi" w:cs="Arial"/>
          <w:lang w:val="en-US"/>
        </w:rPr>
        <w:t>)</w:t>
      </w:r>
      <w:r w:rsidRPr="001222F4">
        <w:rPr>
          <w:rFonts w:asciiTheme="majorHAnsi" w:hAnsiTheme="majorHAnsi" w:cs="Arial"/>
          <w:lang w:val="en-US"/>
        </w:rPr>
        <w:t xml:space="preserve"> fell out with his </w:t>
      </w:r>
      <w:r w:rsidR="00472DA2" w:rsidRPr="001222F4">
        <w:rPr>
          <w:rFonts w:asciiTheme="majorHAnsi" w:hAnsiTheme="majorHAnsi" w:cs="Arial"/>
          <w:lang w:val="en-US"/>
        </w:rPr>
        <w:t>benefactors;</w:t>
      </w:r>
      <w:r w:rsidRPr="001222F4">
        <w:rPr>
          <w:rFonts w:asciiTheme="majorHAnsi" w:hAnsiTheme="majorHAnsi" w:cs="Arial"/>
          <w:lang w:val="en-US"/>
        </w:rPr>
        <w:t xml:space="preserve"> a regional war broke out between rebels and government forces. The ensuing </w:t>
      </w:r>
      <w:r w:rsidR="00030718" w:rsidRPr="001222F4">
        <w:rPr>
          <w:rFonts w:asciiTheme="majorHAnsi" w:hAnsiTheme="majorHAnsi" w:cs="Arial"/>
          <w:lang w:val="en-US"/>
        </w:rPr>
        <w:t xml:space="preserve">five </w:t>
      </w:r>
      <w:r w:rsidRPr="001222F4">
        <w:rPr>
          <w:rFonts w:asciiTheme="majorHAnsi" w:hAnsiTheme="majorHAnsi" w:cs="Arial"/>
          <w:lang w:val="en-US"/>
        </w:rPr>
        <w:t xml:space="preserve">years of war exacted a devastating toll on the civilian population, with </w:t>
      </w:r>
      <w:r w:rsidR="00517287" w:rsidRPr="001222F4">
        <w:rPr>
          <w:rFonts w:asciiTheme="majorHAnsi" w:hAnsiTheme="majorHAnsi" w:cs="Arial"/>
          <w:lang w:val="en-US"/>
        </w:rPr>
        <w:t>nearly</w:t>
      </w:r>
      <w:r w:rsidRPr="001222F4">
        <w:rPr>
          <w:rFonts w:asciiTheme="majorHAnsi" w:hAnsiTheme="majorHAnsi" w:cs="Arial"/>
          <w:lang w:val="en-US"/>
        </w:rPr>
        <w:t xml:space="preserve"> </w:t>
      </w:r>
      <w:r w:rsidR="00030718" w:rsidRPr="001222F4">
        <w:rPr>
          <w:rFonts w:asciiTheme="majorHAnsi" w:hAnsiTheme="majorHAnsi" w:cs="Arial"/>
          <w:lang w:val="en-US"/>
        </w:rPr>
        <w:t>four</w:t>
      </w:r>
      <w:r w:rsidRPr="001222F4">
        <w:rPr>
          <w:rFonts w:asciiTheme="majorHAnsi" w:hAnsiTheme="majorHAnsi" w:cs="Arial"/>
          <w:lang w:val="en-US"/>
        </w:rPr>
        <w:t xml:space="preserve"> million estimated deaths from violence, starvation and di</w:t>
      </w:r>
      <w:r w:rsidR="00030718" w:rsidRPr="001222F4">
        <w:rPr>
          <w:rFonts w:asciiTheme="majorHAnsi" w:hAnsiTheme="majorHAnsi" w:cs="Arial"/>
          <w:lang w:val="en-US"/>
        </w:rPr>
        <w:t>sease, in what has been dubbed “Africa’s World War”.</w:t>
      </w:r>
      <w:r w:rsidRPr="001222F4">
        <w:rPr>
          <w:rFonts w:asciiTheme="majorHAnsi" w:hAnsiTheme="majorHAnsi" w:cs="Arial"/>
          <w:lang w:val="en-US"/>
        </w:rPr>
        <w:t xml:space="preserve"> In 2002, a peace agreement was reached between all the parties to the conflict. In 2010, the </w:t>
      </w:r>
      <w:r w:rsidR="007F2A73" w:rsidRPr="001222F4">
        <w:rPr>
          <w:rFonts w:asciiTheme="majorHAnsi" w:hAnsiTheme="majorHAnsi" w:cs="Arial"/>
          <w:lang w:val="en-US"/>
        </w:rPr>
        <w:t xml:space="preserve">former </w:t>
      </w:r>
      <w:r w:rsidRPr="001222F4">
        <w:rPr>
          <w:rFonts w:asciiTheme="majorHAnsi" w:hAnsiTheme="majorHAnsi" w:cs="Arial"/>
          <w:lang w:val="en-US"/>
        </w:rPr>
        <w:t>Secretary-General’s Special Representative on Sexual Violence in Conflict</w:t>
      </w:r>
      <w:r w:rsidR="007F2A73" w:rsidRPr="001222F4">
        <w:rPr>
          <w:rFonts w:asciiTheme="majorHAnsi" w:hAnsiTheme="majorHAnsi" w:cs="Arial"/>
          <w:lang w:val="en-US"/>
        </w:rPr>
        <w:t xml:space="preserve">, </w:t>
      </w:r>
      <w:r w:rsidR="007F2A73" w:rsidRPr="001222F4">
        <w:rPr>
          <w:rFonts w:asciiTheme="majorHAnsi" w:eastAsia="Times New Roman" w:hAnsiTheme="majorHAnsi" w:cs="Times New Roman"/>
          <w:bCs/>
          <w:color w:val="252525"/>
          <w:shd w:val="clear" w:color="auto" w:fill="FFFFFF"/>
        </w:rPr>
        <w:t xml:space="preserve">Margot Wallström, </w:t>
      </w:r>
      <w:r w:rsidRPr="001222F4">
        <w:rPr>
          <w:rFonts w:asciiTheme="majorHAnsi" w:hAnsiTheme="majorHAnsi" w:cs="Arial"/>
          <w:lang w:val="en-US"/>
        </w:rPr>
        <w:t>labe</w:t>
      </w:r>
      <w:r w:rsidR="009726A9" w:rsidRPr="001222F4">
        <w:rPr>
          <w:rFonts w:asciiTheme="majorHAnsi" w:hAnsiTheme="majorHAnsi" w:cs="Arial"/>
          <w:lang w:val="en-US"/>
        </w:rPr>
        <w:t>l</w:t>
      </w:r>
      <w:r w:rsidR="007F2A73" w:rsidRPr="001222F4">
        <w:rPr>
          <w:rFonts w:asciiTheme="majorHAnsi" w:hAnsiTheme="majorHAnsi" w:cs="Arial"/>
          <w:lang w:val="en-US"/>
        </w:rPr>
        <w:t>l</w:t>
      </w:r>
      <w:r w:rsidRPr="001222F4">
        <w:rPr>
          <w:rFonts w:asciiTheme="majorHAnsi" w:hAnsiTheme="majorHAnsi" w:cs="Arial"/>
          <w:lang w:val="en-US"/>
        </w:rPr>
        <w:t>ed the DRC the “rape capital of the world.”</w:t>
      </w:r>
      <w:r w:rsidRPr="001222F4">
        <w:rPr>
          <w:rStyle w:val="FootnoteReference"/>
          <w:rFonts w:asciiTheme="majorHAnsi" w:hAnsiTheme="majorHAnsi" w:cs="Arial"/>
          <w:lang w:val="en-US"/>
        </w:rPr>
        <w:footnoteReference w:id="126"/>
      </w:r>
      <w:r w:rsidRPr="001222F4">
        <w:rPr>
          <w:rFonts w:asciiTheme="majorHAnsi" w:hAnsiTheme="majorHAnsi" w:cs="Arial"/>
          <w:lang w:val="en-US"/>
        </w:rPr>
        <w:t xml:space="preserve"> The Congolese Army and the numerous armed groups operating in the eastern DRC </w:t>
      </w:r>
      <w:r w:rsidR="00030718" w:rsidRPr="001222F4">
        <w:rPr>
          <w:rFonts w:asciiTheme="majorHAnsi" w:hAnsiTheme="majorHAnsi" w:cs="Arial"/>
          <w:lang w:val="en-US"/>
        </w:rPr>
        <w:t xml:space="preserve">continue to </w:t>
      </w:r>
      <w:r w:rsidRPr="001222F4">
        <w:rPr>
          <w:rFonts w:asciiTheme="majorHAnsi" w:hAnsiTheme="majorHAnsi"/>
        </w:rPr>
        <w:t>target civilian</w:t>
      </w:r>
      <w:r w:rsidR="00EE2B6A" w:rsidRPr="001222F4">
        <w:rPr>
          <w:rFonts w:asciiTheme="majorHAnsi" w:hAnsiTheme="majorHAnsi"/>
        </w:rPr>
        <w:t>s</w:t>
      </w:r>
      <w:r w:rsidR="00030718" w:rsidRPr="001222F4">
        <w:rPr>
          <w:rFonts w:asciiTheme="majorHAnsi" w:hAnsiTheme="majorHAnsi"/>
        </w:rPr>
        <w:t xml:space="preserve">, especially women and girls. The army and armed groups persistently </w:t>
      </w:r>
      <w:r w:rsidR="00EE2B6A" w:rsidRPr="001222F4">
        <w:rPr>
          <w:rFonts w:asciiTheme="majorHAnsi" w:hAnsiTheme="majorHAnsi"/>
        </w:rPr>
        <w:t>use sexual violence as a weapon of war</w:t>
      </w:r>
      <w:r w:rsidRPr="001222F4">
        <w:rPr>
          <w:rStyle w:val="FootnoteReference"/>
          <w:rFonts w:asciiTheme="majorHAnsi" w:hAnsiTheme="majorHAnsi"/>
        </w:rPr>
        <w:footnoteReference w:id="127"/>
      </w:r>
      <w:r w:rsidR="00EE2B6A" w:rsidRPr="001222F4">
        <w:rPr>
          <w:rFonts w:asciiTheme="majorHAnsi" w:hAnsiTheme="majorHAnsi"/>
        </w:rPr>
        <w:t xml:space="preserve"> using</w:t>
      </w:r>
      <w:r w:rsidR="00B77327" w:rsidRPr="001222F4">
        <w:rPr>
          <w:rFonts w:asciiTheme="majorHAnsi" w:hAnsiTheme="majorHAnsi"/>
        </w:rPr>
        <w:t xml:space="preserve"> </w:t>
      </w:r>
      <w:r w:rsidRPr="001222F4">
        <w:rPr>
          <w:rFonts w:asciiTheme="majorHAnsi" w:hAnsiTheme="majorHAnsi"/>
        </w:rPr>
        <w:t>rape, mutilation, sexual slavery and forced pregnancy to achieve military objectives.</w:t>
      </w:r>
      <w:r w:rsidRPr="001222F4">
        <w:rPr>
          <w:rStyle w:val="FootnoteReference"/>
          <w:rFonts w:asciiTheme="majorHAnsi" w:hAnsiTheme="majorHAnsi"/>
        </w:rPr>
        <w:footnoteReference w:id="128"/>
      </w:r>
    </w:p>
    <w:p w14:paraId="7563036C" w14:textId="77777777" w:rsidR="00030718" w:rsidRPr="001222F4" w:rsidRDefault="00030718" w:rsidP="005C68CA">
      <w:pPr>
        <w:widowControl w:val="0"/>
        <w:autoSpaceDE w:val="0"/>
        <w:autoSpaceDN w:val="0"/>
        <w:adjustRightInd w:val="0"/>
        <w:jc w:val="both"/>
        <w:rPr>
          <w:rFonts w:asciiTheme="majorHAnsi" w:hAnsiTheme="majorHAnsi" w:cs="Times New Roman"/>
          <w:lang w:val="en-US"/>
        </w:rPr>
      </w:pPr>
    </w:p>
    <w:p w14:paraId="05571F68" w14:textId="1F07FC84" w:rsidR="005C68CA" w:rsidRPr="001222F4" w:rsidRDefault="00030718" w:rsidP="007F364C">
      <w:pPr>
        <w:pStyle w:val="ListParagraph"/>
        <w:numPr>
          <w:ilvl w:val="0"/>
          <w:numId w:val="15"/>
        </w:numPr>
        <w:jc w:val="both"/>
        <w:rPr>
          <w:rFonts w:asciiTheme="majorHAnsi" w:hAnsiTheme="majorHAnsi" w:cs="Arial"/>
          <w:b/>
          <w:color w:val="1F497D" w:themeColor="text2"/>
          <w:lang w:val="en-US"/>
        </w:rPr>
      </w:pPr>
      <w:r w:rsidRPr="001222F4">
        <w:rPr>
          <w:rFonts w:asciiTheme="majorHAnsi" w:hAnsiTheme="majorHAnsi" w:cs="Arial"/>
          <w:b/>
          <w:color w:val="1F497D" w:themeColor="text2"/>
          <w:lang w:val="en-US"/>
        </w:rPr>
        <w:t xml:space="preserve">The </w:t>
      </w:r>
      <w:r w:rsidR="00D42D84" w:rsidRPr="001222F4">
        <w:rPr>
          <w:rFonts w:asciiTheme="majorHAnsi" w:hAnsiTheme="majorHAnsi" w:cs="Arial"/>
          <w:b/>
          <w:color w:val="1F497D" w:themeColor="text2"/>
          <w:lang w:val="en-US"/>
        </w:rPr>
        <w:t xml:space="preserve">DRC’s National Action Plan </w:t>
      </w:r>
      <w:r w:rsidR="000976C3" w:rsidRPr="001222F4">
        <w:rPr>
          <w:rFonts w:asciiTheme="majorHAnsi" w:hAnsiTheme="majorHAnsi" w:cs="Arial"/>
          <w:b/>
          <w:color w:val="1F497D" w:themeColor="text2"/>
          <w:lang w:val="en-US"/>
        </w:rPr>
        <w:t xml:space="preserve">(2010 - </w:t>
      </w:r>
      <w:r w:rsidR="008B6E37" w:rsidRPr="001222F4">
        <w:rPr>
          <w:rFonts w:asciiTheme="majorHAnsi" w:hAnsiTheme="majorHAnsi" w:cs="Arial"/>
          <w:b/>
          <w:color w:val="1F497D" w:themeColor="text2"/>
          <w:lang w:val="en-US"/>
        </w:rPr>
        <w:t>no end date)</w:t>
      </w:r>
    </w:p>
    <w:p w14:paraId="1F7EB2D1" w14:textId="77777777" w:rsidR="007A60C9" w:rsidRPr="001222F4" w:rsidRDefault="007A60C9" w:rsidP="007A60C9">
      <w:pPr>
        <w:ind w:left="360"/>
        <w:jc w:val="both"/>
        <w:rPr>
          <w:rFonts w:asciiTheme="majorHAnsi" w:hAnsiTheme="majorHAnsi" w:cs="Arial"/>
          <w:b/>
          <w:lang w:val="en-US"/>
        </w:rPr>
      </w:pPr>
    </w:p>
    <w:p w14:paraId="1C5F92DA" w14:textId="77777777" w:rsidR="00517287" w:rsidRPr="001222F4" w:rsidRDefault="005C68CA" w:rsidP="00B05609">
      <w:pPr>
        <w:spacing w:line="360" w:lineRule="auto"/>
        <w:jc w:val="both"/>
        <w:rPr>
          <w:rFonts w:asciiTheme="majorHAnsi" w:hAnsiTheme="majorHAnsi" w:cs="Times New Roman"/>
        </w:rPr>
      </w:pPr>
      <w:r w:rsidRPr="001222F4">
        <w:rPr>
          <w:rFonts w:asciiTheme="majorHAnsi" w:hAnsiTheme="majorHAnsi" w:cs="Times New Roman"/>
        </w:rPr>
        <w:t xml:space="preserve">The DRC adopted its </w:t>
      </w:r>
      <w:r w:rsidR="000976C3" w:rsidRPr="001222F4">
        <w:rPr>
          <w:rFonts w:asciiTheme="majorHAnsi" w:hAnsiTheme="majorHAnsi" w:cs="Times New Roman"/>
        </w:rPr>
        <w:t>National Action Plan (</w:t>
      </w:r>
      <w:r w:rsidR="004538A0" w:rsidRPr="001222F4">
        <w:rPr>
          <w:rFonts w:asciiTheme="majorHAnsi" w:hAnsiTheme="majorHAnsi" w:cs="Times New Roman"/>
        </w:rPr>
        <w:t>NAP</w:t>
      </w:r>
      <w:r w:rsidR="000976C3" w:rsidRPr="001222F4">
        <w:rPr>
          <w:rFonts w:asciiTheme="majorHAnsi" w:hAnsiTheme="majorHAnsi" w:cs="Times New Roman"/>
        </w:rPr>
        <w:t>)</w:t>
      </w:r>
      <w:r w:rsidRPr="001222F4">
        <w:rPr>
          <w:rFonts w:asciiTheme="majorHAnsi" w:hAnsiTheme="majorHAnsi" w:cs="Times New Roman"/>
        </w:rPr>
        <w:t xml:space="preserve"> in January 2010. The Ministry of Gender, Family and Children </w:t>
      </w:r>
      <w:r w:rsidR="001E6F6C" w:rsidRPr="001222F4">
        <w:rPr>
          <w:rFonts w:asciiTheme="majorHAnsi" w:hAnsiTheme="majorHAnsi" w:cs="Times New Roman"/>
        </w:rPr>
        <w:t>led</w:t>
      </w:r>
      <w:r w:rsidRPr="001222F4">
        <w:rPr>
          <w:rFonts w:asciiTheme="majorHAnsi" w:hAnsiTheme="majorHAnsi" w:cs="Times New Roman"/>
        </w:rPr>
        <w:t xml:space="preserve"> the development of the NAP, with involvement from other ministries including Defence, Interior and Security, Justice, Human Rights, Budget, Finance, Foreign Affairs as well as civil </w:t>
      </w:r>
      <w:r w:rsidR="001E6F6C" w:rsidRPr="001222F4">
        <w:rPr>
          <w:rFonts w:asciiTheme="majorHAnsi" w:hAnsiTheme="majorHAnsi" w:cs="Times New Roman"/>
        </w:rPr>
        <w:t>society</w:t>
      </w:r>
      <w:r w:rsidRPr="001222F4">
        <w:rPr>
          <w:rFonts w:asciiTheme="majorHAnsi" w:hAnsiTheme="majorHAnsi" w:cs="Times New Roman"/>
        </w:rPr>
        <w:t xml:space="preserve">, </w:t>
      </w:r>
      <w:r w:rsidRPr="001222F4">
        <w:rPr>
          <w:rFonts w:asciiTheme="majorHAnsi" w:hAnsiTheme="majorHAnsi" w:cs="Times New Roman"/>
        </w:rPr>
        <w:lastRenderedPageBreak/>
        <w:t xml:space="preserve">religious representatives and </w:t>
      </w:r>
      <w:r w:rsidR="001E6F6C" w:rsidRPr="001222F4">
        <w:rPr>
          <w:rFonts w:asciiTheme="majorHAnsi" w:hAnsiTheme="majorHAnsi" w:cs="Times New Roman"/>
        </w:rPr>
        <w:t>leaders</w:t>
      </w:r>
      <w:r w:rsidRPr="001222F4">
        <w:rPr>
          <w:rFonts w:asciiTheme="majorHAnsi" w:hAnsiTheme="majorHAnsi" w:cs="Times New Roman"/>
        </w:rPr>
        <w:t xml:space="preserve"> from traditional authorities.</w:t>
      </w:r>
      <w:r w:rsidRPr="001222F4">
        <w:rPr>
          <w:rStyle w:val="FootnoteReference"/>
          <w:rFonts w:asciiTheme="majorHAnsi" w:hAnsiTheme="majorHAnsi" w:cs="Times New Roman"/>
        </w:rPr>
        <w:footnoteReference w:id="129"/>
      </w:r>
      <w:r w:rsidR="00030718" w:rsidRPr="001222F4">
        <w:rPr>
          <w:rFonts w:asciiTheme="majorHAnsi" w:hAnsiTheme="majorHAnsi" w:cs="Times New Roman"/>
        </w:rPr>
        <w:t xml:space="preserve"> The</w:t>
      </w:r>
      <w:r w:rsidR="008B6E37" w:rsidRPr="001222F4">
        <w:rPr>
          <w:rFonts w:asciiTheme="majorHAnsi" w:hAnsiTheme="majorHAnsi" w:cs="Times New Roman"/>
        </w:rPr>
        <w:t xml:space="preserve"> </w:t>
      </w:r>
      <w:r w:rsidR="00E37292" w:rsidRPr="001222F4">
        <w:rPr>
          <w:rFonts w:asciiTheme="majorHAnsi" w:hAnsiTheme="majorHAnsi" w:cs="Times New Roman"/>
        </w:rPr>
        <w:t xml:space="preserve">document is only </w:t>
      </w:r>
      <w:r w:rsidR="00167157" w:rsidRPr="001222F4">
        <w:rPr>
          <w:rFonts w:asciiTheme="majorHAnsi" w:hAnsiTheme="majorHAnsi" w:cs="Times New Roman"/>
        </w:rPr>
        <w:t>ten-page</w:t>
      </w:r>
      <w:r w:rsidR="00E37292" w:rsidRPr="001222F4">
        <w:rPr>
          <w:rFonts w:asciiTheme="majorHAnsi" w:hAnsiTheme="majorHAnsi" w:cs="Times New Roman"/>
        </w:rPr>
        <w:t>s, and</w:t>
      </w:r>
      <w:r w:rsidR="00167157" w:rsidRPr="001222F4">
        <w:rPr>
          <w:rFonts w:asciiTheme="majorHAnsi" w:hAnsiTheme="majorHAnsi" w:cs="Times New Roman"/>
        </w:rPr>
        <w:t xml:space="preserve"> </w:t>
      </w:r>
      <w:r w:rsidR="00517287" w:rsidRPr="001222F4">
        <w:rPr>
          <w:rFonts w:asciiTheme="majorHAnsi" w:hAnsiTheme="majorHAnsi" w:cs="Times New Roman"/>
        </w:rPr>
        <w:t>like</w:t>
      </w:r>
      <w:r w:rsidR="00D55C34" w:rsidRPr="001222F4">
        <w:rPr>
          <w:rFonts w:asciiTheme="majorHAnsi" w:hAnsiTheme="majorHAnsi" w:cs="Times New Roman"/>
        </w:rPr>
        <w:t xml:space="preserve"> the first NAP of Chile, </w:t>
      </w:r>
      <w:r w:rsidR="00517287" w:rsidRPr="001222F4">
        <w:rPr>
          <w:rFonts w:asciiTheme="majorHAnsi" w:hAnsiTheme="majorHAnsi" w:cs="Times New Roman"/>
        </w:rPr>
        <w:t>has</w:t>
      </w:r>
      <w:r w:rsidR="008B6E37" w:rsidRPr="001222F4">
        <w:rPr>
          <w:rFonts w:asciiTheme="majorHAnsi" w:hAnsiTheme="majorHAnsi" w:cs="Times New Roman"/>
        </w:rPr>
        <w:t xml:space="preserve"> no end date</w:t>
      </w:r>
      <w:r w:rsidR="0000477C" w:rsidRPr="001222F4">
        <w:rPr>
          <w:rFonts w:asciiTheme="majorHAnsi" w:hAnsiTheme="majorHAnsi" w:cs="Times New Roman"/>
        </w:rPr>
        <w:t xml:space="preserve">. </w:t>
      </w:r>
    </w:p>
    <w:p w14:paraId="7A5DE0AC" w14:textId="77777777" w:rsidR="00517287" w:rsidRPr="001222F4" w:rsidRDefault="00517287" w:rsidP="005C68CA">
      <w:pPr>
        <w:jc w:val="both"/>
        <w:rPr>
          <w:rFonts w:asciiTheme="majorHAnsi" w:hAnsiTheme="majorHAnsi" w:cs="Times New Roman"/>
        </w:rPr>
      </w:pPr>
    </w:p>
    <w:p w14:paraId="547006F6" w14:textId="2163F278" w:rsidR="008B6E37" w:rsidRPr="001222F4" w:rsidRDefault="00E37292" w:rsidP="00B05609">
      <w:pPr>
        <w:spacing w:line="360" w:lineRule="auto"/>
        <w:jc w:val="both"/>
        <w:rPr>
          <w:rFonts w:asciiTheme="majorHAnsi" w:hAnsiTheme="majorHAnsi" w:cs="Times New Roman"/>
        </w:rPr>
      </w:pPr>
      <w:r w:rsidRPr="001222F4">
        <w:rPr>
          <w:rFonts w:asciiTheme="majorHAnsi" w:hAnsiTheme="majorHAnsi" w:cs="Times New Roman"/>
        </w:rPr>
        <w:t xml:space="preserve">A positive feature is the NAP’s </w:t>
      </w:r>
      <w:r w:rsidR="00517287" w:rsidRPr="001222F4">
        <w:rPr>
          <w:rFonts w:asciiTheme="majorHAnsi" w:hAnsiTheme="majorHAnsi" w:cs="Times New Roman"/>
        </w:rPr>
        <w:t>reference, albeit briefly,</w:t>
      </w:r>
      <w:r w:rsidRPr="001222F4">
        <w:rPr>
          <w:rFonts w:asciiTheme="majorHAnsi" w:hAnsiTheme="majorHAnsi" w:cs="Times New Roman"/>
        </w:rPr>
        <w:t xml:space="preserve"> </w:t>
      </w:r>
      <w:r w:rsidR="00030718" w:rsidRPr="001222F4">
        <w:rPr>
          <w:rFonts w:asciiTheme="majorHAnsi" w:hAnsiTheme="majorHAnsi" w:cs="Times New Roman"/>
        </w:rPr>
        <w:t>not only to</w:t>
      </w:r>
      <w:r w:rsidR="00BC4E3E" w:rsidRPr="001222F4">
        <w:rPr>
          <w:rFonts w:asciiTheme="majorHAnsi" w:hAnsiTheme="majorHAnsi" w:cs="Times New Roman"/>
        </w:rPr>
        <w:t xml:space="preserve"> SCR 1325 but also</w:t>
      </w:r>
      <w:r w:rsidR="008B6E37" w:rsidRPr="001222F4">
        <w:rPr>
          <w:rFonts w:asciiTheme="majorHAnsi" w:hAnsiTheme="majorHAnsi" w:cs="Times New Roman"/>
        </w:rPr>
        <w:t xml:space="preserve"> </w:t>
      </w:r>
      <w:r w:rsidR="001E6F6C" w:rsidRPr="001222F4">
        <w:rPr>
          <w:rFonts w:asciiTheme="majorHAnsi" w:hAnsiTheme="majorHAnsi" w:cs="Times New Roman"/>
        </w:rPr>
        <w:t>key</w:t>
      </w:r>
      <w:r w:rsidR="008B6E37" w:rsidRPr="001222F4">
        <w:rPr>
          <w:rFonts w:asciiTheme="majorHAnsi" w:hAnsiTheme="majorHAnsi" w:cs="Times New Roman"/>
        </w:rPr>
        <w:t xml:space="preserve"> elements of the legal framework on women, peace and security, namely</w:t>
      </w:r>
      <w:r w:rsidR="00030718" w:rsidRPr="001222F4">
        <w:rPr>
          <w:rFonts w:asciiTheme="majorHAnsi" w:hAnsiTheme="majorHAnsi" w:cs="Times New Roman"/>
        </w:rPr>
        <w:t xml:space="preserve"> CEDAW</w:t>
      </w:r>
      <w:r w:rsidR="00167157" w:rsidRPr="001222F4">
        <w:rPr>
          <w:rFonts w:asciiTheme="majorHAnsi" w:hAnsiTheme="majorHAnsi" w:cs="Times New Roman"/>
        </w:rPr>
        <w:t xml:space="preserve"> and its Optional Protocol (</w:t>
      </w:r>
      <w:r w:rsidR="008B6E37" w:rsidRPr="001222F4">
        <w:rPr>
          <w:rFonts w:asciiTheme="majorHAnsi" w:hAnsiTheme="majorHAnsi" w:cs="Times New Roman"/>
        </w:rPr>
        <w:t>1999</w:t>
      </w:r>
      <w:r w:rsidR="00167157" w:rsidRPr="001222F4">
        <w:rPr>
          <w:rFonts w:asciiTheme="majorHAnsi" w:hAnsiTheme="majorHAnsi" w:cs="Times New Roman"/>
        </w:rPr>
        <w:t>);</w:t>
      </w:r>
      <w:r w:rsidR="008B6E37" w:rsidRPr="001222F4">
        <w:rPr>
          <w:rFonts w:asciiTheme="majorHAnsi" w:hAnsiTheme="majorHAnsi" w:cs="Times New Roman"/>
        </w:rPr>
        <w:t xml:space="preserve"> the Convention on the Rights of the Child </w:t>
      </w:r>
      <w:r w:rsidR="00167157" w:rsidRPr="001222F4">
        <w:rPr>
          <w:rFonts w:asciiTheme="majorHAnsi" w:hAnsiTheme="majorHAnsi" w:cs="Times New Roman"/>
        </w:rPr>
        <w:t>(</w:t>
      </w:r>
      <w:r w:rsidR="008B6E37" w:rsidRPr="001222F4">
        <w:rPr>
          <w:rFonts w:asciiTheme="majorHAnsi" w:hAnsiTheme="majorHAnsi" w:cs="Times New Roman"/>
        </w:rPr>
        <w:t>1989</w:t>
      </w:r>
      <w:r w:rsidR="00167157" w:rsidRPr="001222F4">
        <w:rPr>
          <w:rFonts w:asciiTheme="majorHAnsi" w:hAnsiTheme="majorHAnsi" w:cs="Times New Roman"/>
        </w:rPr>
        <w:t>)</w:t>
      </w:r>
      <w:r w:rsidR="008B6E37" w:rsidRPr="001222F4">
        <w:rPr>
          <w:rFonts w:asciiTheme="majorHAnsi" w:hAnsiTheme="majorHAnsi" w:cs="Times New Roman"/>
        </w:rPr>
        <w:t xml:space="preserve"> and its two Optional Protocols </w:t>
      </w:r>
      <w:r w:rsidR="00167157" w:rsidRPr="001222F4">
        <w:rPr>
          <w:rFonts w:asciiTheme="majorHAnsi" w:hAnsiTheme="majorHAnsi" w:cs="Times New Roman"/>
        </w:rPr>
        <w:t>(2000</w:t>
      </w:r>
      <w:r w:rsidR="00517287" w:rsidRPr="001222F4">
        <w:rPr>
          <w:rFonts w:asciiTheme="majorHAnsi" w:hAnsiTheme="majorHAnsi" w:cs="Times New Roman"/>
        </w:rPr>
        <w:t>)</w:t>
      </w:r>
      <w:r w:rsidR="00167157" w:rsidRPr="001222F4">
        <w:rPr>
          <w:rFonts w:asciiTheme="majorHAnsi" w:hAnsiTheme="majorHAnsi" w:cs="Times New Roman"/>
        </w:rPr>
        <w:t>;</w:t>
      </w:r>
      <w:r w:rsidR="008B6E37" w:rsidRPr="001222F4">
        <w:rPr>
          <w:rFonts w:asciiTheme="majorHAnsi" w:hAnsiTheme="majorHAnsi" w:cs="Times New Roman"/>
        </w:rPr>
        <w:t xml:space="preserve"> </w:t>
      </w:r>
      <w:r w:rsidR="001E6F6C" w:rsidRPr="001222F4">
        <w:rPr>
          <w:rFonts w:asciiTheme="majorHAnsi" w:hAnsiTheme="majorHAnsi" w:cs="Times New Roman"/>
        </w:rPr>
        <w:t>and</w:t>
      </w:r>
      <w:r w:rsidR="008B6E37" w:rsidRPr="001222F4">
        <w:rPr>
          <w:rFonts w:asciiTheme="majorHAnsi" w:hAnsiTheme="majorHAnsi" w:cs="Times New Roman"/>
        </w:rPr>
        <w:t xml:space="preserve"> the world conferences on women in Nai</w:t>
      </w:r>
      <w:r w:rsidR="001E6F6C" w:rsidRPr="001222F4">
        <w:rPr>
          <w:rFonts w:asciiTheme="majorHAnsi" w:hAnsiTheme="majorHAnsi" w:cs="Times New Roman"/>
        </w:rPr>
        <w:t xml:space="preserve">robi (1985) and Beijing (1995) </w:t>
      </w:r>
      <w:r w:rsidR="008B6E37" w:rsidRPr="001222F4">
        <w:rPr>
          <w:rFonts w:asciiTheme="majorHAnsi" w:hAnsiTheme="majorHAnsi" w:cs="Times New Roman"/>
        </w:rPr>
        <w:t xml:space="preserve">the latter of which </w:t>
      </w:r>
      <w:r w:rsidR="001E6F6C" w:rsidRPr="001222F4">
        <w:rPr>
          <w:rFonts w:asciiTheme="majorHAnsi" w:hAnsiTheme="majorHAnsi" w:cs="Times New Roman"/>
        </w:rPr>
        <w:t>launched the</w:t>
      </w:r>
      <w:r w:rsidR="008B6E37" w:rsidRPr="001222F4">
        <w:rPr>
          <w:rFonts w:asciiTheme="majorHAnsi" w:hAnsiTheme="majorHAnsi" w:cs="Times New Roman"/>
        </w:rPr>
        <w:t xml:space="preserve"> BPfA.</w:t>
      </w:r>
      <w:r w:rsidR="008B6E37" w:rsidRPr="001222F4">
        <w:rPr>
          <w:rStyle w:val="FootnoteReference"/>
          <w:rFonts w:asciiTheme="majorHAnsi" w:hAnsiTheme="majorHAnsi" w:cs="Times New Roman"/>
        </w:rPr>
        <w:footnoteReference w:id="130"/>
      </w:r>
      <w:r w:rsidR="008B6E37" w:rsidRPr="001222F4">
        <w:rPr>
          <w:rFonts w:asciiTheme="majorHAnsi" w:hAnsiTheme="majorHAnsi" w:cs="Times New Roman"/>
        </w:rPr>
        <w:t xml:space="preserve"> </w:t>
      </w:r>
      <w:r w:rsidRPr="001222F4">
        <w:rPr>
          <w:rFonts w:asciiTheme="majorHAnsi" w:hAnsiTheme="majorHAnsi" w:cs="Times New Roman"/>
        </w:rPr>
        <w:t xml:space="preserve">This reference indicates </w:t>
      </w:r>
      <w:r w:rsidR="00517287" w:rsidRPr="001222F4">
        <w:rPr>
          <w:rFonts w:asciiTheme="majorHAnsi" w:hAnsiTheme="majorHAnsi" w:cs="Times New Roman"/>
        </w:rPr>
        <w:t>that the government is cognisant</w:t>
      </w:r>
      <w:r w:rsidRPr="001222F4">
        <w:rPr>
          <w:rFonts w:asciiTheme="majorHAnsi" w:hAnsiTheme="majorHAnsi" w:cs="Times New Roman"/>
        </w:rPr>
        <w:t xml:space="preserve"> of its binding obligations</w:t>
      </w:r>
      <w:r w:rsidR="00D55C34" w:rsidRPr="001222F4">
        <w:rPr>
          <w:rFonts w:asciiTheme="majorHAnsi" w:hAnsiTheme="majorHAnsi" w:cs="Times New Roman"/>
        </w:rPr>
        <w:t xml:space="preserve"> and commitments</w:t>
      </w:r>
      <w:r w:rsidRPr="001222F4">
        <w:rPr>
          <w:rFonts w:asciiTheme="majorHAnsi" w:hAnsiTheme="majorHAnsi" w:cs="Times New Roman"/>
        </w:rPr>
        <w:t xml:space="preserve"> under international law. </w:t>
      </w:r>
    </w:p>
    <w:p w14:paraId="5BD8B26D" w14:textId="77777777" w:rsidR="008B6E37" w:rsidRPr="001222F4" w:rsidRDefault="008B6E37" w:rsidP="005C68CA">
      <w:pPr>
        <w:jc w:val="both"/>
        <w:rPr>
          <w:rFonts w:asciiTheme="majorHAnsi" w:hAnsiTheme="majorHAnsi" w:cs="Times New Roman"/>
        </w:rPr>
      </w:pPr>
    </w:p>
    <w:p w14:paraId="66BC7BA5" w14:textId="29485304" w:rsidR="005C68CA" w:rsidRPr="001222F4" w:rsidRDefault="005C68CA" w:rsidP="00B05609">
      <w:pPr>
        <w:spacing w:line="360" w:lineRule="auto"/>
        <w:jc w:val="both"/>
        <w:rPr>
          <w:rFonts w:asciiTheme="majorHAnsi" w:hAnsiTheme="majorHAnsi" w:cs="Times New Roman"/>
        </w:rPr>
      </w:pPr>
      <w:r w:rsidRPr="001222F4">
        <w:rPr>
          <w:rFonts w:asciiTheme="majorHAnsi" w:hAnsiTheme="majorHAnsi" w:cs="Times New Roman"/>
        </w:rPr>
        <w:t xml:space="preserve">The NAP </w:t>
      </w:r>
      <w:r w:rsidR="00030718" w:rsidRPr="001222F4">
        <w:rPr>
          <w:rFonts w:asciiTheme="majorHAnsi" w:hAnsiTheme="majorHAnsi" w:cs="Times New Roman"/>
        </w:rPr>
        <w:t>commits</w:t>
      </w:r>
      <w:r w:rsidRPr="001222F4">
        <w:rPr>
          <w:rFonts w:asciiTheme="majorHAnsi" w:hAnsiTheme="majorHAnsi" w:cs="Times New Roman"/>
        </w:rPr>
        <w:t xml:space="preserve"> the </w:t>
      </w:r>
      <w:r w:rsidR="00030718" w:rsidRPr="001222F4">
        <w:rPr>
          <w:rFonts w:asciiTheme="majorHAnsi" w:hAnsiTheme="majorHAnsi" w:cs="Times New Roman"/>
        </w:rPr>
        <w:t>g</w:t>
      </w:r>
      <w:r w:rsidRPr="001222F4">
        <w:rPr>
          <w:rFonts w:asciiTheme="majorHAnsi" w:hAnsiTheme="majorHAnsi" w:cs="Times New Roman"/>
        </w:rPr>
        <w:t xml:space="preserve">overnment </w:t>
      </w:r>
      <w:r w:rsidR="0000477C" w:rsidRPr="001222F4">
        <w:rPr>
          <w:rFonts w:asciiTheme="majorHAnsi" w:hAnsiTheme="majorHAnsi" w:cs="Times New Roman"/>
        </w:rPr>
        <w:t xml:space="preserve">to implementing </w:t>
      </w:r>
      <w:r w:rsidR="004538A0" w:rsidRPr="001222F4">
        <w:rPr>
          <w:rFonts w:asciiTheme="majorHAnsi" w:hAnsiTheme="majorHAnsi" w:cs="Times New Roman"/>
        </w:rPr>
        <w:t xml:space="preserve">SCR </w:t>
      </w:r>
      <w:r w:rsidRPr="001222F4">
        <w:rPr>
          <w:rFonts w:asciiTheme="majorHAnsi" w:hAnsiTheme="majorHAnsi" w:cs="Times New Roman"/>
        </w:rPr>
        <w:t>1325 by focusin</w:t>
      </w:r>
      <w:r w:rsidR="00CB0EBE" w:rsidRPr="001222F4">
        <w:rPr>
          <w:rFonts w:asciiTheme="majorHAnsi" w:hAnsiTheme="majorHAnsi" w:cs="Times New Roman"/>
        </w:rPr>
        <w:t xml:space="preserve">g on </w:t>
      </w:r>
      <w:r w:rsidR="001E6F6C" w:rsidRPr="001222F4">
        <w:rPr>
          <w:rFonts w:asciiTheme="majorHAnsi" w:hAnsiTheme="majorHAnsi" w:cs="Times New Roman"/>
        </w:rPr>
        <w:t xml:space="preserve">seven </w:t>
      </w:r>
      <w:r w:rsidR="00CB0EBE" w:rsidRPr="001222F4">
        <w:rPr>
          <w:rFonts w:asciiTheme="majorHAnsi" w:hAnsiTheme="majorHAnsi" w:cs="Times New Roman"/>
        </w:rPr>
        <w:t>specific axes</w:t>
      </w:r>
      <w:r w:rsidR="00030718" w:rsidRPr="001222F4">
        <w:rPr>
          <w:rFonts w:asciiTheme="majorHAnsi" w:hAnsiTheme="majorHAnsi" w:cs="Times New Roman"/>
        </w:rPr>
        <w:t xml:space="preserve">: </w:t>
      </w:r>
      <w:r w:rsidR="00517287" w:rsidRPr="001222F4">
        <w:rPr>
          <w:rFonts w:asciiTheme="majorHAnsi" w:hAnsiTheme="majorHAnsi" w:cs="Times New Roman"/>
        </w:rPr>
        <w:t>1) Participation; 2) I</w:t>
      </w:r>
      <w:r w:rsidRPr="001222F4">
        <w:rPr>
          <w:rFonts w:asciiTheme="majorHAnsi" w:hAnsiTheme="majorHAnsi" w:cs="Times New Roman"/>
        </w:rPr>
        <w:t>ntegration of gender into planning,</w:t>
      </w:r>
      <w:r w:rsidR="00517287" w:rsidRPr="001222F4">
        <w:rPr>
          <w:rFonts w:asciiTheme="majorHAnsi" w:hAnsiTheme="majorHAnsi" w:cs="Times New Roman"/>
        </w:rPr>
        <w:t xml:space="preserve"> programming and budgeting; 3) P</w:t>
      </w:r>
      <w:r w:rsidRPr="001222F4">
        <w:rPr>
          <w:rFonts w:asciiTheme="majorHAnsi" w:hAnsiTheme="majorHAnsi" w:cs="Times New Roman"/>
        </w:rPr>
        <w:t>romotion and protect</w:t>
      </w:r>
      <w:r w:rsidR="00517287" w:rsidRPr="001222F4">
        <w:rPr>
          <w:rFonts w:asciiTheme="majorHAnsi" w:hAnsiTheme="majorHAnsi" w:cs="Times New Roman"/>
        </w:rPr>
        <w:t>ion of the rights of women; 4) R</w:t>
      </w:r>
      <w:r w:rsidRPr="001222F4">
        <w:rPr>
          <w:rFonts w:asciiTheme="majorHAnsi" w:hAnsiTheme="majorHAnsi" w:cs="Times New Roman"/>
        </w:rPr>
        <w:t>ef</w:t>
      </w:r>
      <w:r w:rsidR="00517287" w:rsidRPr="001222F4">
        <w:rPr>
          <w:rFonts w:asciiTheme="majorHAnsi" w:hAnsiTheme="majorHAnsi" w:cs="Times New Roman"/>
        </w:rPr>
        <w:t>orm of the security sector; 5) R</w:t>
      </w:r>
      <w:r w:rsidRPr="001222F4">
        <w:rPr>
          <w:rFonts w:asciiTheme="majorHAnsi" w:hAnsiTheme="majorHAnsi" w:cs="Times New Roman"/>
        </w:rPr>
        <w:t>egional and</w:t>
      </w:r>
      <w:r w:rsidR="00517287" w:rsidRPr="001222F4">
        <w:rPr>
          <w:rFonts w:asciiTheme="majorHAnsi" w:hAnsiTheme="majorHAnsi" w:cs="Times New Roman"/>
        </w:rPr>
        <w:t xml:space="preserve"> international cooperation; 6) Research and studies; and 7) M</w:t>
      </w:r>
      <w:r w:rsidRPr="001222F4">
        <w:rPr>
          <w:rFonts w:asciiTheme="majorHAnsi" w:hAnsiTheme="majorHAnsi" w:cs="Times New Roman"/>
        </w:rPr>
        <w:t>onitoring and evaluation.</w:t>
      </w:r>
      <w:r w:rsidRPr="001222F4">
        <w:rPr>
          <w:rStyle w:val="FootnoteReference"/>
          <w:rFonts w:asciiTheme="majorHAnsi" w:hAnsiTheme="majorHAnsi" w:cs="‡∞ˆø◊WÁ"/>
          <w:lang w:val="en-US"/>
        </w:rPr>
        <w:footnoteReference w:id="131"/>
      </w:r>
      <w:r w:rsidR="00493812" w:rsidRPr="001222F4">
        <w:rPr>
          <w:rFonts w:asciiTheme="majorHAnsi" w:hAnsiTheme="majorHAnsi" w:cs="Times New Roman"/>
        </w:rPr>
        <w:t xml:space="preserve"> The NAP’s implementation is </w:t>
      </w:r>
      <w:r w:rsidR="00167157" w:rsidRPr="001222F4">
        <w:rPr>
          <w:rFonts w:asciiTheme="majorHAnsi" w:hAnsiTheme="majorHAnsi" w:cs="Times New Roman"/>
        </w:rPr>
        <w:t>designated to</w:t>
      </w:r>
      <w:r w:rsidR="00493812" w:rsidRPr="001222F4">
        <w:rPr>
          <w:rFonts w:asciiTheme="majorHAnsi" w:hAnsiTheme="majorHAnsi" w:cs="Times New Roman"/>
        </w:rPr>
        <w:t xml:space="preserve"> </w:t>
      </w:r>
      <w:r w:rsidR="007F2A73" w:rsidRPr="001222F4">
        <w:rPr>
          <w:rFonts w:asciiTheme="majorHAnsi" w:eastAsia="Times New Roman" w:hAnsiTheme="majorHAnsi" w:cs="Times New Roman"/>
          <w:color w:val="222222"/>
          <w:shd w:val="clear" w:color="auto" w:fill="FFFFFF"/>
        </w:rPr>
        <w:t>Steering C</w:t>
      </w:r>
      <w:r w:rsidRPr="001222F4">
        <w:rPr>
          <w:rFonts w:asciiTheme="majorHAnsi" w:eastAsia="Times New Roman" w:hAnsiTheme="majorHAnsi" w:cs="Times New Roman"/>
          <w:color w:val="222222"/>
          <w:shd w:val="clear" w:color="auto" w:fill="FFFFFF"/>
        </w:rPr>
        <w:t xml:space="preserve">ommittees at three levels </w:t>
      </w:r>
      <w:r w:rsidR="001E6F6C" w:rsidRPr="001222F4">
        <w:rPr>
          <w:rFonts w:asciiTheme="majorHAnsi" w:hAnsiTheme="majorHAnsi" w:cs="Times New Roman"/>
        </w:rPr>
        <w:t xml:space="preserve">– </w:t>
      </w:r>
      <w:r w:rsidRPr="001222F4">
        <w:rPr>
          <w:rFonts w:asciiTheme="majorHAnsi" w:eastAsia="Times New Roman" w:hAnsiTheme="majorHAnsi" w:cs="Times New Roman"/>
          <w:color w:val="222222"/>
          <w:shd w:val="clear" w:color="auto" w:fill="FFFFFF"/>
        </w:rPr>
        <w:t>national, provincial and local</w:t>
      </w:r>
      <w:r w:rsidR="001E6F6C" w:rsidRPr="001222F4">
        <w:rPr>
          <w:rFonts w:asciiTheme="majorHAnsi" w:eastAsia="Times New Roman" w:hAnsiTheme="majorHAnsi" w:cs="Times New Roman"/>
          <w:color w:val="222222"/>
          <w:shd w:val="clear" w:color="auto" w:fill="FFFFFF"/>
        </w:rPr>
        <w:t>, e</w:t>
      </w:r>
      <w:r w:rsidRPr="001222F4">
        <w:rPr>
          <w:rFonts w:asciiTheme="majorHAnsi" w:eastAsia="Times New Roman" w:hAnsiTheme="majorHAnsi" w:cs="Times New Roman"/>
          <w:color w:val="222222"/>
          <w:shd w:val="clear" w:color="auto" w:fill="FFFFFF"/>
        </w:rPr>
        <w:t>ach responsible for a different aspect of implement</w:t>
      </w:r>
      <w:r w:rsidR="00493812" w:rsidRPr="001222F4">
        <w:rPr>
          <w:rFonts w:asciiTheme="majorHAnsi" w:eastAsia="Times New Roman" w:hAnsiTheme="majorHAnsi" w:cs="Times New Roman"/>
          <w:color w:val="222222"/>
          <w:shd w:val="clear" w:color="auto" w:fill="FFFFFF"/>
        </w:rPr>
        <w:t>ing the NAP</w:t>
      </w:r>
      <w:r w:rsidRPr="001222F4">
        <w:rPr>
          <w:rFonts w:asciiTheme="majorHAnsi" w:eastAsia="Times New Roman" w:hAnsiTheme="majorHAnsi" w:cs="Times New Roman"/>
          <w:color w:val="222222"/>
          <w:shd w:val="clear" w:color="auto" w:fill="FFFFFF"/>
        </w:rPr>
        <w:t>. The</w:t>
      </w:r>
      <w:r w:rsidR="001E6F6C" w:rsidRPr="001222F4">
        <w:rPr>
          <w:rFonts w:asciiTheme="majorHAnsi" w:eastAsia="Times New Roman" w:hAnsiTheme="majorHAnsi" w:cs="Times New Roman"/>
          <w:color w:val="222222"/>
          <w:shd w:val="clear" w:color="auto" w:fill="FFFFFF"/>
        </w:rPr>
        <w:t xml:space="preserve"> three-tiered</w:t>
      </w:r>
      <w:r w:rsidRPr="001222F4">
        <w:rPr>
          <w:rFonts w:asciiTheme="majorHAnsi" w:eastAsia="Times New Roman" w:hAnsiTheme="majorHAnsi" w:cs="Times New Roman"/>
          <w:color w:val="222222"/>
          <w:shd w:val="clear" w:color="auto" w:fill="FFFFFF"/>
        </w:rPr>
        <w:t xml:space="preserve"> </w:t>
      </w:r>
      <w:r w:rsidR="00517287" w:rsidRPr="001222F4">
        <w:rPr>
          <w:rFonts w:asciiTheme="majorHAnsi" w:eastAsia="Times New Roman" w:hAnsiTheme="majorHAnsi" w:cs="Times New Roman"/>
          <w:color w:val="222222"/>
          <w:shd w:val="clear" w:color="auto" w:fill="FFFFFF"/>
        </w:rPr>
        <w:t>Steering C</w:t>
      </w:r>
      <w:r w:rsidR="001E6F6C" w:rsidRPr="001222F4">
        <w:rPr>
          <w:rFonts w:asciiTheme="majorHAnsi" w:eastAsia="Times New Roman" w:hAnsiTheme="majorHAnsi" w:cs="Times New Roman"/>
          <w:color w:val="222222"/>
          <w:shd w:val="clear" w:color="auto" w:fill="FFFFFF"/>
        </w:rPr>
        <w:t xml:space="preserve">ommittee structure </w:t>
      </w:r>
      <w:r w:rsidRPr="001222F4">
        <w:rPr>
          <w:rFonts w:asciiTheme="majorHAnsi" w:eastAsia="Times New Roman" w:hAnsiTheme="majorHAnsi" w:cs="Times New Roman"/>
          <w:color w:val="222222"/>
          <w:shd w:val="clear" w:color="auto" w:fill="FFFFFF"/>
        </w:rPr>
        <w:t xml:space="preserve">is a unique feature of the </w:t>
      </w:r>
      <w:r w:rsidR="00517287" w:rsidRPr="001222F4">
        <w:rPr>
          <w:rFonts w:asciiTheme="majorHAnsi" w:eastAsia="Times New Roman" w:hAnsiTheme="majorHAnsi" w:cs="Times New Roman"/>
          <w:color w:val="222222"/>
          <w:shd w:val="clear" w:color="auto" w:fill="FFFFFF"/>
        </w:rPr>
        <w:t>NAP of the DRC</w:t>
      </w:r>
      <w:r w:rsidRPr="001222F4">
        <w:rPr>
          <w:rFonts w:asciiTheme="majorHAnsi" w:eastAsia="Times New Roman" w:hAnsiTheme="majorHAnsi" w:cs="Times New Roman"/>
          <w:color w:val="222222"/>
          <w:shd w:val="clear" w:color="auto" w:fill="FFFFFF"/>
        </w:rPr>
        <w:t>.</w:t>
      </w:r>
      <w:r w:rsidRPr="001222F4">
        <w:rPr>
          <w:rStyle w:val="FootnoteReference"/>
          <w:rFonts w:asciiTheme="majorHAnsi" w:eastAsia="Times New Roman" w:hAnsiTheme="majorHAnsi" w:cs="Times New Roman"/>
          <w:color w:val="222222"/>
          <w:shd w:val="clear" w:color="auto" w:fill="FFFFFF"/>
        </w:rPr>
        <w:footnoteReference w:id="132"/>
      </w:r>
      <w:r w:rsidRPr="001222F4">
        <w:rPr>
          <w:rFonts w:asciiTheme="majorHAnsi" w:eastAsia="Times New Roman" w:hAnsiTheme="majorHAnsi" w:cs="Times New Roman"/>
          <w:color w:val="222222"/>
          <w:shd w:val="clear" w:color="auto" w:fill="FFFFFF"/>
        </w:rPr>
        <w:t xml:space="preserve"> Periodic evaluations of the activities of each steering committee are envisaged during the</w:t>
      </w:r>
      <w:r w:rsidR="001E6F6C" w:rsidRPr="001222F4">
        <w:rPr>
          <w:rFonts w:asciiTheme="majorHAnsi" w:eastAsia="Times New Roman" w:hAnsiTheme="majorHAnsi" w:cs="Times New Roman"/>
          <w:color w:val="222222"/>
          <w:shd w:val="clear" w:color="auto" w:fill="FFFFFF"/>
        </w:rPr>
        <w:t xml:space="preserve"> central Government’s</w:t>
      </w:r>
      <w:r w:rsidRPr="001222F4">
        <w:rPr>
          <w:rFonts w:asciiTheme="majorHAnsi" w:eastAsia="Times New Roman" w:hAnsiTheme="majorHAnsi" w:cs="Times New Roman"/>
          <w:color w:val="222222"/>
          <w:shd w:val="clear" w:color="auto" w:fill="FFFFFF"/>
        </w:rPr>
        <w:t xml:space="preserve"> biennial overall assessment of implementation of the NAP. </w:t>
      </w:r>
      <w:r w:rsidRPr="001222F4">
        <w:rPr>
          <w:rFonts w:asciiTheme="majorHAnsi" w:hAnsiTheme="majorHAnsi" w:cs="Arial"/>
          <w:b/>
          <w:lang w:val="en-US"/>
        </w:rPr>
        <w:t xml:space="preserve"> </w:t>
      </w:r>
    </w:p>
    <w:p w14:paraId="6BF41BDC" w14:textId="77777777" w:rsidR="005C68CA" w:rsidRPr="001222F4" w:rsidRDefault="005C68CA" w:rsidP="005C68CA">
      <w:pPr>
        <w:jc w:val="both"/>
        <w:rPr>
          <w:rFonts w:asciiTheme="majorHAnsi" w:hAnsiTheme="majorHAnsi" w:cs="Arial"/>
          <w:lang w:val="en-US"/>
        </w:rPr>
      </w:pPr>
    </w:p>
    <w:p w14:paraId="0EDDC7BA" w14:textId="76E66677" w:rsidR="005C68CA" w:rsidRPr="001222F4" w:rsidRDefault="005C68CA" w:rsidP="007F364C">
      <w:pPr>
        <w:pStyle w:val="ListParagraph"/>
        <w:numPr>
          <w:ilvl w:val="0"/>
          <w:numId w:val="15"/>
        </w:numPr>
        <w:jc w:val="both"/>
        <w:rPr>
          <w:rFonts w:asciiTheme="majorHAnsi" w:hAnsiTheme="majorHAnsi" w:cs="Arial"/>
          <w:b/>
          <w:color w:val="1F497D" w:themeColor="text2"/>
          <w:lang w:val="en-US"/>
        </w:rPr>
      </w:pPr>
      <w:r w:rsidRPr="001222F4">
        <w:rPr>
          <w:rFonts w:asciiTheme="majorHAnsi" w:hAnsiTheme="majorHAnsi" w:cs="Arial"/>
          <w:b/>
          <w:color w:val="1F497D" w:themeColor="text2"/>
          <w:lang w:val="en-US"/>
        </w:rPr>
        <w:t xml:space="preserve">Implementation </w:t>
      </w:r>
      <w:r w:rsidR="000F530A" w:rsidRPr="001222F4">
        <w:rPr>
          <w:rFonts w:asciiTheme="majorHAnsi" w:hAnsiTheme="majorHAnsi" w:cs="Arial"/>
          <w:b/>
          <w:color w:val="1F497D" w:themeColor="text2"/>
          <w:lang w:val="en-US"/>
        </w:rPr>
        <w:t xml:space="preserve">of the NAP </w:t>
      </w:r>
      <w:r w:rsidRPr="001222F4">
        <w:rPr>
          <w:rFonts w:asciiTheme="majorHAnsi" w:hAnsiTheme="majorHAnsi" w:cs="Arial"/>
          <w:b/>
          <w:color w:val="1F497D" w:themeColor="text2"/>
          <w:lang w:val="en-US"/>
        </w:rPr>
        <w:t>by the Government, Development Agencies and Civil Society</w:t>
      </w:r>
    </w:p>
    <w:p w14:paraId="6D43E756" w14:textId="77777777" w:rsidR="005C68CA" w:rsidRPr="001222F4" w:rsidRDefault="005C68CA" w:rsidP="005C68CA">
      <w:pPr>
        <w:jc w:val="both"/>
        <w:rPr>
          <w:rFonts w:asciiTheme="majorHAnsi" w:hAnsiTheme="majorHAnsi" w:cs="Arial"/>
          <w:b/>
          <w:lang w:val="en-US"/>
        </w:rPr>
      </w:pPr>
    </w:p>
    <w:p w14:paraId="610EB3FE" w14:textId="467F26CA" w:rsidR="005C68CA" w:rsidRPr="001222F4" w:rsidRDefault="005C68CA" w:rsidP="005C68CA">
      <w:pPr>
        <w:jc w:val="both"/>
        <w:rPr>
          <w:rFonts w:asciiTheme="majorHAnsi" w:hAnsiTheme="majorHAnsi" w:cs="Times New Roman"/>
          <w:b/>
          <w:color w:val="1F497D" w:themeColor="text2"/>
          <w:u w:val="single"/>
        </w:rPr>
      </w:pPr>
      <w:r w:rsidRPr="001222F4">
        <w:rPr>
          <w:rFonts w:asciiTheme="majorHAnsi" w:hAnsiTheme="majorHAnsi" w:cs="Times New Roman"/>
          <w:b/>
          <w:color w:val="1F497D" w:themeColor="text2"/>
          <w:u w:val="single"/>
        </w:rPr>
        <w:t xml:space="preserve">Government </w:t>
      </w:r>
    </w:p>
    <w:p w14:paraId="0C1C0AE4" w14:textId="77777777" w:rsidR="005C68CA" w:rsidRPr="001222F4" w:rsidRDefault="005C68CA" w:rsidP="005C68CA">
      <w:pPr>
        <w:jc w:val="both"/>
        <w:rPr>
          <w:rFonts w:asciiTheme="majorHAnsi" w:hAnsiTheme="majorHAnsi" w:cs="Times New Roman"/>
          <w:b/>
        </w:rPr>
      </w:pPr>
    </w:p>
    <w:p w14:paraId="0A45DFE3" w14:textId="68621277" w:rsidR="00AE5A75" w:rsidRPr="001222F4" w:rsidRDefault="00F41315" w:rsidP="00B05609">
      <w:pPr>
        <w:spacing w:line="360" w:lineRule="auto"/>
        <w:jc w:val="both"/>
        <w:rPr>
          <w:rFonts w:asciiTheme="majorHAnsi" w:hAnsiTheme="majorHAnsi" w:cs="Scala Offc"/>
          <w:color w:val="000000"/>
        </w:rPr>
      </w:pPr>
      <w:r w:rsidRPr="001222F4">
        <w:rPr>
          <w:rFonts w:asciiTheme="majorHAnsi" w:hAnsiTheme="majorHAnsi" w:cs="Times New Roman"/>
        </w:rPr>
        <w:t xml:space="preserve">The Government’s </w:t>
      </w:r>
      <w:r w:rsidR="00517287" w:rsidRPr="001222F4">
        <w:rPr>
          <w:rFonts w:asciiTheme="majorHAnsi" w:hAnsiTheme="majorHAnsi" w:cs="Times New Roman"/>
        </w:rPr>
        <w:t xml:space="preserve">progress on implementing the </w:t>
      </w:r>
      <w:r w:rsidRPr="001222F4">
        <w:rPr>
          <w:rFonts w:asciiTheme="majorHAnsi" w:hAnsiTheme="majorHAnsi" w:cs="Times New Roman"/>
        </w:rPr>
        <w:t xml:space="preserve">NAP and </w:t>
      </w:r>
      <w:r w:rsidR="00517287" w:rsidRPr="001222F4">
        <w:rPr>
          <w:rFonts w:asciiTheme="majorHAnsi" w:hAnsiTheme="majorHAnsi" w:cs="Times New Roman"/>
        </w:rPr>
        <w:t>its</w:t>
      </w:r>
      <w:r w:rsidR="005C68CA" w:rsidRPr="001222F4">
        <w:rPr>
          <w:rFonts w:asciiTheme="majorHAnsi" w:hAnsiTheme="majorHAnsi" w:cs="Times New Roman"/>
        </w:rPr>
        <w:t xml:space="preserve"> National Strategy to Eliminate Gender-Based Violence</w:t>
      </w:r>
      <w:r w:rsidR="005B34C3" w:rsidRPr="001222F4">
        <w:rPr>
          <w:rFonts w:asciiTheme="majorHAnsi" w:hAnsiTheme="majorHAnsi" w:cs="Times New Roman"/>
        </w:rPr>
        <w:t xml:space="preserve"> (National Strategy)</w:t>
      </w:r>
      <w:r w:rsidR="002826E5" w:rsidRPr="001222F4">
        <w:rPr>
          <w:rFonts w:asciiTheme="majorHAnsi" w:hAnsiTheme="majorHAnsi" w:cs="Times New Roman"/>
        </w:rPr>
        <w:t xml:space="preserve"> must be considered </w:t>
      </w:r>
      <w:r w:rsidR="00D82934" w:rsidRPr="001222F4">
        <w:rPr>
          <w:rFonts w:asciiTheme="majorHAnsi" w:hAnsiTheme="majorHAnsi" w:cs="Times New Roman"/>
        </w:rPr>
        <w:t>in the context of</w:t>
      </w:r>
      <w:r w:rsidR="002826E5" w:rsidRPr="001222F4">
        <w:rPr>
          <w:rFonts w:asciiTheme="majorHAnsi" w:hAnsiTheme="majorHAnsi" w:cs="Times New Roman"/>
        </w:rPr>
        <w:t xml:space="preserve"> </w:t>
      </w:r>
      <w:r w:rsidR="00D82934" w:rsidRPr="001222F4">
        <w:rPr>
          <w:rFonts w:asciiTheme="majorHAnsi" w:hAnsiTheme="majorHAnsi" w:cs="Times New Roman"/>
        </w:rPr>
        <w:t xml:space="preserve">the </w:t>
      </w:r>
      <w:r w:rsidR="00367518" w:rsidRPr="001222F4">
        <w:rPr>
          <w:rFonts w:asciiTheme="majorHAnsi" w:hAnsiTheme="majorHAnsi" w:cs="Times New Roman"/>
        </w:rPr>
        <w:t>persistently high rate</w:t>
      </w:r>
      <w:r w:rsidR="00D82934" w:rsidRPr="001222F4">
        <w:rPr>
          <w:rFonts w:asciiTheme="majorHAnsi" w:hAnsiTheme="majorHAnsi" w:cs="Times New Roman"/>
        </w:rPr>
        <w:t xml:space="preserve"> of</w:t>
      </w:r>
      <w:r w:rsidR="004A73A6" w:rsidRPr="001222F4">
        <w:rPr>
          <w:rFonts w:asciiTheme="majorHAnsi" w:hAnsiTheme="majorHAnsi" w:cs="Times New Roman"/>
        </w:rPr>
        <w:t xml:space="preserve"> </w:t>
      </w:r>
      <w:r w:rsidR="004A73A6" w:rsidRPr="001222F4">
        <w:rPr>
          <w:rFonts w:asciiTheme="majorHAnsi" w:hAnsiTheme="majorHAnsi" w:cs="Times New Roman"/>
          <w:b/>
          <w:color w:val="4F81BD" w:themeColor="accent1"/>
        </w:rPr>
        <w:t>sexual and gender-</w:t>
      </w:r>
      <w:r w:rsidR="005C68CA" w:rsidRPr="001222F4">
        <w:rPr>
          <w:rFonts w:asciiTheme="majorHAnsi" w:hAnsiTheme="majorHAnsi" w:cs="Times New Roman"/>
          <w:b/>
          <w:color w:val="4F81BD" w:themeColor="accent1"/>
        </w:rPr>
        <w:t>based violence</w:t>
      </w:r>
      <w:r w:rsidR="00AE5A75" w:rsidRPr="001222F4">
        <w:rPr>
          <w:rFonts w:asciiTheme="majorHAnsi" w:hAnsiTheme="majorHAnsi" w:cs="Times New Roman"/>
        </w:rPr>
        <w:t xml:space="preserve"> (SGBV) as well as the</w:t>
      </w:r>
      <w:r w:rsidR="00AE5A75" w:rsidRPr="001222F4">
        <w:rPr>
          <w:rFonts w:asciiTheme="majorHAnsi" w:hAnsiTheme="majorHAnsi" w:cs="Times New Roman"/>
          <w:color w:val="4F81BD" w:themeColor="accent1"/>
        </w:rPr>
        <w:t xml:space="preserve"> </w:t>
      </w:r>
      <w:r w:rsidR="00AE5A75" w:rsidRPr="001222F4">
        <w:rPr>
          <w:rFonts w:asciiTheme="majorHAnsi" w:hAnsiTheme="majorHAnsi" w:cs="Times New Roman"/>
          <w:b/>
          <w:color w:val="4F81BD" w:themeColor="accent1"/>
        </w:rPr>
        <w:t>low level of women’s political participation</w:t>
      </w:r>
      <w:r w:rsidR="00AE5A75" w:rsidRPr="001222F4">
        <w:rPr>
          <w:rFonts w:asciiTheme="majorHAnsi" w:hAnsiTheme="majorHAnsi" w:cs="Times New Roman"/>
        </w:rPr>
        <w:t xml:space="preserve"> in </w:t>
      </w:r>
      <w:r w:rsidR="00AE5A75" w:rsidRPr="001222F4">
        <w:rPr>
          <w:rFonts w:asciiTheme="majorHAnsi" w:hAnsiTheme="majorHAnsi" w:cs="Times New Roman"/>
          <w:b/>
          <w:color w:val="4F81BD" w:themeColor="accent1"/>
        </w:rPr>
        <w:t>public life and peace processes</w:t>
      </w:r>
      <w:r w:rsidR="00AE5A75" w:rsidRPr="001222F4">
        <w:rPr>
          <w:rFonts w:asciiTheme="majorHAnsi" w:hAnsiTheme="majorHAnsi" w:cs="Times New Roman"/>
          <w:b/>
        </w:rPr>
        <w:t xml:space="preserve"> </w:t>
      </w:r>
      <w:r w:rsidR="00AE5A75" w:rsidRPr="001222F4">
        <w:rPr>
          <w:rFonts w:asciiTheme="majorHAnsi" w:hAnsiTheme="majorHAnsi" w:cs="Times New Roman"/>
        </w:rPr>
        <w:t>in the DRC.</w:t>
      </w:r>
      <w:r w:rsidR="002826E5" w:rsidRPr="001222F4">
        <w:rPr>
          <w:rFonts w:asciiTheme="majorHAnsi" w:hAnsiTheme="majorHAnsi" w:cs="Times New Roman"/>
        </w:rPr>
        <w:t xml:space="preserve"> </w:t>
      </w:r>
    </w:p>
    <w:p w14:paraId="127BFA63" w14:textId="77777777" w:rsidR="00AE5A75" w:rsidRPr="001222F4" w:rsidRDefault="00AE5A75" w:rsidP="005C68CA">
      <w:pPr>
        <w:jc w:val="both"/>
        <w:rPr>
          <w:rFonts w:asciiTheme="majorHAnsi" w:hAnsiTheme="majorHAnsi" w:cs="Times New Roman"/>
        </w:rPr>
      </w:pPr>
    </w:p>
    <w:p w14:paraId="5AB3F567" w14:textId="75C83E5C" w:rsidR="00E43E93" w:rsidRPr="001222F4" w:rsidRDefault="00E43E93" w:rsidP="00B05609">
      <w:pPr>
        <w:spacing w:line="360" w:lineRule="auto"/>
        <w:jc w:val="both"/>
        <w:rPr>
          <w:rFonts w:asciiTheme="majorHAnsi" w:hAnsiTheme="majorHAnsi" w:cs="Times New Roman"/>
        </w:rPr>
      </w:pPr>
      <w:r w:rsidRPr="001222F4">
        <w:rPr>
          <w:rFonts w:asciiTheme="majorHAnsi" w:hAnsiTheme="majorHAnsi" w:cs="Times New Roman"/>
        </w:rPr>
        <w:t>Since the NAP was adopted, t</w:t>
      </w:r>
      <w:r w:rsidR="00AE5A75" w:rsidRPr="001222F4">
        <w:rPr>
          <w:rFonts w:asciiTheme="majorHAnsi" w:hAnsiTheme="majorHAnsi" w:cs="Times New Roman"/>
        </w:rPr>
        <w:t xml:space="preserve">he </w:t>
      </w:r>
      <w:r w:rsidR="00AE5A75" w:rsidRPr="001222F4">
        <w:rPr>
          <w:rFonts w:asciiTheme="majorHAnsi" w:hAnsiTheme="majorHAnsi" w:cs="Times New Roman"/>
          <w:b/>
          <w:color w:val="4F81BD" w:themeColor="accent1"/>
        </w:rPr>
        <w:t>rate of SGBV</w:t>
      </w:r>
      <w:r w:rsidR="00AE5A75" w:rsidRPr="001222F4">
        <w:rPr>
          <w:rFonts w:asciiTheme="majorHAnsi" w:hAnsiTheme="majorHAnsi" w:cs="Times New Roman"/>
        </w:rPr>
        <w:t xml:space="preserve"> in the DRC </w:t>
      </w:r>
      <w:r w:rsidR="00D82934" w:rsidRPr="001222F4">
        <w:rPr>
          <w:rFonts w:asciiTheme="majorHAnsi" w:hAnsiTheme="majorHAnsi" w:cs="Times New Roman"/>
        </w:rPr>
        <w:t>r</w:t>
      </w:r>
      <w:r w:rsidR="005C68CA" w:rsidRPr="001222F4">
        <w:rPr>
          <w:rFonts w:asciiTheme="majorHAnsi" w:hAnsiTheme="majorHAnsi" w:cs="Times New Roman"/>
        </w:rPr>
        <w:t>emains one of the highest in the world.</w:t>
      </w:r>
      <w:r w:rsidR="005C68CA" w:rsidRPr="001222F4">
        <w:rPr>
          <w:rStyle w:val="FootnoteReference"/>
          <w:rFonts w:asciiTheme="majorHAnsi" w:hAnsiTheme="majorHAnsi" w:cs="Times New Roman"/>
        </w:rPr>
        <w:footnoteReference w:id="133"/>
      </w:r>
      <w:r w:rsidR="005C68CA" w:rsidRPr="001222F4">
        <w:rPr>
          <w:rFonts w:asciiTheme="majorHAnsi" w:hAnsiTheme="majorHAnsi" w:cs="Times New Roman"/>
        </w:rPr>
        <w:t xml:space="preserve"> </w:t>
      </w:r>
      <w:r w:rsidR="0020207B" w:rsidRPr="001222F4">
        <w:rPr>
          <w:rFonts w:asciiTheme="majorHAnsi" w:hAnsiTheme="majorHAnsi" w:cs="Scala Offc"/>
          <w:color w:val="000000"/>
        </w:rPr>
        <w:t xml:space="preserve">Preventing and eliminating conflict-related SGBV </w:t>
      </w:r>
      <w:r w:rsidR="00517287" w:rsidRPr="001222F4">
        <w:rPr>
          <w:rFonts w:asciiTheme="majorHAnsi" w:hAnsiTheme="majorHAnsi" w:cs="Scala Offc"/>
          <w:color w:val="000000"/>
        </w:rPr>
        <w:t>is hampered by the DRC G</w:t>
      </w:r>
      <w:r w:rsidR="0020207B" w:rsidRPr="001222F4">
        <w:rPr>
          <w:rFonts w:asciiTheme="majorHAnsi" w:hAnsiTheme="majorHAnsi" w:cs="Scala Offc"/>
          <w:color w:val="000000"/>
        </w:rPr>
        <w:t xml:space="preserve">overnment’s denial that a </w:t>
      </w:r>
      <w:r w:rsidR="0020207B" w:rsidRPr="001222F4">
        <w:rPr>
          <w:rFonts w:asciiTheme="majorHAnsi" w:hAnsiTheme="majorHAnsi" w:cs="Scala Offc"/>
          <w:color w:val="000000"/>
        </w:rPr>
        <w:lastRenderedPageBreak/>
        <w:t>conflict exists and insistence that the country is at peace, with no more conflict-related SGBV.</w:t>
      </w:r>
      <w:r w:rsidR="0020207B" w:rsidRPr="001222F4">
        <w:rPr>
          <w:rStyle w:val="FootnoteReference"/>
          <w:rFonts w:asciiTheme="majorHAnsi" w:hAnsiTheme="majorHAnsi" w:cs="Scala Offc"/>
          <w:color w:val="000000"/>
        </w:rPr>
        <w:footnoteReference w:id="134"/>
      </w:r>
      <w:r w:rsidR="0020207B" w:rsidRPr="001222F4">
        <w:rPr>
          <w:rFonts w:asciiTheme="majorHAnsi" w:hAnsiTheme="majorHAnsi" w:cs="Scala Offc"/>
          <w:color w:val="000000"/>
        </w:rPr>
        <w:t xml:space="preserve"> This seems to be an effort to </w:t>
      </w:r>
      <w:r w:rsidRPr="001222F4">
        <w:rPr>
          <w:rFonts w:asciiTheme="majorHAnsi" w:hAnsiTheme="majorHAnsi" w:cs="Scala Offc"/>
          <w:color w:val="000000"/>
        </w:rPr>
        <w:t>erase</w:t>
      </w:r>
      <w:r w:rsidR="0020207B" w:rsidRPr="001222F4">
        <w:rPr>
          <w:rFonts w:asciiTheme="majorHAnsi" w:hAnsiTheme="majorHAnsi" w:cs="Scala Offc"/>
          <w:color w:val="000000"/>
        </w:rPr>
        <w:t xml:space="preserve"> the perception </w:t>
      </w:r>
      <w:r w:rsidR="00517287" w:rsidRPr="001222F4">
        <w:rPr>
          <w:rFonts w:asciiTheme="majorHAnsi" w:hAnsiTheme="majorHAnsi" w:cs="Scala Offc"/>
          <w:color w:val="000000"/>
        </w:rPr>
        <w:t>o</w:t>
      </w:r>
      <w:r w:rsidRPr="001222F4">
        <w:rPr>
          <w:rFonts w:asciiTheme="majorHAnsi" w:hAnsiTheme="majorHAnsi" w:cs="Scala Offc"/>
          <w:color w:val="000000"/>
        </w:rPr>
        <w:t>f</w:t>
      </w:r>
      <w:r w:rsidR="0020207B" w:rsidRPr="001222F4">
        <w:rPr>
          <w:rFonts w:asciiTheme="majorHAnsi" w:hAnsiTheme="majorHAnsi" w:cs="Scala Offc"/>
          <w:color w:val="000000"/>
        </w:rPr>
        <w:t xml:space="preserve"> the DRC </w:t>
      </w:r>
      <w:r w:rsidRPr="001222F4">
        <w:rPr>
          <w:rFonts w:asciiTheme="majorHAnsi" w:hAnsiTheme="majorHAnsi" w:cs="Scala Offc"/>
          <w:color w:val="000000"/>
        </w:rPr>
        <w:t>as the world’s “</w:t>
      </w:r>
      <w:r w:rsidR="0020207B" w:rsidRPr="001222F4">
        <w:rPr>
          <w:rFonts w:asciiTheme="majorHAnsi" w:hAnsiTheme="majorHAnsi" w:cs="Scala Offc"/>
          <w:color w:val="000000"/>
        </w:rPr>
        <w:t>rape capital”.</w:t>
      </w:r>
      <w:r w:rsidR="0020207B" w:rsidRPr="001222F4">
        <w:rPr>
          <w:rStyle w:val="FootnoteReference"/>
          <w:rFonts w:asciiTheme="majorHAnsi" w:hAnsiTheme="majorHAnsi" w:cs="Scala Offc"/>
          <w:color w:val="000000"/>
        </w:rPr>
        <w:footnoteReference w:id="135"/>
      </w:r>
      <w:r w:rsidR="0020207B" w:rsidRPr="001222F4">
        <w:rPr>
          <w:rFonts w:asciiTheme="majorHAnsi" w:hAnsiTheme="majorHAnsi" w:cs="Scala Offc"/>
          <w:color w:val="000000"/>
        </w:rPr>
        <w:t xml:space="preserve"> </w:t>
      </w:r>
    </w:p>
    <w:p w14:paraId="07901E6F" w14:textId="77777777" w:rsidR="00E43E93" w:rsidRPr="001222F4" w:rsidRDefault="00E43E93" w:rsidP="005C68CA">
      <w:pPr>
        <w:jc w:val="both"/>
        <w:rPr>
          <w:rFonts w:asciiTheme="majorHAnsi" w:hAnsiTheme="majorHAnsi" w:cs="Times New Roman"/>
        </w:rPr>
      </w:pPr>
    </w:p>
    <w:p w14:paraId="2ADA8AB8" w14:textId="3EEC3D60" w:rsidR="005C68CA" w:rsidRPr="001222F4" w:rsidRDefault="00E43E93" w:rsidP="004D0432">
      <w:pPr>
        <w:spacing w:line="360" w:lineRule="auto"/>
        <w:jc w:val="both"/>
        <w:rPr>
          <w:rFonts w:asciiTheme="majorHAnsi" w:hAnsiTheme="majorHAnsi" w:cs="Scala Offc"/>
          <w:color w:val="000000"/>
        </w:rPr>
      </w:pPr>
      <w:r w:rsidRPr="001222F4">
        <w:rPr>
          <w:rFonts w:asciiTheme="majorHAnsi" w:hAnsiTheme="majorHAnsi" w:cs="Times New Roman"/>
        </w:rPr>
        <w:t>R</w:t>
      </w:r>
      <w:r w:rsidR="005C68CA" w:rsidRPr="001222F4">
        <w:rPr>
          <w:rFonts w:asciiTheme="majorHAnsi" w:hAnsiTheme="majorHAnsi" w:cs="Times New Roman"/>
        </w:rPr>
        <w:t>eported instances of rape re</w:t>
      </w:r>
      <w:r w:rsidR="00CC72DB" w:rsidRPr="001222F4">
        <w:rPr>
          <w:rFonts w:asciiTheme="majorHAnsi" w:hAnsiTheme="majorHAnsi" w:cs="Times New Roman"/>
        </w:rPr>
        <w:t xml:space="preserve">main alarmingly high. The reported </w:t>
      </w:r>
      <w:r w:rsidR="00D82934" w:rsidRPr="001222F4">
        <w:rPr>
          <w:rFonts w:asciiTheme="majorHAnsi" w:hAnsiTheme="majorHAnsi" w:cs="Times New Roman"/>
        </w:rPr>
        <w:t>SGBV</w:t>
      </w:r>
      <w:r w:rsidR="005B34C3" w:rsidRPr="001222F4">
        <w:rPr>
          <w:rFonts w:asciiTheme="majorHAnsi" w:hAnsiTheme="majorHAnsi" w:cs="Times New Roman"/>
        </w:rPr>
        <w:t xml:space="preserve"> rate</w:t>
      </w:r>
      <w:r w:rsidR="005C68CA" w:rsidRPr="001222F4">
        <w:rPr>
          <w:rFonts w:asciiTheme="majorHAnsi" w:hAnsiTheme="majorHAnsi" w:cs="Times New Roman"/>
        </w:rPr>
        <w:t xml:space="preserve"> in the eastern regions are well above the</w:t>
      </w:r>
      <w:r w:rsidR="0000477C" w:rsidRPr="001222F4">
        <w:rPr>
          <w:rFonts w:asciiTheme="majorHAnsi" w:hAnsiTheme="majorHAnsi" w:cs="Times New Roman"/>
        </w:rPr>
        <w:t xml:space="preserve"> average in the</w:t>
      </w:r>
      <w:r w:rsidR="005C68CA" w:rsidRPr="001222F4">
        <w:rPr>
          <w:rFonts w:asciiTheme="majorHAnsi" w:hAnsiTheme="majorHAnsi" w:cs="Times New Roman"/>
        </w:rPr>
        <w:t xml:space="preserve"> rest of the country with 13,963 instances reported in North Kivu </w:t>
      </w:r>
      <w:r w:rsidR="0000477C" w:rsidRPr="001222F4">
        <w:rPr>
          <w:rFonts w:asciiTheme="majorHAnsi" w:hAnsiTheme="majorHAnsi" w:cs="Times New Roman"/>
        </w:rPr>
        <w:t>in</w:t>
      </w:r>
      <w:r w:rsidR="005C68CA" w:rsidRPr="001222F4">
        <w:rPr>
          <w:rFonts w:asciiTheme="majorHAnsi" w:hAnsiTheme="majorHAnsi" w:cs="Times New Roman"/>
        </w:rPr>
        <w:t xml:space="preserve"> 2011-2013, and 8,945 reported in South Kivu in the same time.</w:t>
      </w:r>
      <w:r w:rsidR="005C68CA" w:rsidRPr="001222F4">
        <w:rPr>
          <w:rStyle w:val="FootnoteReference"/>
          <w:rFonts w:asciiTheme="majorHAnsi" w:hAnsiTheme="majorHAnsi" w:cs="Times New Roman"/>
        </w:rPr>
        <w:footnoteReference w:id="136"/>
      </w:r>
      <w:r w:rsidR="005C68CA" w:rsidRPr="001222F4">
        <w:rPr>
          <w:rFonts w:asciiTheme="majorHAnsi" w:hAnsiTheme="majorHAnsi" w:cs="Times New Roman"/>
        </w:rPr>
        <w:t xml:space="preserve"> </w:t>
      </w:r>
      <w:r w:rsidR="005C68CA" w:rsidRPr="001222F4">
        <w:rPr>
          <w:rFonts w:asciiTheme="majorHAnsi" w:hAnsiTheme="majorHAnsi"/>
        </w:rPr>
        <w:t xml:space="preserve">During a period of increased conflict in 2013, </w:t>
      </w:r>
      <w:r w:rsidR="005B34C3" w:rsidRPr="001222F4">
        <w:rPr>
          <w:rFonts w:asciiTheme="majorHAnsi" w:hAnsiTheme="majorHAnsi"/>
        </w:rPr>
        <w:t>reported</w:t>
      </w:r>
      <w:r w:rsidR="00D82934" w:rsidRPr="001222F4">
        <w:rPr>
          <w:rFonts w:asciiTheme="majorHAnsi" w:hAnsiTheme="majorHAnsi"/>
        </w:rPr>
        <w:t xml:space="preserve"> </w:t>
      </w:r>
      <w:r w:rsidR="005C68CA" w:rsidRPr="001222F4">
        <w:rPr>
          <w:rFonts w:asciiTheme="majorHAnsi" w:hAnsiTheme="majorHAnsi"/>
        </w:rPr>
        <w:t xml:space="preserve">rapes and instances of </w:t>
      </w:r>
      <w:r w:rsidR="0000477C" w:rsidRPr="001222F4">
        <w:rPr>
          <w:rFonts w:asciiTheme="majorHAnsi" w:hAnsiTheme="majorHAnsi"/>
        </w:rPr>
        <w:t>SGBV</w:t>
      </w:r>
      <w:r w:rsidR="005C68CA" w:rsidRPr="001222F4">
        <w:rPr>
          <w:rFonts w:asciiTheme="majorHAnsi" w:hAnsiTheme="majorHAnsi"/>
        </w:rPr>
        <w:t xml:space="preserve"> </w:t>
      </w:r>
      <w:r w:rsidR="00D82934" w:rsidRPr="001222F4">
        <w:rPr>
          <w:rFonts w:asciiTheme="majorHAnsi" w:hAnsiTheme="majorHAnsi"/>
        </w:rPr>
        <w:t>rose,</w:t>
      </w:r>
      <w:r w:rsidR="005C68CA" w:rsidRPr="001222F4">
        <w:rPr>
          <w:rFonts w:asciiTheme="majorHAnsi" w:hAnsiTheme="majorHAnsi"/>
        </w:rPr>
        <w:t xml:space="preserve"> with 705 cases reported in North Kivu province alone in the first </w:t>
      </w:r>
      <w:r w:rsidR="0000477C" w:rsidRPr="001222F4">
        <w:rPr>
          <w:rFonts w:asciiTheme="majorHAnsi" w:hAnsiTheme="majorHAnsi"/>
        </w:rPr>
        <w:t xml:space="preserve">six </w:t>
      </w:r>
      <w:r w:rsidR="005C68CA" w:rsidRPr="001222F4">
        <w:rPr>
          <w:rFonts w:asciiTheme="majorHAnsi" w:hAnsiTheme="majorHAnsi"/>
        </w:rPr>
        <w:t>months of 2013</w:t>
      </w:r>
      <w:r w:rsidR="00CC72DB" w:rsidRPr="001222F4">
        <w:rPr>
          <w:rFonts w:asciiTheme="majorHAnsi" w:hAnsiTheme="majorHAnsi"/>
        </w:rPr>
        <w:t xml:space="preserve">, 619 </w:t>
      </w:r>
      <w:r w:rsidR="003F055E" w:rsidRPr="001222F4">
        <w:rPr>
          <w:rFonts w:asciiTheme="majorHAnsi" w:hAnsiTheme="majorHAnsi"/>
        </w:rPr>
        <w:t xml:space="preserve">of which were </w:t>
      </w:r>
      <w:r w:rsidR="00CC72DB" w:rsidRPr="001222F4">
        <w:rPr>
          <w:rFonts w:asciiTheme="majorHAnsi" w:hAnsiTheme="majorHAnsi"/>
        </w:rPr>
        <w:t>reports of rape</w:t>
      </w:r>
      <w:r w:rsidR="005C68CA" w:rsidRPr="001222F4">
        <w:rPr>
          <w:rFonts w:asciiTheme="majorHAnsi" w:hAnsiTheme="majorHAnsi"/>
        </w:rPr>
        <w:t>.</w:t>
      </w:r>
      <w:r w:rsidR="005C68CA" w:rsidRPr="001222F4">
        <w:rPr>
          <w:rStyle w:val="FootnoteReference"/>
          <w:rFonts w:asciiTheme="majorHAnsi" w:hAnsiTheme="majorHAnsi"/>
        </w:rPr>
        <w:footnoteReference w:id="137"/>
      </w:r>
      <w:r w:rsidR="005C68CA" w:rsidRPr="001222F4">
        <w:rPr>
          <w:rFonts w:asciiTheme="majorHAnsi" w:hAnsiTheme="majorHAnsi"/>
        </w:rPr>
        <w:t xml:space="preserve"> </w:t>
      </w:r>
      <w:r w:rsidR="00CC72DB" w:rsidRPr="001222F4">
        <w:rPr>
          <w:rFonts w:asciiTheme="majorHAnsi" w:hAnsiTheme="majorHAnsi"/>
        </w:rPr>
        <w:t>A</w:t>
      </w:r>
      <w:r w:rsidR="003A629D" w:rsidRPr="001222F4">
        <w:rPr>
          <w:rFonts w:asciiTheme="majorHAnsi" w:hAnsiTheme="majorHAnsi"/>
        </w:rPr>
        <w:t>rmed men were the</w:t>
      </w:r>
      <w:r w:rsidR="00CC72DB" w:rsidRPr="001222F4">
        <w:rPr>
          <w:rFonts w:asciiTheme="majorHAnsi" w:hAnsiTheme="majorHAnsi"/>
        </w:rPr>
        <w:t xml:space="preserve"> perpetrators in </w:t>
      </w:r>
      <w:r w:rsidR="00C179A2" w:rsidRPr="001222F4">
        <w:rPr>
          <w:rFonts w:asciiTheme="majorHAnsi" w:hAnsiTheme="majorHAnsi"/>
        </w:rPr>
        <w:t>more than half of these reports</w:t>
      </w:r>
      <w:r w:rsidR="005C68CA" w:rsidRPr="001222F4">
        <w:rPr>
          <w:rFonts w:asciiTheme="majorHAnsi" w:hAnsiTheme="majorHAnsi"/>
        </w:rPr>
        <w:t>.</w:t>
      </w:r>
      <w:r w:rsidR="005C68CA" w:rsidRPr="001222F4">
        <w:rPr>
          <w:rStyle w:val="FootnoteReference"/>
          <w:rFonts w:asciiTheme="majorHAnsi" w:hAnsiTheme="majorHAnsi"/>
        </w:rPr>
        <w:footnoteReference w:id="138"/>
      </w:r>
      <w:r w:rsidR="005C68CA" w:rsidRPr="001222F4">
        <w:rPr>
          <w:rFonts w:asciiTheme="majorHAnsi" w:hAnsiTheme="majorHAnsi"/>
        </w:rPr>
        <w:t xml:space="preserve">  </w:t>
      </w:r>
    </w:p>
    <w:p w14:paraId="1D089009" w14:textId="77777777" w:rsidR="005C68CA" w:rsidRPr="001222F4" w:rsidRDefault="005C68CA" w:rsidP="005C68CA">
      <w:pPr>
        <w:jc w:val="both"/>
        <w:rPr>
          <w:rFonts w:asciiTheme="majorHAnsi" w:hAnsiTheme="majorHAnsi"/>
        </w:rPr>
      </w:pPr>
    </w:p>
    <w:p w14:paraId="6C8A5EEA" w14:textId="108A63BB" w:rsidR="005C68CA" w:rsidRPr="001222F4" w:rsidRDefault="00A21C98" w:rsidP="004D0432">
      <w:pPr>
        <w:spacing w:line="360" w:lineRule="auto"/>
        <w:jc w:val="both"/>
        <w:rPr>
          <w:rFonts w:asciiTheme="majorHAnsi" w:hAnsiTheme="majorHAnsi" w:cs="Times New Roman"/>
        </w:rPr>
      </w:pPr>
      <w:r w:rsidRPr="001222F4">
        <w:rPr>
          <w:rFonts w:asciiTheme="majorHAnsi" w:hAnsiTheme="majorHAnsi"/>
        </w:rPr>
        <w:t xml:space="preserve">Despite the alarmingly high instances </w:t>
      </w:r>
      <w:r w:rsidR="005C68CA" w:rsidRPr="001222F4">
        <w:rPr>
          <w:rFonts w:asciiTheme="majorHAnsi" w:hAnsiTheme="majorHAnsi"/>
        </w:rPr>
        <w:t xml:space="preserve">of </w:t>
      </w:r>
      <w:r w:rsidR="00427695" w:rsidRPr="001222F4">
        <w:rPr>
          <w:rFonts w:asciiTheme="majorHAnsi" w:hAnsiTheme="majorHAnsi"/>
        </w:rPr>
        <w:t>SGBV</w:t>
      </w:r>
      <w:r w:rsidR="005C68CA" w:rsidRPr="001222F4">
        <w:rPr>
          <w:rFonts w:asciiTheme="majorHAnsi" w:hAnsiTheme="majorHAnsi"/>
        </w:rPr>
        <w:t xml:space="preserve">, </w:t>
      </w:r>
      <w:r w:rsidR="005C68CA" w:rsidRPr="001222F4">
        <w:rPr>
          <w:rFonts w:asciiTheme="majorHAnsi" w:hAnsiTheme="majorHAnsi"/>
          <w:b/>
        </w:rPr>
        <w:t>impunity is rife</w:t>
      </w:r>
      <w:r w:rsidR="00CC72DB" w:rsidRPr="001222F4">
        <w:rPr>
          <w:rFonts w:asciiTheme="majorHAnsi" w:hAnsiTheme="majorHAnsi"/>
        </w:rPr>
        <w:t xml:space="preserve"> in the DRC</w:t>
      </w:r>
      <w:r w:rsidRPr="001222F4">
        <w:rPr>
          <w:rFonts w:asciiTheme="majorHAnsi" w:hAnsiTheme="majorHAnsi"/>
        </w:rPr>
        <w:t xml:space="preserve">. </w:t>
      </w:r>
      <w:r w:rsidR="005C68CA" w:rsidRPr="001222F4">
        <w:rPr>
          <w:rFonts w:asciiTheme="majorHAnsi" w:hAnsiTheme="majorHAnsi"/>
        </w:rPr>
        <w:t xml:space="preserve"> </w:t>
      </w:r>
      <w:r w:rsidRPr="001222F4">
        <w:rPr>
          <w:rFonts w:asciiTheme="majorHAnsi" w:hAnsiTheme="majorHAnsi"/>
        </w:rPr>
        <w:t>Few</w:t>
      </w:r>
      <w:r w:rsidR="005C68CA" w:rsidRPr="001222F4">
        <w:rPr>
          <w:rFonts w:asciiTheme="majorHAnsi" w:hAnsiTheme="majorHAnsi"/>
        </w:rPr>
        <w:t xml:space="preserve"> cases are prosecuted due to “insufficient resources, lack of confidence in the justice system, fear of subjecting themselves to humiliation and possible reprisal, or family pressure.”</w:t>
      </w:r>
      <w:r w:rsidR="005C68CA" w:rsidRPr="001222F4">
        <w:rPr>
          <w:rStyle w:val="FootnoteReference"/>
          <w:rFonts w:asciiTheme="majorHAnsi" w:hAnsiTheme="majorHAnsi"/>
        </w:rPr>
        <w:footnoteReference w:id="139"/>
      </w:r>
      <w:r w:rsidR="005C68CA" w:rsidRPr="001222F4">
        <w:rPr>
          <w:rFonts w:asciiTheme="majorHAnsi" w:hAnsiTheme="majorHAnsi"/>
        </w:rPr>
        <w:t xml:space="preserve"> </w:t>
      </w:r>
      <w:r w:rsidR="005C68CA" w:rsidRPr="001222F4">
        <w:rPr>
          <w:rFonts w:asciiTheme="majorHAnsi" w:hAnsiTheme="majorHAnsi" w:cs="Times New Roman"/>
        </w:rPr>
        <w:t xml:space="preserve">Nationally, only 11% of all reported cases of </w:t>
      </w:r>
      <w:r w:rsidR="00427695" w:rsidRPr="001222F4">
        <w:rPr>
          <w:rFonts w:asciiTheme="majorHAnsi" w:hAnsiTheme="majorHAnsi" w:cs="Times New Roman"/>
        </w:rPr>
        <w:t>SGBV</w:t>
      </w:r>
      <w:r w:rsidR="005C68CA" w:rsidRPr="001222F4">
        <w:rPr>
          <w:rFonts w:asciiTheme="majorHAnsi" w:hAnsiTheme="majorHAnsi" w:cs="Times New Roman"/>
        </w:rPr>
        <w:t xml:space="preserve"> were investigated, and </w:t>
      </w:r>
      <w:r w:rsidR="002F44E4" w:rsidRPr="001222F4">
        <w:rPr>
          <w:rFonts w:asciiTheme="majorHAnsi" w:hAnsiTheme="majorHAnsi" w:cs="Times New Roman"/>
        </w:rPr>
        <w:t>the rate of penalization for rapes, rapes of minor</w:t>
      </w:r>
      <w:r w:rsidR="001F02FE" w:rsidRPr="001222F4">
        <w:rPr>
          <w:rFonts w:asciiTheme="majorHAnsi" w:hAnsiTheme="majorHAnsi" w:cs="Times New Roman"/>
        </w:rPr>
        <w:t>s</w:t>
      </w:r>
      <w:r w:rsidR="002F44E4" w:rsidRPr="001222F4">
        <w:rPr>
          <w:rFonts w:asciiTheme="majorHAnsi" w:hAnsiTheme="majorHAnsi" w:cs="Times New Roman"/>
        </w:rPr>
        <w:t>, aggression and other forms of SGBV was only 5.6% in 2012</w:t>
      </w:r>
      <w:r w:rsidR="005C68CA" w:rsidRPr="001222F4">
        <w:rPr>
          <w:rFonts w:asciiTheme="majorHAnsi" w:hAnsiTheme="majorHAnsi" w:cs="Times New Roman"/>
        </w:rPr>
        <w:t>.</w:t>
      </w:r>
      <w:r w:rsidR="005C68CA" w:rsidRPr="001222F4">
        <w:rPr>
          <w:rStyle w:val="FootnoteReference"/>
          <w:rFonts w:asciiTheme="majorHAnsi" w:hAnsiTheme="majorHAnsi" w:cs="Times New Roman"/>
        </w:rPr>
        <w:footnoteReference w:id="140"/>
      </w:r>
      <w:r w:rsidR="005C68CA" w:rsidRPr="001222F4">
        <w:rPr>
          <w:rFonts w:asciiTheme="majorHAnsi" w:hAnsiTheme="majorHAnsi" w:cs="Times New Roman"/>
        </w:rPr>
        <w:t xml:space="preserve"> Since</w:t>
      </w:r>
      <w:r w:rsidR="00427695" w:rsidRPr="001222F4">
        <w:rPr>
          <w:rFonts w:asciiTheme="majorHAnsi" w:hAnsiTheme="majorHAnsi" w:cs="Times New Roman"/>
        </w:rPr>
        <w:t xml:space="preserve"> the </w:t>
      </w:r>
      <w:r w:rsidR="0020207B" w:rsidRPr="001222F4">
        <w:rPr>
          <w:rFonts w:asciiTheme="majorHAnsi" w:hAnsiTheme="majorHAnsi" w:cs="Times New Roman"/>
        </w:rPr>
        <w:t>Security Council adopted</w:t>
      </w:r>
      <w:r w:rsidR="005C68CA" w:rsidRPr="001222F4">
        <w:rPr>
          <w:rFonts w:asciiTheme="majorHAnsi" w:hAnsiTheme="majorHAnsi" w:cs="Times New Roman"/>
        </w:rPr>
        <w:t xml:space="preserve"> </w:t>
      </w:r>
      <w:r w:rsidR="00427695" w:rsidRPr="001222F4">
        <w:rPr>
          <w:rFonts w:asciiTheme="majorHAnsi" w:hAnsiTheme="majorHAnsi" w:cs="Times New Roman"/>
        </w:rPr>
        <w:t>SCR</w:t>
      </w:r>
      <w:r w:rsidR="005C68CA" w:rsidRPr="001222F4">
        <w:rPr>
          <w:rFonts w:asciiTheme="majorHAnsi" w:hAnsiTheme="majorHAnsi" w:cs="Times New Roman"/>
        </w:rPr>
        <w:t xml:space="preserve"> 188</w:t>
      </w:r>
      <w:r w:rsidR="00531259" w:rsidRPr="001222F4">
        <w:rPr>
          <w:rFonts w:asciiTheme="majorHAnsi" w:hAnsiTheme="majorHAnsi" w:cs="Times New Roman"/>
        </w:rPr>
        <w:t>8</w:t>
      </w:r>
      <w:r w:rsidR="005C68CA" w:rsidRPr="001222F4">
        <w:rPr>
          <w:rFonts w:asciiTheme="majorHAnsi" w:hAnsiTheme="majorHAnsi" w:cs="Times New Roman"/>
        </w:rPr>
        <w:t xml:space="preserve"> in 2009, </w:t>
      </w:r>
      <w:r w:rsidR="00427695" w:rsidRPr="001222F4">
        <w:rPr>
          <w:rFonts w:asciiTheme="majorHAnsi" w:hAnsiTheme="majorHAnsi" w:cs="Times New Roman"/>
        </w:rPr>
        <w:t>which has a particular focus on accountability for rape and SGBV, some</w:t>
      </w:r>
      <w:r w:rsidR="005C68CA" w:rsidRPr="001222F4">
        <w:rPr>
          <w:rFonts w:asciiTheme="majorHAnsi" w:hAnsiTheme="majorHAnsi" w:cs="Times New Roman"/>
        </w:rPr>
        <w:t xml:space="preserve"> military commanders in North and South Kivu have been convicted for mass rapes and human rights breaches, including sexual violence.</w:t>
      </w:r>
      <w:r w:rsidR="005C68CA" w:rsidRPr="001222F4">
        <w:rPr>
          <w:rStyle w:val="FootnoteReference"/>
          <w:rFonts w:asciiTheme="majorHAnsi" w:hAnsiTheme="majorHAnsi" w:cs="Times New Roman"/>
        </w:rPr>
        <w:footnoteReference w:id="141"/>
      </w:r>
      <w:r w:rsidR="005C68CA" w:rsidRPr="001222F4">
        <w:rPr>
          <w:rFonts w:asciiTheme="majorHAnsi" w:hAnsiTheme="majorHAnsi" w:cs="Times New Roman"/>
        </w:rPr>
        <w:t xml:space="preserve"> </w:t>
      </w:r>
      <w:r w:rsidRPr="001222F4">
        <w:rPr>
          <w:rFonts w:asciiTheme="majorHAnsi" w:hAnsiTheme="majorHAnsi" w:cs="Times New Roman"/>
        </w:rPr>
        <w:t>However, impunity</w:t>
      </w:r>
      <w:r w:rsidR="005C68CA" w:rsidRPr="001222F4">
        <w:rPr>
          <w:rFonts w:asciiTheme="majorHAnsi" w:hAnsiTheme="majorHAnsi" w:cs="Times New Roman"/>
        </w:rPr>
        <w:t xml:space="preserve"> </w:t>
      </w:r>
      <w:r w:rsidRPr="001222F4">
        <w:rPr>
          <w:rFonts w:asciiTheme="majorHAnsi" w:hAnsiTheme="majorHAnsi" w:cs="Times New Roman"/>
        </w:rPr>
        <w:t>remains a serious problem that continues to contribute</w:t>
      </w:r>
      <w:r w:rsidR="005C68CA" w:rsidRPr="001222F4">
        <w:rPr>
          <w:rFonts w:asciiTheme="majorHAnsi" w:hAnsiTheme="majorHAnsi" w:cs="Times New Roman"/>
        </w:rPr>
        <w:t xml:space="preserve"> to the perpetuation of </w:t>
      </w:r>
      <w:r w:rsidRPr="001222F4">
        <w:rPr>
          <w:rFonts w:asciiTheme="majorHAnsi" w:hAnsiTheme="majorHAnsi" w:cs="Times New Roman"/>
        </w:rPr>
        <w:t xml:space="preserve">rape and </w:t>
      </w:r>
      <w:r w:rsidR="00427695" w:rsidRPr="001222F4">
        <w:rPr>
          <w:rFonts w:asciiTheme="majorHAnsi" w:hAnsiTheme="majorHAnsi" w:cs="Times New Roman"/>
        </w:rPr>
        <w:t>SGBV</w:t>
      </w:r>
      <w:r w:rsidR="005C68CA" w:rsidRPr="001222F4">
        <w:rPr>
          <w:rFonts w:asciiTheme="majorHAnsi" w:hAnsiTheme="majorHAnsi" w:cs="Times New Roman"/>
        </w:rPr>
        <w:t xml:space="preserve"> against women</w:t>
      </w:r>
      <w:r w:rsidR="00427695" w:rsidRPr="001222F4">
        <w:rPr>
          <w:rFonts w:asciiTheme="majorHAnsi" w:hAnsiTheme="majorHAnsi" w:cs="Times New Roman"/>
        </w:rPr>
        <w:t xml:space="preserve"> and girls</w:t>
      </w:r>
      <w:r w:rsidR="005C68CA" w:rsidRPr="001222F4">
        <w:rPr>
          <w:rFonts w:asciiTheme="majorHAnsi" w:hAnsiTheme="majorHAnsi" w:cs="Times New Roman"/>
        </w:rPr>
        <w:t>.</w:t>
      </w:r>
      <w:r w:rsidR="005C68CA" w:rsidRPr="001222F4">
        <w:rPr>
          <w:rStyle w:val="FootnoteReference"/>
          <w:rFonts w:asciiTheme="majorHAnsi" w:hAnsiTheme="majorHAnsi" w:cs="Times New Roman"/>
        </w:rPr>
        <w:footnoteReference w:id="142"/>
      </w:r>
    </w:p>
    <w:p w14:paraId="6DC3AD78" w14:textId="77777777" w:rsidR="00367518" w:rsidRPr="001222F4" w:rsidRDefault="00367518" w:rsidP="00367518">
      <w:pPr>
        <w:jc w:val="both"/>
        <w:rPr>
          <w:rFonts w:asciiTheme="majorHAnsi" w:hAnsiTheme="majorHAnsi" w:cs="Scala Offc"/>
          <w:color w:val="000000"/>
        </w:rPr>
      </w:pPr>
    </w:p>
    <w:p w14:paraId="1CBE6019" w14:textId="178D7250" w:rsidR="00310376" w:rsidRPr="001222F4" w:rsidRDefault="00310376" w:rsidP="004D0432">
      <w:pPr>
        <w:widowControl w:val="0"/>
        <w:autoSpaceDE w:val="0"/>
        <w:autoSpaceDN w:val="0"/>
        <w:adjustRightInd w:val="0"/>
        <w:spacing w:line="360" w:lineRule="auto"/>
        <w:jc w:val="both"/>
        <w:rPr>
          <w:rFonts w:asciiTheme="majorHAnsi" w:hAnsiTheme="majorHAnsi" w:cs="Times New Roman"/>
          <w:lang w:val="en-US"/>
        </w:rPr>
      </w:pPr>
      <w:r w:rsidRPr="001222F4">
        <w:rPr>
          <w:rFonts w:asciiTheme="majorHAnsi" w:hAnsiTheme="majorHAnsi" w:cs="Times New Roman"/>
        </w:rPr>
        <w:t>W</w:t>
      </w:r>
      <w:r w:rsidR="00367518" w:rsidRPr="001222F4">
        <w:rPr>
          <w:rFonts w:asciiTheme="majorHAnsi" w:hAnsiTheme="majorHAnsi" w:cs="Times New Roman"/>
        </w:rPr>
        <w:t xml:space="preserve">omen’s </w:t>
      </w:r>
      <w:r w:rsidR="00367518" w:rsidRPr="001222F4">
        <w:rPr>
          <w:rFonts w:asciiTheme="majorHAnsi" w:hAnsiTheme="majorHAnsi" w:cs="Times New Roman"/>
          <w:b/>
          <w:color w:val="4F81BD" w:themeColor="accent1"/>
        </w:rPr>
        <w:t>political participation in public life</w:t>
      </w:r>
      <w:r w:rsidRPr="001222F4">
        <w:rPr>
          <w:rFonts w:asciiTheme="majorHAnsi" w:hAnsiTheme="majorHAnsi" w:cs="Times New Roman"/>
          <w:b/>
          <w:color w:val="4F81BD" w:themeColor="accent1"/>
        </w:rPr>
        <w:t xml:space="preserve"> and peace processes</w:t>
      </w:r>
      <w:r w:rsidR="00367518" w:rsidRPr="001222F4">
        <w:rPr>
          <w:rFonts w:asciiTheme="majorHAnsi" w:hAnsiTheme="majorHAnsi" w:cs="Times New Roman"/>
          <w:b/>
          <w:color w:val="4F81BD" w:themeColor="accent1"/>
        </w:rPr>
        <w:t xml:space="preserve"> </w:t>
      </w:r>
      <w:r w:rsidRPr="001222F4">
        <w:rPr>
          <w:rFonts w:asciiTheme="majorHAnsi" w:hAnsiTheme="majorHAnsi" w:cs="Times New Roman"/>
        </w:rPr>
        <w:t xml:space="preserve">in the DRC </w:t>
      </w:r>
      <w:r w:rsidR="00E43E93" w:rsidRPr="001222F4">
        <w:rPr>
          <w:rFonts w:asciiTheme="majorHAnsi" w:hAnsiTheme="majorHAnsi" w:cs="Times New Roman"/>
        </w:rPr>
        <w:t>remains low</w:t>
      </w:r>
      <w:r w:rsidRPr="001222F4">
        <w:rPr>
          <w:rFonts w:asciiTheme="majorHAnsi" w:hAnsiTheme="majorHAnsi" w:cs="Times New Roman"/>
        </w:rPr>
        <w:t xml:space="preserve">. </w:t>
      </w:r>
      <w:r w:rsidR="00367518" w:rsidRPr="001222F4">
        <w:rPr>
          <w:rFonts w:asciiTheme="majorHAnsi" w:hAnsiTheme="majorHAnsi" w:cs="Times New Roman"/>
        </w:rPr>
        <w:t xml:space="preserve"> </w:t>
      </w:r>
      <w:r w:rsidRPr="001222F4">
        <w:rPr>
          <w:rFonts w:asciiTheme="majorHAnsi" w:hAnsiTheme="majorHAnsi" w:cs="Times New Roman"/>
        </w:rPr>
        <w:t>The Global Network of Wo</w:t>
      </w:r>
      <w:r w:rsidR="00E43E93" w:rsidRPr="001222F4">
        <w:rPr>
          <w:rFonts w:asciiTheme="majorHAnsi" w:hAnsiTheme="majorHAnsi" w:cs="Times New Roman"/>
        </w:rPr>
        <w:t xml:space="preserve">men </w:t>
      </w:r>
      <w:r w:rsidR="001222F4">
        <w:rPr>
          <w:rFonts w:asciiTheme="majorHAnsi" w:hAnsiTheme="majorHAnsi" w:cs="Times New Roman"/>
        </w:rPr>
        <w:t>Peace</w:t>
      </w:r>
      <w:r w:rsidR="00517287" w:rsidRPr="001222F4">
        <w:rPr>
          <w:rFonts w:asciiTheme="majorHAnsi" w:hAnsiTheme="majorHAnsi" w:cs="Times New Roman"/>
        </w:rPr>
        <w:t>builders</w:t>
      </w:r>
      <w:r w:rsidR="00E43E93" w:rsidRPr="001222F4">
        <w:rPr>
          <w:rFonts w:asciiTheme="majorHAnsi" w:hAnsiTheme="majorHAnsi" w:cs="Times New Roman"/>
        </w:rPr>
        <w:t xml:space="preserve"> links </w:t>
      </w:r>
      <w:r w:rsidRPr="001222F4">
        <w:rPr>
          <w:rFonts w:asciiTheme="majorHAnsi" w:hAnsiTheme="majorHAnsi" w:cs="Times New Roman"/>
        </w:rPr>
        <w:t>women’s</w:t>
      </w:r>
      <w:r w:rsidR="00E43E93" w:rsidRPr="001222F4">
        <w:rPr>
          <w:rFonts w:asciiTheme="majorHAnsi" w:hAnsiTheme="majorHAnsi" w:cs="Times New Roman"/>
        </w:rPr>
        <w:t xml:space="preserve"> insufficient</w:t>
      </w:r>
      <w:r w:rsidRPr="001222F4">
        <w:rPr>
          <w:rFonts w:asciiTheme="majorHAnsi" w:hAnsiTheme="majorHAnsi" w:cs="Times New Roman"/>
        </w:rPr>
        <w:t xml:space="preserve"> political </w:t>
      </w:r>
      <w:r w:rsidR="00E43E93" w:rsidRPr="001222F4">
        <w:rPr>
          <w:rFonts w:asciiTheme="majorHAnsi" w:hAnsiTheme="majorHAnsi" w:cs="Times New Roman"/>
        </w:rPr>
        <w:t>participation</w:t>
      </w:r>
      <w:r w:rsidRPr="001222F4">
        <w:rPr>
          <w:rFonts w:asciiTheme="majorHAnsi" w:hAnsiTheme="majorHAnsi" w:cs="Times New Roman"/>
        </w:rPr>
        <w:t xml:space="preserve"> to a lack of political will by the government to include women, as well as female illiteracy, cultural burdens, and a “weak political culture of women candidates and voters</w:t>
      </w:r>
      <w:r w:rsidRPr="001222F4">
        <w:rPr>
          <w:rFonts w:asciiTheme="majorHAnsi" w:hAnsiTheme="majorHAnsi" w:cs="Times New Roman"/>
          <w:lang w:val="en-US"/>
        </w:rPr>
        <w:t>”.</w:t>
      </w:r>
      <w:r w:rsidRPr="001222F4">
        <w:rPr>
          <w:rStyle w:val="FootnoteReference"/>
          <w:rFonts w:asciiTheme="majorHAnsi" w:hAnsiTheme="majorHAnsi" w:cs="Times New Roman"/>
          <w:lang w:val="en-US"/>
        </w:rPr>
        <w:footnoteReference w:id="143"/>
      </w:r>
    </w:p>
    <w:p w14:paraId="14988C62" w14:textId="77777777" w:rsidR="00310376" w:rsidRPr="001222F4" w:rsidRDefault="00310376" w:rsidP="00367518">
      <w:pPr>
        <w:jc w:val="both"/>
        <w:rPr>
          <w:rFonts w:asciiTheme="majorHAnsi" w:hAnsiTheme="majorHAnsi" w:cs="Times New Roman"/>
        </w:rPr>
      </w:pPr>
    </w:p>
    <w:p w14:paraId="06E2C9A3" w14:textId="480EBE58" w:rsidR="00367518" w:rsidRPr="001222F4" w:rsidRDefault="00F41315" w:rsidP="004D0432">
      <w:pPr>
        <w:spacing w:line="360" w:lineRule="auto"/>
        <w:jc w:val="both"/>
        <w:rPr>
          <w:rFonts w:asciiTheme="majorHAnsi" w:hAnsiTheme="majorHAnsi" w:cs="Times New Roman"/>
        </w:rPr>
      </w:pPr>
      <w:r w:rsidRPr="001222F4">
        <w:rPr>
          <w:rFonts w:asciiTheme="majorHAnsi" w:hAnsiTheme="majorHAnsi" w:cs="Times New Roman"/>
        </w:rPr>
        <w:lastRenderedPageBreak/>
        <w:t xml:space="preserve">Women’s low </w:t>
      </w:r>
      <w:r w:rsidR="00B53EA1" w:rsidRPr="001222F4">
        <w:rPr>
          <w:rFonts w:asciiTheme="majorHAnsi" w:hAnsiTheme="majorHAnsi" w:cs="Times New Roman"/>
        </w:rPr>
        <w:t>level of engagement in politics</w:t>
      </w:r>
      <w:r w:rsidRPr="001222F4">
        <w:rPr>
          <w:rFonts w:asciiTheme="majorHAnsi" w:hAnsiTheme="majorHAnsi" w:cs="Times New Roman"/>
        </w:rPr>
        <w:t xml:space="preserve"> is evident in all aspects of public life in the DRC. </w:t>
      </w:r>
      <w:r w:rsidR="00367518" w:rsidRPr="001222F4">
        <w:rPr>
          <w:rFonts w:asciiTheme="majorHAnsi" w:hAnsiTheme="majorHAnsi" w:cs="Times New Roman"/>
        </w:rPr>
        <w:t>There is no quota for women in parliament.</w:t>
      </w:r>
      <w:r w:rsidR="00367518" w:rsidRPr="001222F4">
        <w:rPr>
          <w:rStyle w:val="FootnoteReference"/>
          <w:rFonts w:asciiTheme="majorHAnsi" w:hAnsiTheme="majorHAnsi" w:cs="Times New Roman"/>
        </w:rPr>
        <w:footnoteReference w:id="144"/>
      </w:r>
      <w:r w:rsidR="00367518" w:rsidRPr="001222F4">
        <w:rPr>
          <w:rFonts w:asciiTheme="majorHAnsi" w:hAnsiTheme="majorHAnsi" w:cs="Times New Roman"/>
        </w:rPr>
        <w:t xml:space="preserve"> Women </w:t>
      </w:r>
      <w:r w:rsidR="002F1AA6" w:rsidRPr="001222F4">
        <w:rPr>
          <w:rFonts w:asciiTheme="majorHAnsi" w:hAnsiTheme="majorHAnsi" w:cs="Times New Roman"/>
        </w:rPr>
        <w:t>represent 5.5% of the senate, 10.4% of the National Assembly and 14% of cabinet appointments</w:t>
      </w:r>
      <w:r w:rsidR="00367518" w:rsidRPr="001222F4">
        <w:rPr>
          <w:rFonts w:asciiTheme="majorHAnsi" w:hAnsiTheme="majorHAnsi" w:cs="Times New Roman"/>
        </w:rPr>
        <w:t>.</w:t>
      </w:r>
      <w:r w:rsidR="00367518" w:rsidRPr="001222F4">
        <w:rPr>
          <w:rStyle w:val="FootnoteReference"/>
          <w:rFonts w:asciiTheme="majorHAnsi" w:hAnsiTheme="majorHAnsi" w:cs="Times New Roman"/>
        </w:rPr>
        <w:footnoteReference w:id="145"/>
      </w:r>
      <w:r w:rsidR="00367518" w:rsidRPr="001222F4">
        <w:rPr>
          <w:rFonts w:asciiTheme="majorHAnsi" w:hAnsiTheme="majorHAnsi" w:cs="Times New Roman"/>
        </w:rPr>
        <w:t xml:space="preserve"> Gender representation is even lower at the provincial level, with </w:t>
      </w:r>
      <w:r w:rsidR="00437A38" w:rsidRPr="001222F4">
        <w:rPr>
          <w:rFonts w:asciiTheme="majorHAnsi" w:hAnsiTheme="majorHAnsi" w:cs="Times New Roman"/>
        </w:rPr>
        <w:t>9</w:t>
      </w:r>
      <w:r w:rsidR="00367518" w:rsidRPr="001222F4">
        <w:rPr>
          <w:rFonts w:asciiTheme="majorHAnsi" w:hAnsiTheme="majorHAnsi" w:cs="Times New Roman"/>
        </w:rPr>
        <w:t>% of parliamentarians being women (61 of 618 seats), and only 7 women in cabinet across all provinces covering the east of the country.</w:t>
      </w:r>
      <w:r w:rsidR="00367518" w:rsidRPr="001222F4">
        <w:rPr>
          <w:rStyle w:val="FootnoteReference"/>
          <w:rFonts w:asciiTheme="majorHAnsi" w:hAnsiTheme="majorHAnsi" w:cs="Times New Roman"/>
        </w:rPr>
        <w:footnoteReference w:id="146"/>
      </w:r>
      <w:r w:rsidR="00367518" w:rsidRPr="001222F4">
        <w:rPr>
          <w:rFonts w:asciiTheme="majorHAnsi" w:hAnsiTheme="majorHAnsi" w:cs="Times New Roman"/>
        </w:rPr>
        <w:t xml:space="preserve"> The country is taking steps to increasing participation, and the representation of women in appointed positions is higher than in elected positions.</w:t>
      </w:r>
      <w:r w:rsidR="00367518" w:rsidRPr="001222F4">
        <w:rPr>
          <w:rStyle w:val="FootnoteReference"/>
          <w:rFonts w:asciiTheme="majorHAnsi" w:hAnsiTheme="majorHAnsi" w:cs="Times New Roman"/>
        </w:rPr>
        <w:footnoteReference w:id="147"/>
      </w:r>
      <w:r w:rsidR="00367518" w:rsidRPr="001222F4">
        <w:rPr>
          <w:rFonts w:asciiTheme="majorHAnsi" w:hAnsiTheme="majorHAnsi" w:cs="Times New Roman"/>
        </w:rPr>
        <w:t xml:space="preserve"> Women’s involvement in the justice and security sector is better, but still low. The number of female judges and prosecutors, at all levels, increased in 2013 to </w:t>
      </w:r>
      <w:r w:rsidR="00437A38" w:rsidRPr="001222F4">
        <w:rPr>
          <w:rFonts w:asciiTheme="majorHAnsi" w:hAnsiTheme="majorHAnsi" w:cs="Times New Roman"/>
        </w:rPr>
        <w:t>20</w:t>
      </w:r>
      <w:r w:rsidR="00367518" w:rsidRPr="001222F4">
        <w:rPr>
          <w:rFonts w:asciiTheme="majorHAnsi" w:hAnsiTheme="majorHAnsi" w:cs="Times New Roman"/>
        </w:rPr>
        <w:t xml:space="preserve">% from </w:t>
      </w:r>
      <w:r w:rsidR="00437A38" w:rsidRPr="001222F4">
        <w:rPr>
          <w:rFonts w:asciiTheme="majorHAnsi" w:hAnsiTheme="majorHAnsi" w:cs="Times New Roman"/>
        </w:rPr>
        <w:t>17</w:t>
      </w:r>
      <w:r w:rsidR="00367518" w:rsidRPr="001222F4">
        <w:rPr>
          <w:rFonts w:asciiTheme="majorHAnsi" w:hAnsiTheme="majorHAnsi" w:cs="Times New Roman"/>
        </w:rPr>
        <w:t>% in 2012.</w:t>
      </w:r>
      <w:r w:rsidR="00367518" w:rsidRPr="001222F4">
        <w:rPr>
          <w:rStyle w:val="FootnoteReference"/>
          <w:rFonts w:asciiTheme="majorHAnsi" w:hAnsiTheme="majorHAnsi" w:cs="Times New Roman"/>
        </w:rPr>
        <w:footnoteReference w:id="148"/>
      </w:r>
      <w:r w:rsidR="00367518" w:rsidRPr="001222F4">
        <w:rPr>
          <w:rFonts w:asciiTheme="majorHAnsi" w:hAnsiTheme="majorHAnsi" w:cs="Times New Roman"/>
        </w:rPr>
        <w:t xml:space="preserve"> In policing, this percentage drops to 5.6%.</w:t>
      </w:r>
      <w:r w:rsidR="00367518" w:rsidRPr="001222F4">
        <w:rPr>
          <w:rStyle w:val="FootnoteReference"/>
          <w:rFonts w:asciiTheme="majorHAnsi" w:hAnsiTheme="majorHAnsi" w:cs="Times New Roman"/>
        </w:rPr>
        <w:footnoteReference w:id="149"/>
      </w:r>
      <w:r w:rsidR="00E43E93" w:rsidRPr="001222F4">
        <w:rPr>
          <w:rFonts w:asciiTheme="majorHAnsi" w:hAnsiTheme="majorHAnsi" w:cs="Times New Roman"/>
        </w:rPr>
        <w:t xml:space="preserve"> Military statistics are even lower, with women representing 2-3% of all levels of the military.</w:t>
      </w:r>
      <w:r w:rsidR="00E43E93" w:rsidRPr="001222F4">
        <w:rPr>
          <w:rStyle w:val="FootnoteReference"/>
          <w:rFonts w:asciiTheme="majorHAnsi" w:hAnsiTheme="majorHAnsi" w:cs="Times New Roman"/>
        </w:rPr>
        <w:footnoteReference w:id="150"/>
      </w:r>
      <w:r w:rsidR="00E43E93" w:rsidRPr="001222F4">
        <w:rPr>
          <w:rFonts w:asciiTheme="majorHAnsi" w:hAnsiTheme="majorHAnsi" w:cs="Times New Roman"/>
        </w:rPr>
        <w:t xml:space="preserve"> </w:t>
      </w:r>
    </w:p>
    <w:p w14:paraId="455E1B33" w14:textId="77777777" w:rsidR="00367518" w:rsidRPr="001222F4" w:rsidRDefault="00367518" w:rsidP="00367518">
      <w:pPr>
        <w:jc w:val="both"/>
        <w:rPr>
          <w:rFonts w:asciiTheme="majorHAnsi" w:hAnsiTheme="majorHAnsi" w:cs="Times New Roman"/>
        </w:rPr>
      </w:pPr>
    </w:p>
    <w:p w14:paraId="46465B14" w14:textId="2CAEF6EE" w:rsidR="00367518" w:rsidRPr="001222F4" w:rsidRDefault="00367518" w:rsidP="004D0432">
      <w:pPr>
        <w:spacing w:line="360" w:lineRule="auto"/>
        <w:jc w:val="both"/>
        <w:rPr>
          <w:rFonts w:asciiTheme="majorHAnsi" w:hAnsiTheme="majorHAnsi" w:cs="Times New Roman"/>
        </w:rPr>
      </w:pPr>
      <w:r w:rsidRPr="001222F4">
        <w:rPr>
          <w:rFonts w:asciiTheme="majorHAnsi" w:hAnsiTheme="majorHAnsi" w:cs="Times New Roman"/>
        </w:rPr>
        <w:t xml:space="preserve">Very few women have been involved in </w:t>
      </w:r>
      <w:r w:rsidRPr="001222F4">
        <w:rPr>
          <w:rFonts w:asciiTheme="majorHAnsi" w:hAnsiTheme="majorHAnsi" w:cs="Times New Roman"/>
          <w:b/>
          <w:color w:val="4F81BD" w:themeColor="accent1"/>
        </w:rPr>
        <w:t>peace negotiations</w:t>
      </w:r>
      <w:r w:rsidRPr="001222F4">
        <w:rPr>
          <w:rFonts w:asciiTheme="majorHAnsi" w:hAnsiTheme="majorHAnsi" w:cs="Times New Roman"/>
        </w:rPr>
        <w:t>. Most recently, no women were included in delegations during talks in Addis Ababa in February 2013, and during the Kampala Negotiations, only four women participated during all three rounds.</w:t>
      </w:r>
      <w:r w:rsidRPr="001222F4">
        <w:rPr>
          <w:rStyle w:val="FootnoteReference"/>
          <w:rFonts w:asciiTheme="majorHAnsi" w:hAnsiTheme="majorHAnsi" w:cs="Times New Roman"/>
        </w:rPr>
        <w:footnoteReference w:id="151"/>
      </w:r>
      <w:r w:rsidRPr="001222F4">
        <w:rPr>
          <w:rFonts w:asciiTheme="majorHAnsi" w:hAnsiTheme="majorHAnsi" w:cs="Times New Roman"/>
        </w:rPr>
        <w:t xml:space="preserve"> Despite their low numbers, female delegates played an important role in the Sun City negotiations to include gender equality and women’s rights in the final document.</w:t>
      </w:r>
      <w:r w:rsidRPr="001222F4">
        <w:rPr>
          <w:rStyle w:val="FootnoteReference"/>
          <w:rFonts w:asciiTheme="majorHAnsi" w:hAnsiTheme="majorHAnsi" w:cs="Times New Roman"/>
        </w:rPr>
        <w:footnoteReference w:id="152"/>
      </w:r>
      <w:r w:rsidRPr="001222F4">
        <w:rPr>
          <w:rFonts w:asciiTheme="majorHAnsi" w:hAnsiTheme="majorHAnsi" w:cs="Times New Roman"/>
        </w:rPr>
        <w:t xml:space="preserve"> </w:t>
      </w:r>
    </w:p>
    <w:p w14:paraId="3DBBBBC5" w14:textId="77777777" w:rsidR="00367518" w:rsidRPr="001222F4" w:rsidRDefault="00367518" w:rsidP="005C68CA">
      <w:pPr>
        <w:jc w:val="both"/>
        <w:rPr>
          <w:rFonts w:asciiTheme="majorHAnsi" w:hAnsiTheme="majorHAnsi" w:cs="Times New Roman"/>
          <w:color w:val="000000"/>
          <w:lang w:val="en-US"/>
        </w:rPr>
      </w:pPr>
    </w:p>
    <w:p w14:paraId="5FAF0D28" w14:textId="5D313750" w:rsidR="00AE5A75" w:rsidRPr="001222F4" w:rsidRDefault="005C68CA" w:rsidP="004D0432">
      <w:pPr>
        <w:spacing w:line="360" w:lineRule="auto"/>
        <w:jc w:val="both"/>
        <w:rPr>
          <w:rFonts w:asciiTheme="majorHAnsi" w:hAnsiTheme="majorHAnsi" w:cs="Times New Roman"/>
        </w:rPr>
      </w:pPr>
      <w:r w:rsidRPr="001222F4">
        <w:rPr>
          <w:rFonts w:asciiTheme="majorHAnsi" w:hAnsiTheme="majorHAnsi" w:cs="Times New Roman"/>
        </w:rPr>
        <w:t xml:space="preserve">The three levels of </w:t>
      </w:r>
      <w:r w:rsidR="003F5D03" w:rsidRPr="001222F4">
        <w:rPr>
          <w:rFonts w:asciiTheme="majorHAnsi" w:hAnsiTheme="majorHAnsi" w:cs="Times New Roman"/>
        </w:rPr>
        <w:t xml:space="preserve">the NAP’s </w:t>
      </w:r>
      <w:r w:rsidRPr="001222F4">
        <w:rPr>
          <w:rFonts w:asciiTheme="majorHAnsi" w:hAnsiTheme="majorHAnsi" w:cs="Times New Roman"/>
        </w:rPr>
        <w:t>Steering Committees</w:t>
      </w:r>
      <w:r w:rsidR="00F816E3" w:rsidRPr="001222F4">
        <w:rPr>
          <w:rFonts w:asciiTheme="majorHAnsi" w:hAnsiTheme="majorHAnsi" w:cs="Times New Roman"/>
        </w:rPr>
        <w:t xml:space="preserve"> </w:t>
      </w:r>
      <w:r w:rsidRPr="001222F4">
        <w:rPr>
          <w:rFonts w:asciiTheme="majorHAnsi" w:hAnsiTheme="majorHAnsi" w:cs="Times New Roman"/>
        </w:rPr>
        <w:t>do not appear to be operational. The National Steering Committee remained non-functioning until June 2013.</w:t>
      </w:r>
      <w:r w:rsidRPr="001222F4">
        <w:rPr>
          <w:rStyle w:val="FootnoteReference"/>
          <w:rFonts w:asciiTheme="majorHAnsi" w:hAnsiTheme="majorHAnsi" w:cs="Times New Roman"/>
        </w:rPr>
        <w:footnoteReference w:id="153"/>
      </w:r>
      <w:r w:rsidRPr="001222F4">
        <w:rPr>
          <w:rFonts w:asciiTheme="majorHAnsi" w:hAnsiTheme="majorHAnsi" w:cs="Times New Roman"/>
        </w:rPr>
        <w:t xml:space="preserve"> On 15 June 2013, the Minister for Gender, Family and Children issued a ministerial order regarding Steering Committees. The order reduced the number of civil society organisations involved in the National Steering Committee from 16% to 10%, and also established a Trust Fund.</w:t>
      </w:r>
      <w:r w:rsidRPr="001222F4">
        <w:rPr>
          <w:rStyle w:val="FootnoteReference"/>
          <w:rFonts w:asciiTheme="majorHAnsi" w:hAnsiTheme="majorHAnsi" w:cs="Times New Roman"/>
        </w:rPr>
        <w:footnoteReference w:id="154"/>
      </w:r>
      <w:r w:rsidRPr="001222F4">
        <w:rPr>
          <w:rFonts w:asciiTheme="majorHAnsi" w:hAnsiTheme="majorHAnsi" w:cs="Times New Roman"/>
        </w:rPr>
        <w:t xml:space="preserve"> The Trust Fund is now under the administration of UN Women.</w:t>
      </w:r>
      <w:r w:rsidRPr="001222F4">
        <w:rPr>
          <w:rStyle w:val="FootnoteReference"/>
          <w:rFonts w:asciiTheme="majorHAnsi" w:hAnsiTheme="majorHAnsi" w:cs="Times New Roman"/>
        </w:rPr>
        <w:footnoteReference w:id="155"/>
      </w:r>
      <w:r w:rsidRPr="001222F4">
        <w:rPr>
          <w:rFonts w:asciiTheme="majorHAnsi" w:hAnsiTheme="majorHAnsi" w:cs="Times New Roman"/>
        </w:rPr>
        <w:t xml:space="preserve"> The NAP made provision for biennial review of implementation but there does not appear to have been </w:t>
      </w:r>
      <w:r w:rsidR="003F5D03" w:rsidRPr="001222F4">
        <w:rPr>
          <w:rFonts w:asciiTheme="majorHAnsi" w:hAnsiTheme="majorHAnsi" w:cs="Times New Roman"/>
        </w:rPr>
        <w:t>such a review undertaken by the central g</w:t>
      </w:r>
      <w:r w:rsidRPr="001222F4">
        <w:rPr>
          <w:rFonts w:asciiTheme="majorHAnsi" w:hAnsiTheme="majorHAnsi" w:cs="Times New Roman"/>
        </w:rPr>
        <w:t>overnment to date.</w:t>
      </w:r>
      <w:r w:rsidR="00E43E93" w:rsidRPr="001222F4">
        <w:rPr>
          <w:rFonts w:asciiTheme="majorHAnsi" w:hAnsiTheme="majorHAnsi" w:cs="Times New Roman"/>
        </w:rPr>
        <w:t xml:space="preserve"> The reduction of civil society involvement</w:t>
      </w:r>
      <w:r w:rsidR="003F5D03" w:rsidRPr="001222F4">
        <w:rPr>
          <w:rFonts w:asciiTheme="majorHAnsi" w:hAnsiTheme="majorHAnsi" w:cs="Times New Roman"/>
        </w:rPr>
        <w:t xml:space="preserve"> in the ministerial order has</w:t>
      </w:r>
      <w:r w:rsidR="00E43E93" w:rsidRPr="001222F4">
        <w:rPr>
          <w:rFonts w:asciiTheme="majorHAnsi" w:hAnsiTheme="majorHAnsi" w:cs="Times New Roman"/>
        </w:rPr>
        <w:t xml:space="preserve"> also limited the possibility for women’s participation in implementing the NAP at the national level. </w:t>
      </w:r>
    </w:p>
    <w:p w14:paraId="7D361DC3" w14:textId="77777777" w:rsidR="00F41315" w:rsidRPr="001222F4" w:rsidRDefault="00F41315" w:rsidP="005C68CA">
      <w:pPr>
        <w:jc w:val="both"/>
        <w:rPr>
          <w:rFonts w:asciiTheme="majorHAnsi" w:hAnsiTheme="majorHAnsi" w:cs="Times New Roman"/>
        </w:rPr>
      </w:pPr>
    </w:p>
    <w:p w14:paraId="22BB5D70" w14:textId="2E4D8CEE" w:rsidR="00F41315" w:rsidRPr="001222F4" w:rsidRDefault="00F41315" w:rsidP="004D0432">
      <w:pPr>
        <w:spacing w:line="360" w:lineRule="auto"/>
        <w:jc w:val="both"/>
        <w:rPr>
          <w:rFonts w:asciiTheme="majorHAnsi" w:hAnsiTheme="majorHAnsi" w:cs="Times New Roman"/>
        </w:rPr>
      </w:pPr>
      <w:r w:rsidRPr="001222F4">
        <w:rPr>
          <w:rFonts w:asciiTheme="majorHAnsi" w:hAnsiTheme="majorHAnsi" w:cs="Times New Roman"/>
        </w:rPr>
        <w:lastRenderedPageBreak/>
        <w:t xml:space="preserve">The Government’s </w:t>
      </w:r>
      <w:r w:rsidRPr="001222F4">
        <w:rPr>
          <w:rFonts w:asciiTheme="majorHAnsi" w:hAnsiTheme="majorHAnsi" w:cs="Times New Roman"/>
          <w:b/>
          <w:color w:val="4F81BD" w:themeColor="accent1"/>
        </w:rPr>
        <w:t>obligations under the legal framework</w:t>
      </w:r>
      <w:r w:rsidRPr="001222F4">
        <w:rPr>
          <w:rFonts w:asciiTheme="majorHAnsi" w:hAnsiTheme="majorHAnsi" w:cs="Times New Roman"/>
        </w:rPr>
        <w:t xml:space="preserve">, while referenced in the text of the NAP, are insufficiently addressed in its </w:t>
      </w:r>
      <w:r w:rsidRPr="001222F4">
        <w:rPr>
          <w:rFonts w:asciiTheme="majorHAnsi" w:hAnsiTheme="majorHAnsi" w:cs="Times New Roman"/>
          <w:b/>
          <w:color w:val="4F81BD" w:themeColor="accent1"/>
        </w:rPr>
        <w:t>content</w:t>
      </w:r>
      <w:r w:rsidRPr="001222F4">
        <w:rPr>
          <w:rFonts w:asciiTheme="majorHAnsi" w:hAnsiTheme="majorHAnsi" w:cs="Times New Roman"/>
        </w:rPr>
        <w:t xml:space="preserve"> and </w:t>
      </w:r>
      <w:r w:rsidRPr="001222F4">
        <w:rPr>
          <w:rFonts w:asciiTheme="majorHAnsi" w:hAnsiTheme="majorHAnsi" w:cs="Times New Roman"/>
          <w:b/>
          <w:color w:val="4F81BD" w:themeColor="accent1"/>
        </w:rPr>
        <w:t>implementation</w:t>
      </w:r>
      <w:r w:rsidRPr="001222F4">
        <w:rPr>
          <w:rFonts w:asciiTheme="majorHAnsi" w:hAnsiTheme="majorHAnsi" w:cs="Times New Roman"/>
        </w:rPr>
        <w:t>.  The NAP appears</w:t>
      </w:r>
      <w:r w:rsidR="00517287" w:rsidRPr="001222F4">
        <w:rPr>
          <w:rFonts w:asciiTheme="majorHAnsi" w:hAnsiTheme="majorHAnsi" w:cs="Times New Roman"/>
        </w:rPr>
        <w:t xml:space="preserve"> to have been designed via a</w:t>
      </w:r>
      <w:r w:rsidRPr="001222F4">
        <w:rPr>
          <w:rFonts w:asciiTheme="majorHAnsi" w:hAnsiTheme="majorHAnsi" w:cs="Times New Roman"/>
        </w:rPr>
        <w:t xml:space="preserve"> participatory process that was led by the national women’s ministry. However this inclusive approach has not been followed through in the rest of the NAP process. This is evident in women’s low level of participation in implementing, monitoring and evaluating the NAP, as well as the lack of women’s inclusion more broadly in public life and peace processes. </w:t>
      </w:r>
    </w:p>
    <w:p w14:paraId="08FC6277" w14:textId="77777777" w:rsidR="00F41315" w:rsidRPr="001222F4" w:rsidRDefault="00F41315" w:rsidP="00F41315">
      <w:pPr>
        <w:jc w:val="both"/>
        <w:rPr>
          <w:rFonts w:asciiTheme="majorHAnsi" w:hAnsiTheme="majorHAnsi" w:cs="Arial"/>
          <w:b/>
          <w:lang w:val="en-US"/>
        </w:rPr>
      </w:pPr>
    </w:p>
    <w:p w14:paraId="555A1B5D" w14:textId="77777777" w:rsidR="00F41315" w:rsidRPr="001222F4" w:rsidRDefault="00F41315" w:rsidP="004D0432">
      <w:pPr>
        <w:spacing w:line="360" w:lineRule="auto"/>
        <w:jc w:val="both"/>
        <w:rPr>
          <w:rFonts w:asciiTheme="majorHAnsi" w:hAnsiTheme="majorHAnsi" w:cs="Times New Roman"/>
          <w:b/>
        </w:rPr>
      </w:pPr>
      <w:r w:rsidRPr="001222F4">
        <w:rPr>
          <w:rFonts w:asciiTheme="majorHAnsi" w:hAnsiTheme="majorHAnsi" w:cs="Times New Roman"/>
        </w:rPr>
        <w:t>As a whole, the</w:t>
      </w:r>
      <w:r w:rsidRPr="001222F4">
        <w:rPr>
          <w:rFonts w:asciiTheme="majorHAnsi" w:hAnsiTheme="majorHAnsi" w:cs="Times New Roman"/>
          <w:b/>
        </w:rPr>
        <w:t xml:space="preserve"> </w:t>
      </w:r>
      <w:r w:rsidRPr="001222F4">
        <w:rPr>
          <w:rFonts w:asciiTheme="majorHAnsi" w:hAnsiTheme="majorHAnsi" w:cs="Times New Roman"/>
          <w:b/>
          <w:color w:val="4F81BD" w:themeColor="accent1"/>
        </w:rPr>
        <w:t>NAP</w:t>
      </w:r>
      <w:r w:rsidRPr="001222F4">
        <w:rPr>
          <w:rFonts w:asciiTheme="majorHAnsi" w:hAnsiTheme="majorHAnsi" w:cs="Times New Roman"/>
          <w:color w:val="4F81BD" w:themeColor="accent1"/>
        </w:rPr>
        <w:t xml:space="preserve"> </w:t>
      </w:r>
      <w:r w:rsidRPr="001222F4">
        <w:rPr>
          <w:rFonts w:asciiTheme="majorHAnsi" w:hAnsiTheme="majorHAnsi" w:cs="Times New Roman"/>
          <w:b/>
          <w:color w:val="4F81BD" w:themeColor="accent1"/>
        </w:rPr>
        <w:t>lacks specificity in its content</w:t>
      </w:r>
      <w:r w:rsidRPr="001222F4">
        <w:rPr>
          <w:rFonts w:asciiTheme="majorHAnsi" w:hAnsiTheme="majorHAnsi" w:cs="Times New Roman"/>
        </w:rPr>
        <w:t>.</w:t>
      </w:r>
      <w:r w:rsidRPr="001222F4">
        <w:rPr>
          <w:rStyle w:val="FootnoteReference"/>
          <w:rFonts w:asciiTheme="majorHAnsi" w:hAnsiTheme="majorHAnsi" w:cs="Times New Roman"/>
        </w:rPr>
        <w:footnoteReference w:id="156"/>
      </w:r>
      <w:r w:rsidRPr="001222F4">
        <w:rPr>
          <w:rFonts w:asciiTheme="majorHAnsi" w:hAnsiTheme="majorHAnsi" w:cs="Times New Roman"/>
        </w:rPr>
        <w:t xml:space="preserve"> Whilst the areas of priority are listed, the remainder of the document does not provide for mechanisms to achieve those goals other than the establishment of Steering Committees. Much of the document discusses the achievements of the government of the DRC to date, and acknowledges the disproportionate effect of conflict on women. A number of ‘opportunities’ are then presented, but it is not clear as to whether they are areas for improvement, and whether they are to form part of the implementation of the NAP.  </w:t>
      </w:r>
    </w:p>
    <w:p w14:paraId="7CD89819" w14:textId="77777777" w:rsidR="00F41315" w:rsidRPr="001222F4" w:rsidRDefault="00F41315" w:rsidP="00F41315">
      <w:pPr>
        <w:jc w:val="both"/>
        <w:rPr>
          <w:rFonts w:asciiTheme="majorHAnsi" w:hAnsiTheme="majorHAnsi" w:cs="Times New Roman"/>
        </w:rPr>
      </w:pPr>
    </w:p>
    <w:p w14:paraId="2020BB3A" w14:textId="2DB852DA" w:rsidR="00F41315" w:rsidRPr="001222F4" w:rsidRDefault="00F41315" w:rsidP="004D0432">
      <w:pPr>
        <w:spacing w:line="360" w:lineRule="auto"/>
        <w:jc w:val="both"/>
        <w:rPr>
          <w:rFonts w:asciiTheme="majorHAnsi" w:hAnsiTheme="majorHAnsi" w:cs="Times New Roman"/>
        </w:rPr>
      </w:pPr>
      <w:r w:rsidRPr="001222F4">
        <w:rPr>
          <w:rFonts w:asciiTheme="majorHAnsi" w:hAnsiTheme="majorHAnsi" w:cs="Times New Roman"/>
        </w:rPr>
        <w:t>Most significantly, the document fails to provide the following key information</w:t>
      </w:r>
      <w:r w:rsidR="00E265E2" w:rsidRPr="001222F4">
        <w:rPr>
          <w:rFonts w:asciiTheme="majorHAnsi" w:hAnsiTheme="majorHAnsi" w:cs="Times New Roman"/>
        </w:rPr>
        <w:t>:</w:t>
      </w:r>
      <w:r w:rsidRPr="001222F4">
        <w:rPr>
          <w:rStyle w:val="FootnoteReference"/>
          <w:rFonts w:asciiTheme="majorHAnsi" w:hAnsiTheme="majorHAnsi" w:cs="Times New Roman"/>
        </w:rPr>
        <w:footnoteReference w:id="157"/>
      </w:r>
      <w:r w:rsidRPr="001222F4">
        <w:rPr>
          <w:rFonts w:asciiTheme="majorHAnsi" w:hAnsiTheme="majorHAnsi" w:cs="Times New Roman"/>
        </w:rPr>
        <w:t xml:space="preserve"> (1) </w:t>
      </w:r>
      <w:r w:rsidR="00E37292" w:rsidRPr="001222F4">
        <w:rPr>
          <w:rFonts w:asciiTheme="majorHAnsi" w:hAnsiTheme="majorHAnsi" w:cs="Times New Roman"/>
        </w:rPr>
        <w:t>ti</w:t>
      </w:r>
      <w:r w:rsidRPr="001222F4">
        <w:rPr>
          <w:rFonts w:asciiTheme="majorHAnsi" w:hAnsiTheme="majorHAnsi" w:cs="Times New Roman"/>
        </w:rPr>
        <w:t xml:space="preserve">meline – none specified for implementation; (2) </w:t>
      </w:r>
      <w:r w:rsidR="00E37292" w:rsidRPr="001222F4">
        <w:rPr>
          <w:rFonts w:asciiTheme="majorHAnsi" w:hAnsiTheme="majorHAnsi" w:cs="Times New Roman"/>
        </w:rPr>
        <w:t>r</w:t>
      </w:r>
      <w:r w:rsidRPr="001222F4">
        <w:rPr>
          <w:rFonts w:asciiTheme="majorHAnsi" w:hAnsiTheme="majorHAnsi" w:cs="Times New Roman"/>
        </w:rPr>
        <w:t xml:space="preserve">oles – the NAP does not clarify which agencies will be responsible for implementation; (3) </w:t>
      </w:r>
      <w:r w:rsidR="00E37292" w:rsidRPr="001222F4">
        <w:rPr>
          <w:rFonts w:asciiTheme="majorHAnsi" w:hAnsiTheme="majorHAnsi" w:cs="Times New Roman"/>
        </w:rPr>
        <w:t>f</w:t>
      </w:r>
      <w:r w:rsidRPr="001222F4">
        <w:rPr>
          <w:rFonts w:asciiTheme="majorHAnsi" w:hAnsiTheme="majorHAnsi" w:cs="Times New Roman"/>
        </w:rPr>
        <w:t xml:space="preserve">inancial allocation – there is no mention of sources of funds for any of the implementation activities, nor for the Steering Committees; </w:t>
      </w:r>
      <w:r w:rsidR="00E37292" w:rsidRPr="001222F4">
        <w:rPr>
          <w:rFonts w:asciiTheme="majorHAnsi" w:hAnsiTheme="majorHAnsi" w:cs="Times New Roman"/>
        </w:rPr>
        <w:t xml:space="preserve">and </w:t>
      </w:r>
      <w:r w:rsidRPr="001222F4">
        <w:rPr>
          <w:rFonts w:asciiTheme="majorHAnsi" w:hAnsiTheme="majorHAnsi" w:cs="Times New Roman"/>
        </w:rPr>
        <w:t xml:space="preserve">(4) </w:t>
      </w:r>
      <w:r w:rsidR="00E37292" w:rsidRPr="001222F4">
        <w:rPr>
          <w:rFonts w:asciiTheme="majorHAnsi" w:hAnsiTheme="majorHAnsi" w:cs="Times New Roman"/>
        </w:rPr>
        <w:t>i</w:t>
      </w:r>
      <w:r w:rsidRPr="001222F4">
        <w:rPr>
          <w:rFonts w:asciiTheme="majorHAnsi" w:hAnsiTheme="majorHAnsi" w:cs="Times New Roman"/>
        </w:rPr>
        <w:t xml:space="preserve">ndicators – none specified in the monitoring and evaluation of implementation of the NAP. </w:t>
      </w:r>
    </w:p>
    <w:p w14:paraId="4229DCA6" w14:textId="72BCFAE1" w:rsidR="005C68CA" w:rsidRPr="001222F4" w:rsidRDefault="005C68CA" w:rsidP="005C68CA">
      <w:pPr>
        <w:widowControl w:val="0"/>
        <w:autoSpaceDE w:val="0"/>
        <w:autoSpaceDN w:val="0"/>
        <w:adjustRightInd w:val="0"/>
        <w:jc w:val="both"/>
        <w:rPr>
          <w:rFonts w:asciiTheme="majorHAnsi" w:hAnsiTheme="majorHAnsi" w:cs="Times New Roman"/>
          <w:lang w:val="en-US"/>
        </w:rPr>
      </w:pPr>
    </w:p>
    <w:p w14:paraId="5B029D27" w14:textId="5DEC1F71" w:rsidR="005C68CA" w:rsidRPr="001222F4" w:rsidRDefault="005C68CA" w:rsidP="005C68CA">
      <w:pPr>
        <w:jc w:val="both"/>
        <w:rPr>
          <w:rFonts w:asciiTheme="majorHAnsi" w:hAnsiTheme="majorHAnsi" w:cs="Times New Roman"/>
          <w:b/>
          <w:color w:val="1F497D" w:themeColor="text2"/>
          <w:u w:val="single"/>
        </w:rPr>
      </w:pPr>
      <w:r w:rsidRPr="001222F4">
        <w:rPr>
          <w:rFonts w:asciiTheme="majorHAnsi" w:hAnsiTheme="majorHAnsi" w:cs="Times New Roman"/>
          <w:b/>
          <w:color w:val="1F497D" w:themeColor="text2"/>
          <w:u w:val="single"/>
        </w:rPr>
        <w:t>Development Agencies and Civil Society</w:t>
      </w:r>
    </w:p>
    <w:p w14:paraId="05BB765D" w14:textId="77777777" w:rsidR="00F41315" w:rsidRPr="001222F4" w:rsidRDefault="00F41315" w:rsidP="00F41315">
      <w:pPr>
        <w:jc w:val="both"/>
        <w:rPr>
          <w:rFonts w:asciiTheme="majorHAnsi" w:hAnsiTheme="majorHAnsi"/>
        </w:rPr>
      </w:pPr>
    </w:p>
    <w:p w14:paraId="03B88E87" w14:textId="725057F0" w:rsidR="00F41315" w:rsidRPr="001222F4" w:rsidRDefault="00F41315" w:rsidP="004D0432">
      <w:pPr>
        <w:spacing w:line="360" w:lineRule="auto"/>
        <w:jc w:val="both"/>
        <w:rPr>
          <w:rFonts w:asciiTheme="majorHAnsi" w:hAnsiTheme="majorHAnsi" w:cs="Scala Offc"/>
          <w:color w:val="000000"/>
        </w:rPr>
      </w:pPr>
      <w:r w:rsidRPr="001222F4">
        <w:rPr>
          <w:rFonts w:asciiTheme="majorHAnsi" w:hAnsiTheme="majorHAnsi" w:cs="Scala Offc"/>
          <w:color w:val="000000"/>
        </w:rPr>
        <w:t xml:space="preserve">Efforts to implement the NAP have largely been the result of the work of civil society, including women’s </w:t>
      </w:r>
      <w:r w:rsidR="00E265E2" w:rsidRPr="001222F4">
        <w:rPr>
          <w:rFonts w:asciiTheme="majorHAnsi" w:hAnsiTheme="majorHAnsi" w:cs="Scala Offc"/>
          <w:color w:val="000000"/>
        </w:rPr>
        <w:t>organizations</w:t>
      </w:r>
      <w:r w:rsidRPr="001222F4">
        <w:rPr>
          <w:rFonts w:asciiTheme="majorHAnsi" w:hAnsiTheme="majorHAnsi" w:cs="Scala Offc"/>
          <w:color w:val="000000"/>
        </w:rPr>
        <w:t>, and not that of the government.</w:t>
      </w:r>
      <w:r w:rsidRPr="001222F4">
        <w:rPr>
          <w:rStyle w:val="FootnoteReference"/>
          <w:rFonts w:asciiTheme="majorHAnsi" w:hAnsiTheme="majorHAnsi" w:cs="Scala Offc"/>
          <w:color w:val="000000"/>
        </w:rPr>
        <w:footnoteReference w:id="158"/>
      </w:r>
      <w:r w:rsidRPr="001222F4">
        <w:rPr>
          <w:rFonts w:asciiTheme="majorHAnsi" w:hAnsiTheme="majorHAnsi" w:cs="Scala Offc"/>
          <w:color w:val="000000"/>
        </w:rPr>
        <w:t xml:space="preserve"> The government has exhibited a lack of political will to implement SCR 1325, as evidenced by the fact that the National Steering Committee was non-functioning for many years. In 2011, the Ministry of Gender, Family and Children reallocated funds that were earmarked for implementation of SCR 1325 to other areas of priority.</w:t>
      </w:r>
      <w:r w:rsidRPr="001222F4">
        <w:rPr>
          <w:rStyle w:val="FootnoteReference"/>
          <w:rFonts w:asciiTheme="majorHAnsi" w:hAnsiTheme="majorHAnsi" w:cs="Scala Offc"/>
          <w:color w:val="000000"/>
        </w:rPr>
        <w:footnoteReference w:id="159"/>
      </w:r>
      <w:r w:rsidRPr="001222F4">
        <w:rPr>
          <w:rStyle w:val="FootnoteReference"/>
          <w:rFonts w:asciiTheme="majorHAnsi" w:hAnsiTheme="majorHAnsi" w:cs="Scala Offc"/>
          <w:color w:val="000000"/>
        </w:rPr>
        <w:t xml:space="preserve"> </w:t>
      </w:r>
      <w:r w:rsidRPr="001222F4">
        <w:rPr>
          <w:rFonts w:asciiTheme="majorHAnsi" w:hAnsiTheme="majorHAnsi" w:cs="Scala Offc"/>
          <w:color w:val="000000"/>
        </w:rPr>
        <w:t xml:space="preserve">Such actions indicate that the women’s concerns are not a priority for the government of the DRC, and </w:t>
      </w:r>
      <w:r w:rsidR="00E265E2" w:rsidRPr="001222F4">
        <w:rPr>
          <w:rFonts w:asciiTheme="majorHAnsi" w:hAnsiTheme="majorHAnsi" w:cs="Scala Offc"/>
          <w:color w:val="000000"/>
        </w:rPr>
        <w:t xml:space="preserve">reflect </w:t>
      </w:r>
      <w:r w:rsidRPr="001222F4">
        <w:rPr>
          <w:rFonts w:asciiTheme="majorHAnsi" w:hAnsiTheme="majorHAnsi" w:cs="Scala Offc"/>
          <w:color w:val="000000"/>
        </w:rPr>
        <w:t>a misconception that women’s issues are separate from other concerns.</w:t>
      </w:r>
      <w:r w:rsidRPr="001222F4">
        <w:rPr>
          <w:rStyle w:val="FootnoteReference"/>
          <w:rFonts w:asciiTheme="majorHAnsi" w:hAnsiTheme="majorHAnsi" w:cs="Scala Offc"/>
          <w:color w:val="000000"/>
        </w:rPr>
        <w:footnoteReference w:id="160"/>
      </w:r>
    </w:p>
    <w:p w14:paraId="4EFAC745" w14:textId="77777777" w:rsidR="00F41315" w:rsidRPr="001222F4" w:rsidRDefault="00F41315" w:rsidP="00BE2A97">
      <w:pPr>
        <w:jc w:val="both"/>
        <w:rPr>
          <w:rFonts w:asciiTheme="majorHAnsi" w:hAnsiTheme="majorHAnsi"/>
        </w:rPr>
      </w:pPr>
    </w:p>
    <w:p w14:paraId="1F1F3F09" w14:textId="20E9CDA9" w:rsidR="00BE2A97" w:rsidRPr="001222F4" w:rsidRDefault="00BE2A97" w:rsidP="004D0432">
      <w:pPr>
        <w:spacing w:line="360" w:lineRule="auto"/>
        <w:jc w:val="both"/>
        <w:rPr>
          <w:rFonts w:asciiTheme="majorHAnsi" w:hAnsiTheme="majorHAnsi"/>
        </w:rPr>
      </w:pPr>
      <w:r w:rsidRPr="001222F4">
        <w:rPr>
          <w:rFonts w:asciiTheme="majorHAnsi" w:hAnsiTheme="majorHAnsi"/>
        </w:rPr>
        <w:lastRenderedPageBreak/>
        <w:t xml:space="preserve">The work of </w:t>
      </w:r>
      <w:r w:rsidR="00E265E2" w:rsidRPr="001222F4">
        <w:rPr>
          <w:rFonts w:asciiTheme="majorHAnsi" w:hAnsiTheme="majorHAnsi"/>
        </w:rPr>
        <w:t>NGOs</w:t>
      </w:r>
      <w:r w:rsidRPr="001222F4">
        <w:rPr>
          <w:rFonts w:asciiTheme="majorHAnsi" w:hAnsiTheme="majorHAnsi"/>
        </w:rPr>
        <w:t xml:space="preserve"> and development agencies has been crucial in assisting </w:t>
      </w:r>
      <w:r w:rsidR="00423A81" w:rsidRPr="001222F4">
        <w:rPr>
          <w:rFonts w:asciiTheme="majorHAnsi" w:hAnsiTheme="majorHAnsi"/>
        </w:rPr>
        <w:t>victims and</w:t>
      </w:r>
      <w:r w:rsidRPr="001222F4">
        <w:rPr>
          <w:rFonts w:asciiTheme="majorHAnsi" w:hAnsiTheme="majorHAnsi"/>
        </w:rPr>
        <w:t xml:space="preserve"> survivors of SGBV, </w:t>
      </w:r>
      <w:r w:rsidR="00423A81" w:rsidRPr="001222F4">
        <w:rPr>
          <w:rFonts w:asciiTheme="majorHAnsi" w:hAnsiTheme="majorHAnsi"/>
        </w:rPr>
        <w:t>by providing support services</w:t>
      </w:r>
      <w:r w:rsidRPr="001222F4">
        <w:rPr>
          <w:rFonts w:asciiTheme="majorHAnsi" w:hAnsiTheme="majorHAnsi"/>
        </w:rPr>
        <w:t xml:space="preserve"> </w:t>
      </w:r>
      <w:r w:rsidR="00423A81" w:rsidRPr="001222F4">
        <w:rPr>
          <w:rFonts w:asciiTheme="majorHAnsi" w:hAnsiTheme="majorHAnsi"/>
        </w:rPr>
        <w:t>that have been life-</w:t>
      </w:r>
      <w:r w:rsidRPr="001222F4">
        <w:rPr>
          <w:rFonts w:asciiTheme="majorHAnsi" w:hAnsiTheme="majorHAnsi"/>
        </w:rPr>
        <w:t xml:space="preserve">saving </w:t>
      </w:r>
      <w:r w:rsidR="00423A81" w:rsidRPr="001222F4">
        <w:rPr>
          <w:rFonts w:asciiTheme="majorHAnsi" w:hAnsiTheme="majorHAnsi"/>
        </w:rPr>
        <w:t>for many women and girls</w:t>
      </w:r>
      <w:r w:rsidRPr="001222F4">
        <w:rPr>
          <w:rFonts w:asciiTheme="majorHAnsi" w:hAnsiTheme="majorHAnsi"/>
        </w:rPr>
        <w:t>.</w:t>
      </w:r>
      <w:r w:rsidRPr="001222F4">
        <w:rPr>
          <w:rStyle w:val="FootnoteReference"/>
          <w:rFonts w:asciiTheme="majorHAnsi" w:hAnsiTheme="majorHAnsi"/>
        </w:rPr>
        <w:footnoteReference w:id="161"/>
      </w:r>
      <w:r w:rsidRPr="001222F4">
        <w:rPr>
          <w:rFonts w:asciiTheme="majorHAnsi" w:hAnsiTheme="majorHAnsi"/>
        </w:rPr>
        <w:t xml:space="preserve"> The volume of donor services available, however, has</w:t>
      </w:r>
      <w:r w:rsidR="00423A81" w:rsidRPr="001222F4">
        <w:rPr>
          <w:rFonts w:asciiTheme="majorHAnsi" w:hAnsiTheme="majorHAnsi"/>
        </w:rPr>
        <w:t xml:space="preserve"> created an almost paternalistic relationship between humanitarian agencies and the DRC Government. This creates a risk</w:t>
      </w:r>
      <w:r w:rsidRPr="001222F4">
        <w:rPr>
          <w:rFonts w:asciiTheme="majorHAnsi" w:hAnsiTheme="majorHAnsi"/>
        </w:rPr>
        <w:t xml:space="preserve"> </w:t>
      </w:r>
      <w:r w:rsidR="00423A81" w:rsidRPr="001222F4">
        <w:rPr>
          <w:rFonts w:asciiTheme="majorHAnsi" w:hAnsiTheme="majorHAnsi"/>
        </w:rPr>
        <w:t>of</w:t>
      </w:r>
      <w:r w:rsidRPr="001222F4">
        <w:rPr>
          <w:rFonts w:asciiTheme="majorHAnsi" w:hAnsiTheme="majorHAnsi"/>
        </w:rPr>
        <w:t xml:space="preserve"> government </w:t>
      </w:r>
      <w:r w:rsidR="00423A81" w:rsidRPr="001222F4">
        <w:rPr>
          <w:rFonts w:asciiTheme="majorHAnsi" w:hAnsiTheme="majorHAnsi"/>
        </w:rPr>
        <w:t>complacency towards</w:t>
      </w:r>
      <w:r w:rsidRPr="001222F4">
        <w:rPr>
          <w:rFonts w:asciiTheme="majorHAnsi" w:hAnsiTheme="majorHAnsi"/>
        </w:rPr>
        <w:t xml:space="preserve"> responsibility to provide </w:t>
      </w:r>
      <w:r w:rsidR="00423A81" w:rsidRPr="001222F4">
        <w:rPr>
          <w:rFonts w:asciiTheme="majorHAnsi" w:hAnsiTheme="majorHAnsi"/>
        </w:rPr>
        <w:t>basic social</w:t>
      </w:r>
      <w:r w:rsidRPr="001222F4">
        <w:rPr>
          <w:rFonts w:asciiTheme="majorHAnsi" w:hAnsiTheme="majorHAnsi"/>
        </w:rPr>
        <w:t xml:space="preserve"> services</w:t>
      </w:r>
      <w:r w:rsidR="00423A81" w:rsidRPr="001222F4">
        <w:rPr>
          <w:rFonts w:asciiTheme="majorHAnsi" w:hAnsiTheme="majorHAnsi"/>
        </w:rPr>
        <w:t>, and does not</w:t>
      </w:r>
      <w:r w:rsidRPr="001222F4">
        <w:rPr>
          <w:rFonts w:asciiTheme="majorHAnsi" w:hAnsiTheme="majorHAnsi"/>
        </w:rPr>
        <w:t xml:space="preserve"> </w:t>
      </w:r>
      <w:r w:rsidR="00423A81" w:rsidRPr="001222F4">
        <w:rPr>
          <w:rFonts w:asciiTheme="majorHAnsi" w:hAnsiTheme="majorHAnsi"/>
        </w:rPr>
        <w:t>encourage</w:t>
      </w:r>
      <w:r w:rsidRPr="001222F4">
        <w:rPr>
          <w:rFonts w:asciiTheme="majorHAnsi" w:hAnsiTheme="majorHAnsi"/>
        </w:rPr>
        <w:t xml:space="preserve"> the government to take a more active role </w:t>
      </w:r>
      <w:r w:rsidR="00423A81" w:rsidRPr="001222F4">
        <w:rPr>
          <w:rFonts w:asciiTheme="majorHAnsi" w:hAnsiTheme="majorHAnsi"/>
        </w:rPr>
        <w:t>to address SGBV</w:t>
      </w:r>
      <w:r w:rsidRPr="001222F4">
        <w:rPr>
          <w:rFonts w:asciiTheme="majorHAnsi" w:hAnsiTheme="majorHAnsi"/>
        </w:rPr>
        <w:t>.</w:t>
      </w:r>
      <w:r w:rsidRPr="001222F4">
        <w:rPr>
          <w:rStyle w:val="FootnoteReference"/>
          <w:rFonts w:asciiTheme="majorHAnsi" w:hAnsiTheme="majorHAnsi"/>
        </w:rPr>
        <w:footnoteReference w:id="162"/>
      </w:r>
      <w:r w:rsidRPr="001222F4">
        <w:rPr>
          <w:rFonts w:asciiTheme="majorHAnsi" w:hAnsiTheme="majorHAnsi"/>
        </w:rPr>
        <w:t xml:space="preserve"> </w:t>
      </w:r>
    </w:p>
    <w:p w14:paraId="0E53BAA3" w14:textId="5D18E53D" w:rsidR="005C68CA" w:rsidRPr="001222F4" w:rsidRDefault="005C68CA" w:rsidP="005C68CA">
      <w:pPr>
        <w:jc w:val="both"/>
        <w:rPr>
          <w:rFonts w:asciiTheme="majorHAnsi" w:hAnsiTheme="majorHAnsi" w:cs="Times New Roman"/>
          <w:color w:val="000000"/>
          <w:lang w:val="en-US"/>
        </w:rPr>
      </w:pPr>
    </w:p>
    <w:p w14:paraId="69999E0E" w14:textId="77777777" w:rsidR="0011081A" w:rsidRPr="001222F4" w:rsidRDefault="005C68CA" w:rsidP="004D0432">
      <w:pPr>
        <w:spacing w:line="360" w:lineRule="auto"/>
        <w:jc w:val="both"/>
        <w:rPr>
          <w:rFonts w:asciiTheme="majorHAnsi" w:hAnsiTheme="majorHAnsi"/>
        </w:rPr>
      </w:pPr>
      <w:r w:rsidRPr="001222F4">
        <w:rPr>
          <w:rFonts w:asciiTheme="majorHAnsi" w:hAnsiTheme="majorHAnsi"/>
        </w:rPr>
        <w:t xml:space="preserve">Programs established and run by development agencies and civil society have been effective in providing care to survivors of </w:t>
      </w:r>
      <w:r w:rsidR="00423A81" w:rsidRPr="001222F4">
        <w:rPr>
          <w:rFonts w:asciiTheme="majorHAnsi" w:hAnsiTheme="majorHAnsi"/>
        </w:rPr>
        <w:t>SGBV</w:t>
      </w:r>
      <w:r w:rsidRPr="001222F4">
        <w:rPr>
          <w:rFonts w:asciiTheme="majorHAnsi" w:hAnsiTheme="majorHAnsi"/>
        </w:rPr>
        <w:t xml:space="preserve"> by assisting women and children to reintegrate socially and to cope with trauma, through accessing medical and social services.</w:t>
      </w:r>
      <w:r w:rsidRPr="001222F4">
        <w:rPr>
          <w:rStyle w:val="FootnoteReference"/>
          <w:rFonts w:asciiTheme="majorHAnsi" w:hAnsiTheme="majorHAnsi"/>
        </w:rPr>
        <w:footnoteReference w:id="163"/>
      </w:r>
      <w:r w:rsidRPr="001222F4">
        <w:rPr>
          <w:rFonts w:asciiTheme="majorHAnsi" w:hAnsiTheme="majorHAnsi"/>
        </w:rPr>
        <w:t xml:space="preserve"> Where such services are available, it has been much easier for women and girls to report rape</w:t>
      </w:r>
      <w:r w:rsidR="00423A81" w:rsidRPr="001222F4">
        <w:rPr>
          <w:rFonts w:asciiTheme="majorHAnsi" w:hAnsiTheme="majorHAnsi"/>
        </w:rPr>
        <w:t xml:space="preserve"> and SGBV</w:t>
      </w:r>
      <w:r w:rsidRPr="001222F4">
        <w:rPr>
          <w:rFonts w:asciiTheme="majorHAnsi" w:hAnsiTheme="majorHAnsi"/>
        </w:rPr>
        <w:t>.</w:t>
      </w:r>
      <w:r w:rsidRPr="001222F4">
        <w:rPr>
          <w:rStyle w:val="FootnoteReference"/>
          <w:rFonts w:asciiTheme="majorHAnsi" w:hAnsiTheme="majorHAnsi"/>
        </w:rPr>
        <w:footnoteReference w:id="164"/>
      </w:r>
      <w:r w:rsidRPr="001222F4">
        <w:rPr>
          <w:rFonts w:asciiTheme="majorHAnsi" w:hAnsiTheme="majorHAnsi"/>
        </w:rPr>
        <w:t xml:space="preserve"> The US Agency for International Development (USAID) has been the main source of funding for programs addressing gender based violence in the eastern DRC.</w:t>
      </w:r>
      <w:r w:rsidRPr="001222F4">
        <w:rPr>
          <w:rStyle w:val="FootnoteReference"/>
          <w:rFonts w:asciiTheme="majorHAnsi" w:hAnsiTheme="majorHAnsi"/>
        </w:rPr>
        <w:footnoteReference w:id="165"/>
      </w:r>
      <w:r w:rsidR="00423A81" w:rsidRPr="001222F4">
        <w:rPr>
          <w:rFonts w:asciiTheme="majorHAnsi" w:hAnsiTheme="majorHAnsi"/>
        </w:rPr>
        <w:t xml:space="preserve"> </w:t>
      </w:r>
    </w:p>
    <w:p w14:paraId="600EE843" w14:textId="77777777" w:rsidR="0011081A" w:rsidRPr="001222F4" w:rsidRDefault="0011081A" w:rsidP="005C68CA">
      <w:pPr>
        <w:jc w:val="both"/>
        <w:rPr>
          <w:rFonts w:asciiTheme="majorHAnsi" w:hAnsiTheme="majorHAnsi"/>
        </w:rPr>
      </w:pPr>
    </w:p>
    <w:p w14:paraId="57F292DF" w14:textId="172B4491" w:rsidR="00F41315" w:rsidRPr="001222F4" w:rsidRDefault="00423A81" w:rsidP="004D0432">
      <w:pPr>
        <w:spacing w:line="360" w:lineRule="auto"/>
        <w:jc w:val="both"/>
        <w:rPr>
          <w:rFonts w:asciiTheme="majorHAnsi" w:hAnsiTheme="majorHAnsi"/>
        </w:rPr>
      </w:pPr>
      <w:r w:rsidRPr="001222F4">
        <w:rPr>
          <w:rFonts w:asciiTheme="majorHAnsi" w:hAnsiTheme="majorHAnsi"/>
        </w:rPr>
        <w:t>While the USAID-funded programming has taken a holistic approach to addressing SGBV</w:t>
      </w:r>
      <w:r w:rsidR="0011081A" w:rsidRPr="001222F4">
        <w:rPr>
          <w:rFonts w:asciiTheme="majorHAnsi" w:hAnsiTheme="majorHAnsi"/>
        </w:rPr>
        <w:t xml:space="preserve"> in the DRC</w:t>
      </w:r>
      <w:r w:rsidRPr="001222F4">
        <w:rPr>
          <w:rFonts w:asciiTheme="majorHAnsi" w:hAnsiTheme="majorHAnsi"/>
        </w:rPr>
        <w:t>, much of the financing to tackle SGBV in 2010-15 has been in response</w:t>
      </w:r>
      <w:r w:rsidR="00E265E2" w:rsidRPr="001222F4">
        <w:rPr>
          <w:rFonts w:asciiTheme="majorHAnsi" w:hAnsiTheme="majorHAnsi"/>
        </w:rPr>
        <w:t xml:space="preserve"> to</w:t>
      </w:r>
      <w:r w:rsidRPr="001222F4">
        <w:rPr>
          <w:rFonts w:asciiTheme="majorHAnsi" w:hAnsiTheme="majorHAnsi"/>
        </w:rPr>
        <w:t xml:space="preserve"> </w:t>
      </w:r>
      <w:r w:rsidR="0011081A" w:rsidRPr="001222F4">
        <w:rPr>
          <w:rFonts w:asciiTheme="majorHAnsi" w:hAnsiTheme="majorHAnsi"/>
        </w:rPr>
        <w:t>violence</w:t>
      </w:r>
      <w:r w:rsidRPr="001222F4">
        <w:rPr>
          <w:rFonts w:asciiTheme="majorHAnsi" w:hAnsiTheme="majorHAnsi"/>
        </w:rPr>
        <w:t xml:space="preserve">, not an effort to prevent it. Holistic efforts </w:t>
      </w:r>
      <w:r w:rsidR="0011081A" w:rsidRPr="001222F4">
        <w:rPr>
          <w:rFonts w:asciiTheme="majorHAnsi" w:hAnsiTheme="majorHAnsi"/>
        </w:rPr>
        <w:t>can save women’s lives and help them reintegrate into society, but they cannot address the underlying causes of SGBV. Therefore, the persistence of SGBV in the country should not be linked to development programs falling short.</w:t>
      </w:r>
      <w:r w:rsidR="0011081A" w:rsidRPr="001222F4">
        <w:rPr>
          <w:rStyle w:val="FootnoteReference"/>
          <w:rFonts w:asciiTheme="majorHAnsi" w:hAnsiTheme="majorHAnsi"/>
        </w:rPr>
        <w:footnoteReference w:id="166"/>
      </w:r>
      <w:r w:rsidR="0011081A" w:rsidRPr="001222F4">
        <w:rPr>
          <w:rFonts w:asciiTheme="majorHAnsi" w:hAnsiTheme="majorHAnsi"/>
        </w:rPr>
        <w:t xml:space="preserve">  There is a need for concerted action, led by the government, to address the systemic and structural causes of SGBV, with a view towards achieving substantive and transformative equality, as outlined in the provisions of CEDAW and other international </w:t>
      </w:r>
      <w:r w:rsidR="00583713">
        <w:rPr>
          <w:rFonts w:asciiTheme="majorHAnsi" w:hAnsiTheme="majorHAnsi"/>
        </w:rPr>
        <w:t xml:space="preserve">legal </w:t>
      </w:r>
      <w:r w:rsidR="00E265E2" w:rsidRPr="001222F4">
        <w:rPr>
          <w:rFonts w:asciiTheme="majorHAnsi" w:hAnsiTheme="majorHAnsi"/>
        </w:rPr>
        <w:t>obligations held by the DRC (s</w:t>
      </w:r>
      <w:r w:rsidR="0011081A" w:rsidRPr="001222F4">
        <w:rPr>
          <w:rFonts w:asciiTheme="majorHAnsi" w:hAnsiTheme="majorHAnsi"/>
        </w:rPr>
        <w:t>ee Section 1).</w:t>
      </w:r>
    </w:p>
    <w:p w14:paraId="184D2384" w14:textId="77777777" w:rsidR="008B6E37" w:rsidRPr="001222F4" w:rsidRDefault="008B6E37" w:rsidP="008B6E37">
      <w:pPr>
        <w:jc w:val="both"/>
        <w:rPr>
          <w:rFonts w:asciiTheme="majorHAnsi" w:hAnsiTheme="majorHAnsi" w:cs="Arial"/>
          <w:lang w:val="en-US"/>
        </w:rPr>
      </w:pPr>
    </w:p>
    <w:p w14:paraId="0A4CC322" w14:textId="54FE654E" w:rsidR="00F41315" w:rsidRPr="001222F4" w:rsidRDefault="00F41315" w:rsidP="007F364C">
      <w:pPr>
        <w:pStyle w:val="ListParagraph"/>
        <w:numPr>
          <w:ilvl w:val="0"/>
          <w:numId w:val="15"/>
        </w:numPr>
        <w:jc w:val="both"/>
        <w:rPr>
          <w:rFonts w:asciiTheme="majorHAnsi" w:hAnsiTheme="majorHAnsi" w:cs="Arial"/>
          <w:b/>
          <w:color w:val="1F497D" w:themeColor="text2"/>
          <w:lang w:val="en-US"/>
        </w:rPr>
      </w:pPr>
      <w:r w:rsidRPr="001222F4">
        <w:rPr>
          <w:rFonts w:asciiTheme="majorHAnsi" w:hAnsiTheme="majorHAnsi" w:cs="Arial"/>
          <w:b/>
          <w:color w:val="1F497D" w:themeColor="text2"/>
          <w:lang w:val="en-US"/>
        </w:rPr>
        <w:t>Other Actions by Government, Development Agencies and Civil Society</w:t>
      </w:r>
    </w:p>
    <w:p w14:paraId="01DB9B97" w14:textId="77777777" w:rsidR="00F41315" w:rsidRPr="001222F4" w:rsidRDefault="00F41315" w:rsidP="00F41315">
      <w:pPr>
        <w:jc w:val="both"/>
        <w:rPr>
          <w:rFonts w:asciiTheme="majorHAnsi" w:hAnsiTheme="majorHAnsi" w:cs="Scala Offc"/>
          <w:color w:val="000000"/>
        </w:rPr>
      </w:pPr>
    </w:p>
    <w:p w14:paraId="60EC923F" w14:textId="3827375F" w:rsidR="00F41315" w:rsidRPr="001222F4" w:rsidRDefault="00F41315" w:rsidP="004D0432">
      <w:pPr>
        <w:spacing w:line="360" w:lineRule="auto"/>
        <w:jc w:val="both"/>
        <w:rPr>
          <w:rFonts w:asciiTheme="majorHAnsi" w:hAnsiTheme="majorHAnsi"/>
        </w:rPr>
      </w:pPr>
      <w:r w:rsidRPr="001222F4">
        <w:rPr>
          <w:rFonts w:asciiTheme="majorHAnsi" w:hAnsiTheme="majorHAnsi" w:cs="Scala Offc"/>
          <w:color w:val="000000"/>
        </w:rPr>
        <w:t xml:space="preserve">In addition to adopting the National Strategy, the government established a number of agencies to address the problem of SGBV in conflict-affected areas including the </w:t>
      </w:r>
      <w:r w:rsidRPr="001222F4">
        <w:rPr>
          <w:rFonts w:asciiTheme="majorHAnsi" w:hAnsiTheme="majorHAnsi"/>
        </w:rPr>
        <w:t xml:space="preserve">National Agency </w:t>
      </w:r>
      <w:r w:rsidR="001222F4">
        <w:rPr>
          <w:rFonts w:asciiTheme="majorHAnsi" w:hAnsiTheme="majorHAnsi"/>
        </w:rPr>
        <w:t>a</w:t>
      </w:r>
      <w:r w:rsidRPr="001222F4">
        <w:rPr>
          <w:rFonts w:asciiTheme="majorHAnsi" w:hAnsiTheme="majorHAnsi"/>
        </w:rPr>
        <w:t>gainst Violence to Women and Girls (AVIFEM) and National Fund for the Promotion of Women and Child Protection (FONAFEN). These have been largely ineffective as they do not operate independently of active politicians, are under resourced, and only operate programs in and around Kinshasa.</w:t>
      </w:r>
      <w:r w:rsidRPr="001222F4">
        <w:rPr>
          <w:rStyle w:val="FootnoteReference"/>
          <w:rFonts w:asciiTheme="majorHAnsi" w:hAnsiTheme="majorHAnsi"/>
        </w:rPr>
        <w:footnoteReference w:id="167"/>
      </w:r>
    </w:p>
    <w:p w14:paraId="349782D6" w14:textId="77777777" w:rsidR="00F41315" w:rsidRPr="001222F4" w:rsidRDefault="00F41315" w:rsidP="00F41315">
      <w:pPr>
        <w:jc w:val="both"/>
        <w:rPr>
          <w:rFonts w:asciiTheme="majorHAnsi" w:hAnsiTheme="majorHAnsi" w:cs="Times New Roman"/>
        </w:rPr>
      </w:pPr>
    </w:p>
    <w:p w14:paraId="6CCAA136" w14:textId="25D996D1" w:rsidR="00F41315" w:rsidRPr="001222F4" w:rsidRDefault="00F41315" w:rsidP="004D0432">
      <w:pPr>
        <w:spacing w:line="360" w:lineRule="auto"/>
        <w:jc w:val="both"/>
        <w:rPr>
          <w:rFonts w:asciiTheme="majorHAnsi" w:hAnsiTheme="majorHAnsi"/>
        </w:rPr>
      </w:pPr>
      <w:r w:rsidRPr="001222F4">
        <w:rPr>
          <w:rFonts w:asciiTheme="majorHAnsi" w:hAnsiTheme="majorHAnsi"/>
        </w:rPr>
        <w:t xml:space="preserve">Since 2009, the DRC has been the site of a UN pilot project called the </w:t>
      </w:r>
      <w:r w:rsidR="0065315A" w:rsidRPr="001222F4">
        <w:rPr>
          <w:rFonts w:asciiTheme="majorHAnsi" w:hAnsiTheme="majorHAnsi"/>
        </w:rPr>
        <w:t>‘</w:t>
      </w:r>
      <w:r w:rsidRPr="001222F4">
        <w:rPr>
          <w:rFonts w:asciiTheme="majorHAnsi" w:hAnsiTheme="majorHAnsi"/>
        </w:rPr>
        <w:t>Comprehensive Str</w:t>
      </w:r>
      <w:r w:rsidR="0065315A" w:rsidRPr="001222F4">
        <w:rPr>
          <w:rFonts w:asciiTheme="majorHAnsi" w:hAnsiTheme="majorHAnsi"/>
        </w:rPr>
        <w:t>ategy to Combat Sexual Violence’</w:t>
      </w:r>
      <w:r w:rsidRPr="001222F4">
        <w:rPr>
          <w:rFonts w:asciiTheme="majorHAnsi" w:hAnsiTheme="majorHAnsi"/>
        </w:rPr>
        <w:t>. This pilot project incorporates UN agencies, NGOs, government and civil society actors.</w:t>
      </w:r>
      <w:r w:rsidRPr="001222F4">
        <w:rPr>
          <w:rStyle w:val="FootnoteReference"/>
          <w:rFonts w:asciiTheme="majorHAnsi" w:hAnsiTheme="majorHAnsi"/>
        </w:rPr>
        <w:footnoteReference w:id="168"/>
      </w:r>
      <w:r w:rsidRPr="001222F4">
        <w:rPr>
          <w:rFonts w:asciiTheme="majorHAnsi" w:hAnsiTheme="majorHAnsi"/>
        </w:rPr>
        <w:t xml:space="preserve"> The project was intended to be a coordination strategy and to provide a common framework for different actors working towards ending SGBV in the DRC.</w:t>
      </w:r>
      <w:r w:rsidRPr="001222F4">
        <w:rPr>
          <w:rStyle w:val="FootnoteReference"/>
          <w:rFonts w:asciiTheme="majorHAnsi" w:hAnsiTheme="majorHAnsi"/>
        </w:rPr>
        <w:footnoteReference w:id="169"/>
      </w:r>
      <w:r w:rsidRPr="001222F4">
        <w:rPr>
          <w:rFonts w:asciiTheme="majorHAnsi" w:hAnsiTheme="majorHAnsi"/>
        </w:rPr>
        <w:t xml:space="preserve"> However, the Comprehensive Strategy framework has at times been unable to prevent the duplication of activities or generate momentum on tackling SGBV, and has added to the bureaucratic hurdles faced by humanitarian actors.</w:t>
      </w:r>
      <w:r w:rsidRPr="001222F4">
        <w:rPr>
          <w:rStyle w:val="FootnoteReference"/>
          <w:rFonts w:asciiTheme="majorHAnsi" w:hAnsiTheme="majorHAnsi"/>
        </w:rPr>
        <w:footnoteReference w:id="170"/>
      </w:r>
    </w:p>
    <w:p w14:paraId="3E814FB5" w14:textId="77777777" w:rsidR="00F41315" w:rsidRPr="001222F4" w:rsidRDefault="00F41315" w:rsidP="00F41315">
      <w:pPr>
        <w:pStyle w:val="ListParagraph"/>
        <w:ind w:left="0"/>
        <w:jc w:val="both"/>
        <w:rPr>
          <w:rFonts w:asciiTheme="majorHAnsi" w:hAnsiTheme="majorHAnsi" w:cs="Arial"/>
          <w:b/>
          <w:lang w:val="en-US"/>
        </w:rPr>
      </w:pPr>
    </w:p>
    <w:p w14:paraId="0D1EA874" w14:textId="14618B9F" w:rsidR="00634326" w:rsidRPr="001222F4" w:rsidRDefault="008B6E37" w:rsidP="007F364C">
      <w:pPr>
        <w:pStyle w:val="ListParagraph"/>
        <w:numPr>
          <w:ilvl w:val="0"/>
          <w:numId w:val="15"/>
        </w:numPr>
        <w:jc w:val="both"/>
        <w:rPr>
          <w:rFonts w:asciiTheme="majorHAnsi" w:hAnsiTheme="majorHAnsi" w:cs="Arial"/>
          <w:b/>
          <w:color w:val="1F497D" w:themeColor="text2"/>
          <w:lang w:val="en-US"/>
        </w:rPr>
      </w:pPr>
      <w:r w:rsidRPr="001222F4">
        <w:rPr>
          <w:rFonts w:asciiTheme="majorHAnsi" w:hAnsiTheme="majorHAnsi" w:cs="Arial"/>
          <w:b/>
          <w:color w:val="1F497D" w:themeColor="text2"/>
          <w:lang w:val="en-US"/>
        </w:rPr>
        <w:t xml:space="preserve">Conclusion </w:t>
      </w:r>
    </w:p>
    <w:p w14:paraId="43B96D99" w14:textId="77777777" w:rsidR="003F5D03" w:rsidRPr="001222F4" w:rsidRDefault="003F5D03" w:rsidP="00634326">
      <w:pPr>
        <w:widowControl w:val="0"/>
        <w:autoSpaceDE w:val="0"/>
        <w:autoSpaceDN w:val="0"/>
        <w:adjustRightInd w:val="0"/>
        <w:jc w:val="both"/>
        <w:rPr>
          <w:rFonts w:asciiTheme="majorHAnsi" w:hAnsiTheme="majorHAnsi" w:cs="Times New Roman"/>
        </w:rPr>
      </w:pPr>
    </w:p>
    <w:p w14:paraId="3718FE26" w14:textId="644F5637" w:rsidR="00634326" w:rsidRPr="001222F4" w:rsidRDefault="003F5D03" w:rsidP="004D0432">
      <w:pPr>
        <w:widowControl w:val="0"/>
        <w:autoSpaceDE w:val="0"/>
        <w:autoSpaceDN w:val="0"/>
        <w:adjustRightInd w:val="0"/>
        <w:spacing w:line="360" w:lineRule="auto"/>
        <w:jc w:val="both"/>
        <w:rPr>
          <w:rFonts w:asciiTheme="majorHAnsi" w:hAnsiTheme="majorHAnsi" w:cs="Times New Roman"/>
        </w:rPr>
      </w:pPr>
      <w:r w:rsidRPr="001222F4">
        <w:rPr>
          <w:rFonts w:asciiTheme="majorHAnsi" w:hAnsiTheme="majorHAnsi" w:cs="Times New Roman"/>
        </w:rPr>
        <w:t xml:space="preserve">The most urgent concern yet to be addressed by the NAP is the persistence of SGBV. This submission recommends that systemic, structural reforms are urgently needed to address SGBV and women’s low level of engagement in politics and peace processes.  These reforms should be led by the government (with development partners and civil society playing a supportive, secondary role) to prevent, eliminate and end impunity for rape and all forms of sexual violence. </w:t>
      </w:r>
    </w:p>
    <w:p w14:paraId="316C54E5" w14:textId="77777777" w:rsidR="0065315A" w:rsidRPr="001222F4" w:rsidRDefault="0065315A" w:rsidP="00634326">
      <w:pPr>
        <w:widowControl w:val="0"/>
        <w:autoSpaceDE w:val="0"/>
        <w:autoSpaceDN w:val="0"/>
        <w:adjustRightInd w:val="0"/>
        <w:jc w:val="both"/>
        <w:rPr>
          <w:rFonts w:asciiTheme="majorHAnsi" w:hAnsiTheme="majorHAnsi" w:cs="Times New Roman"/>
        </w:rPr>
      </w:pPr>
    </w:p>
    <w:p w14:paraId="6B57A91C" w14:textId="77777777" w:rsidR="0065315A" w:rsidRPr="001222F4" w:rsidRDefault="0065315A" w:rsidP="004D0432">
      <w:pPr>
        <w:widowControl w:val="0"/>
        <w:autoSpaceDE w:val="0"/>
        <w:autoSpaceDN w:val="0"/>
        <w:adjustRightInd w:val="0"/>
        <w:spacing w:line="360" w:lineRule="auto"/>
        <w:jc w:val="both"/>
        <w:rPr>
          <w:rFonts w:asciiTheme="majorHAnsi" w:hAnsiTheme="majorHAnsi" w:cs="Times New Roman"/>
        </w:rPr>
      </w:pPr>
      <w:r w:rsidRPr="001222F4">
        <w:rPr>
          <w:rFonts w:asciiTheme="majorHAnsi" w:hAnsiTheme="majorHAnsi" w:cs="Arial"/>
        </w:rPr>
        <w:t xml:space="preserve">The government’s failure to adhere to its international legal obligations as laid out in SCR 1325, and the wider framework on women, peace and security, has been highlighted in the CEDAW Committee’s Concluding Observations on the DRC’s state reports under the Convention. </w:t>
      </w:r>
      <w:r w:rsidRPr="001222F4">
        <w:rPr>
          <w:rFonts w:asciiTheme="majorHAnsi" w:hAnsiTheme="majorHAnsi" w:cs="Times New Roman"/>
        </w:rPr>
        <w:t>In 2006, the Committee expressed deep concern “about the continuing occurrences of rapes and other forms of sexual violence against women and the ingrained culture of impunity for such crimes.”</w:t>
      </w:r>
      <w:r w:rsidRPr="001222F4">
        <w:rPr>
          <w:rStyle w:val="FootnoteReference"/>
          <w:rFonts w:asciiTheme="majorHAnsi" w:hAnsiTheme="majorHAnsi" w:cs="Times New Roman"/>
        </w:rPr>
        <w:footnoteReference w:id="171"/>
      </w:r>
      <w:r w:rsidRPr="001222F4">
        <w:rPr>
          <w:rFonts w:asciiTheme="majorHAnsi" w:hAnsiTheme="majorHAnsi" w:cs="Times New Roman"/>
        </w:rPr>
        <w:t xml:space="preserve"> Most recently, in its Concluding Observations of July 2013, the Committee expressed extreme concern about: “the failure of the authorities to prioritize the protection of civilians and the denial by key State officials of the extent of the violence committed against women in conflict-affected areas.”</w:t>
      </w:r>
      <w:r w:rsidRPr="001222F4">
        <w:rPr>
          <w:rStyle w:val="FootnoteReference"/>
          <w:rFonts w:asciiTheme="majorHAnsi" w:hAnsiTheme="majorHAnsi" w:cs="Times New Roman"/>
        </w:rPr>
        <w:footnoteReference w:id="172"/>
      </w:r>
      <w:r w:rsidRPr="001222F4">
        <w:rPr>
          <w:rFonts w:asciiTheme="majorHAnsi" w:hAnsiTheme="majorHAnsi" w:cs="Times New Roman"/>
        </w:rPr>
        <w:t xml:space="preserve"> These emphatic comments underscore the importance of reporting processes like those of the CEDAW Committee that remind states of their obligations under the wider international legal framework on women, peace and security. </w:t>
      </w:r>
    </w:p>
    <w:p w14:paraId="24019256" w14:textId="77777777" w:rsidR="0065315A" w:rsidRPr="001222F4" w:rsidRDefault="0065315A" w:rsidP="00634326">
      <w:pPr>
        <w:widowControl w:val="0"/>
        <w:autoSpaceDE w:val="0"/>
        <w:autoSpaceDN w:val="0"/>
        <w:adjustRightInd w:val="0"/>
        <w:jc w:val="both"/>
        <w:rPr>
          <w:rFonts w:asciiTheme="majorHAnsi" w:hAnsiTheme="majorHAnsi" w:cs="Arial"/>
        </w:rPr>
      </w:pPr>
    </w:p>
    <w:p w14:paraId="301438E3" w14:textId="77777777" w:rsidR="00634326" w:rsidRPr="001222F4" w:rsidRDefault="00634326" w:rsidP="008B6E37">
      <w:pPr>
        <w:jc w:val="both"/>
        <w:rPr>
          <w:rFonts w:asciiTheme="majorHAnsi" w:hAnsiTheme="majorHAnsi" w:cs="Arial"/>
          <w:b/>
          <w:lang w:val="en-US"/>
        </w:rPr>
      </w:pPr>
    </w:p>
    <w:p w14:paraId="295DEA00" w14:textId="77777777" w:rsidR="008B6E37" w:rsidRPr="001222F4" w:rsidRDefault="008B6E37" w:rsidP="008B6E37">
      <w:pPr>
        <w:jc w:val="both"/>
        <w:rPr>
          <w:rFonts w:asciiTheme="majorHAnsi" w:hAnsiTheme="majorHAnsi" w:cs="Arial"/>
          <w:b/>
          <w:lang w:val="en-US"/>
        </w:rPr>
      </w:pPr>
    </w:p>
    <w:p w14:paraId="04804155" w14:textId="77777777" w:rsidR="005C68CA" w:rsidRPr="001222F4" w:rsidRDefault="005C68CA" w:rsidP="008B6E37">
      <w:pPr>
        <w:rPr>
          <w:rFonts w:asciiTheme="majorHAnsi" w:hAnsiTheme="majorHAnsi" w:cs="Times New Roman"/>
        </w:rPr>
      </w:pPr>
      <w:r w:rsidRPr="001222F4">
        <w:rPr>
          <w:rFonts w:asciiTheme="majorHAnsi" w:hAnsiTheme="majorHAnsi" w:cs="Times New Roman"/>
        </w:rPr>
        <w:br w:type="page"/>
      </w:r>
    </w:p>
    <w:p w14:paraId="2EFC6E33" w14:textId="77777777" w:rsidR="00245277" w:rsidRPr="003330F3" w:rsidRDefault="00245277" w:rsidP="00245277">
      <w:pPr>
        <w:pStyle w:val="Heading3"/>
        <w:keepLines/>
        <w:spacing w:before="20" w:after="0"/>
        <w:jc w:val="center"/>
        <w:rPr>
          <w:b w:val="0"/>
          <w:color w:val="1F497D" w:themeColor="text2"/>
          <w:spacing w:val="14"/>
          <w:sz w:val="32"/>
          <w:szCs w:val="32"/>
          <w:u w:val="single"/>
          <w:lang w:val="en-GB"/>
        </w:rPr>
      </w:pPr>
      <w:bookmarkStart w:id="11" w:name="_Toc416867089"/>
      <w:r>
        <w:rPr>
          <w:b w:val="0"/>
          <w:color w:val="1F497D" w:themeColor="text2"/>
          <w:spacing w:val="14"/>
          <w:sz w:val="32"/>
          <w:szCs w:val="32"/>
          <w:u w:val="single"/>
          <w:lang w:val="en-GB"/>
        </w:rPr>
        <w:lastRenderedPageBreak/>
        <w:t>ASIA</w:t>
      </w:r>
      <w:bookmarkEnd w:id="11"/>
    </w:p>
    <w:p w14:paraId="251C5D37" w14:textId="77777777" w:rsidR="00245277" w:rsidRDefault="00245277" w:rsidP="00245277">
      <w:pPr>
        <w:jc w:val="both"/>
        <w:rPr>
          <w:rFonts w:ascii="Calibri" w:hAnsi="Calibri"/>
          <w:b/>
        </w:rPr>
      </w:pPr>
    </w:p>
    <w:p w14:paraId="4C30D3C8" w14:textId="210887E7" w:rsidR="00245277" w:rsidRPr="000E78A5" w:rsidRDefault="00245277" w:rsidP="00245277">
      <w:pPr>
        <w:pStyle w:val="Heading3"/>
        <w:keepLines/>
        <w:spacing w:before="20" w:after="0"/>
        <w:jc w:val="center"/>
        <w:rPr>
          <w:b w:val="0"/>
          <w:color w:val="1F497D" w:themeColor="text2"/>
          <w:spacing w:val="14"/>
          <w:sz w:val="32"/>
          <w:szCs w:val="32"/>
          <w:lang w:val="en-GB"/>
        </w:rPr>
      </w:pPr>
      <w:bookmarkStart w:id="12" w:name="_Toc416867090"/>
      <w:r>
        <w:rPr>
          <w:b w:val="0"/>
          <w:color w:val="1F497D" w:themeColor="text2"/>
          <w:spacing w:val="14"/>
          <w:sz w:val="32"/>
          <w:szCs w:val="32"/>
          <w:lang w:val="en-GB"/>
        </w:rPr>
        <w:t>NEPAL– WOMEN’S PARTICIPATION AND CIVIL SOCIETY LEADERSHIP IN A POST-CONFLICT NAP</w:t>
      </w:r>
      <w:bookmarkEnd w:id="12"/>
    </w:p>
    <w:p w14:paraId="01A69FEE" w14:textId="0F068D69" w:rsidR="005C68CA" w:rsidRPr="00BC2C39" w:rsidRDefault="00942D4B" w:rsidP="007F364C">
      <w:pPr>
        <w:pStyle w:val="ListParagraph"/>
        <w:numPr>
          <w:ilvl w:val="0"/>
          <w:numId w:val="10"/>
        </w:numPr>
        <w:spacing w:before="100" w:beforeAutospacing="1" w:after="100" w:afterAutospacing="1"/>
        <w:jc w:val="both"/>
        <w:rPr>
          <w:rFonts w:ascii="Calibri" w:hAnsi="Calibri"/>
          <w:b/>
          <w:color w:val="1F497D" w:themeColor="text2"/>
        </w:rPr>
      </w:pPr>
      <w:r w:rsidRPr="00BC2C39">
        <w:rPr>
          <w:rFonts w:ascii="Calibri" w:hAnsi="Calibri"/>
          <w:b/>
          <w:color w:val="1F497D" w:themeColor="text2"/>
        </w:rPr>
        <w:t xml:space="preserve">An </w:t>
      </w:r>
      <w:r w:rsidR="005C68CA" w:rsidRPr="00BC2C39">
        <w:rPr>
          <w:rFonts w:ascii="Calibri" w:hAnsi="Calibri"/>
          <w:b/>
          <w:color w:val="1F497D" w:themeColor="text2"/>
        </w:rPr>
        <w:t xml:space="preserve">Overview </w:t>
      </w:r>
      <w:r w:rsidR="009F3AF0" w:rsidRPr="00BC2C39">
        <w:rPr>
          <w:rFonts w:ascii="Calibri" w:hAnsi="Calibri"/>
          <w:b/>
          <w:color w:val="1F497D" w:themeColor="text2"/>
        </w:rPr>
        <w:t xml:space="preserve">of </w:t>
      </w:r>
      <w:r w:rsidRPr="00BC2C39">
        <w:rPr>
          <w:rFonts w:ascii="Calibri" w:hAnsi="Calibri"/>
          <w:b/>
          <w:color w:val="1F497D" w:themeColor="text2"/>
        </w:rPr>
        <w:t>Conflict</w:t>
      </w:r>
      <w:r w:rsidR="005C68CA" w:rsidRPr="00BC2C39">
        <w:rPr>
          <w:rFonts w:ascii="Calibri" w:hAnsi="Calibri"/>
          <w:b/>
          <w:color w:val="1F497D" w:themeColor="text2"/>
        </w:rPr>
        <w:t xml:space="preserve"> in Nepal </w:t>
      </w:r>
    </w:p>
    <w:p w14:paraId="705225BB" w14:textId="14E8DAAE" w:rsidR="005C68CA" w:rsidRPr="00D344A1" w:rsidRDefault="005C68CA" w:rsidP="00BC2C39">
      <w:pPr>
        <w:spacing w:before="100" w:beforeAutospacing="1" w:after="100" w:afterAutospacing="1" w:line="360" w:lineRule="auto"/>
        <w:jc w:val="both"/>
        <w:rPr>
          <w:rFonts w:ascii="Calibri" w:hAnsi="Calibri"/>
        </w:rPr>
      </w:pPr>
      <w:r w:rsidRPr="00D344A1">
        <w:rPr>
          <w:rFonts w:ascii="Calibri" w:hAnsi="Calibri"/>
        </w:rPr>
        <w:t xml:space="preserve">Nepal </w:t>
      </w:r>
      <w:r w:rsidR="006F35AD">
        <w:rPr>
          <w:rFonts w:ascii="Calibri" w:hAnsi="Calibri"/>
        </w:rPr>
        <w:t xml:space="preserve">is a post-conflict </w:t>
      </w:r>
      <w:r w:rsidR="00942D4B">
        <w:rPr>
          <w:rFonts w:ascii="Calibri" w:hAnsi="Calibri"/>
        </w:rPr>
        <w:t>country</w:t>
      </w:r>
      <w:r w:rsidR="006F35AD">
        <w:rPr>
          <w:rFonts w:ascii="Calibri" w:hAnsi="Calibri"/>
        </w:rPr>
        <w:t xml:space="preserve">. </w:t>
      </w:r>
      <w:r w:rsidR="004112D1">
        <w:rPr>
          <w:rFonts w:ascii="Calibri" w:hAnsi="Calibri"/>
        </w:rPr>
        <w:t>A</w:t>
      </w:r>
      <w:r w:rsidR="008B50A8">
        <w:rPr>
          <w:rFonts w:ascii="Calibri" w:hAnsi="Calibri"/>
        </w:rPr>
        <w:t xml:space="preserve"> </w:t>
      </w:r>
      <w:r w:rsidR="00942D4B">
        <w:rPr>
          <w:rFonts w:ascii="Calibri" w:hAnsi="Calibri"/>
        </w:rPr>
        <w:t>decade-long</w:t>
      </w:r>
      <w:r w:rsidR="006F35AD">
        <w:rPr>
          <w:rFonts w:ascii="Calibri" w:hAnsi="Calibri"/>
        </w:rPr>
        <w:t xml:space="preserve"> civil war</w:t>
      </w:r>
      <w:r w:rsidR="008B50A8">
        <w:rPr>
          <w:rFonts w:ascii="Calibri" w:hAnsi="Calibri"/>
        </w:rPr>
        <w:t>, which ended in 2006,</w:t>
      </w:r>
      <w:r w:rsidRPr="00D344A1">
        <w:rPr>
          <w:rFonts w:ascii="Calibri" w:hAnsi="Calibri"/>
        </w:rPr>
        <w:t xml:space="preserve"> </w:t>
      </w:r>
      <w:r w:rsidR="00942D4B">
        <w:rPr>
          <w:rFonts w:ascii="Calibri" w:hAnsi="Calibri"/>
        </w:rPr>
        <w:t>took place between</w:t>
      </w:r>
      <w:r w:rsidRPr="00D344A1">
        <w:rPr>
          <w:rFonts w:ascii="Calibri" w:hAnsi="Calibri"/>
        </w:rPr>
        <w:t xml:space="preserve"> the Communist Party of Nepal (Maoists) </w:t>
      </w:r>
      <w:r w:rsidR="00942D4B">
        <w:rPr>
          <w:rFonts w:ascii="Calibri" w:hAnsi="Calibri"/>
        </w:rPr>
        <w:t>and the monarchy, resulting in at</w:t>
      </w:r>
      <w:r w:rsidRPr="00D344A1">
        <w:rPr>
          <w:rFonts w:ascii="Calibri" w:hAnsi="Calibri"/>
        </w:rPr>
        <w:t xml:space="preserve"> least 13,000 </w:t>
      </w:r>
      <w:r w:rsidR="004112D1">
        <w:rPr>
          <w:rFonts w:ascii="Calibri" w:hAnsi="Calibri"/>
        </w:rPr>
        <w:t>deaths</w:t>
      </w:r>
      <w:r w:rsidRPr="00D344A1">
        <w:rPr>
          <w:rFonts w:ascii="Calibri" w:hAnsi="Calibri"/>
        </w:rPr>
        <w:t xml:space="preserve"> and over 1,300 fo</w:t>
      </w:r>
      <w:r w:rsidR="00942D4B">
        <w:rPr>
          <w:rFonts w:ascii="Calibri" w:hAnsi="Calibri"/>
        </w:rPr>
        <w:t>rced disappearances</w:t>
      </w:r>
      <w:r w:rsidRPr="00D344A1">
        <w:rPr>
          <w:rFonts w:ascii="Calibri" w:hAnsi="Calibri"/>
        </w:rPr>
        <w:t xml:space="preserve">. </w:t>
      </w:r>
      <w:r w:rsidRPr="00D344A1">
        <w:rPr>
          <w:rStyle w:val="FootnoteReference"/>
          <w:rFonts w:ascii="Calibri" w:hAnsi="Calibri"/>
        </w:rPr>
        <w:footnoteReference w:id="173"/>
      </w:r>
      <w:r w:rsidRPr="00D344A1">
        <w:rPr>
          <w:rFonts w:ascii="Calibri" w:hAnsi="Calibri"/>
        </w:rPr>
        <w:t xml:space="preserve"> In recent years, human rights organisations have documented wide scale sexual, physical and verbal abuse of women, perpetrated by both government security forces and Maoist fighters during the conflict.</w:t>
      </w:r>
      <w:r w:rsidRPr="00D344A1">
        <w:rPr>
          <w:rStyle w:val="FootnoteReference"/>
          <w:rFonts w:ascii="Calibri" w:hAnsi="Calibri"/>
        </w:rPr>
        <w:footnoteReference w:id="174"/>
      </w:r>
      <w:r w:rsidRPr="00D344A1">
        <w:rPr>
          <w:rFonts w:ascii="Calibri" w:hAnsi="Calibri"/>
        </w:rPr>
        <w:t xml:space="preserve"> The government has publicly acknowledged the violence directed at women during this time. </w:t>
      </w:r>
      <w:r w:rsidRPr="00D344A1">
        <w:rPr>
          <w:rStyle w:val="FootnoteReference"/>
          <w:rFonts w:ascii="Calibri" w:hAnsi="Calibri"/>
        </w:rPr>
        <w:footnoteReference w:id="175"/>
      </w:r>
      <w:r w:rsidRPr="00D344A1">
        <w:rPr>
          <w:rFonts w:ascii="Calibri" w:hAnsi="Calibri"/>
        </w:rPr>
        <w:t xml:space="preserve"> The conflict</w:t>
      </w:r>
      <w:r w:rsidR="00020F48">
        <w:rPr>
          <w:rFonts w:ascii="Calibri" w:hAnsi="Calibri"/>
        </w:rPr>
        <w:t xml:space="preserve"> officially</w:t>
      </w:r>
      <w:r w:rsidRPr="00D344A1">
        <w:rPr>
          <w:rFonts w:ascii="Calibri" w:hAnsi="Calibri"/>
        </w:rPr>
        <w:t xml:space="preserve"> </w:t>
      </w:r>
      <w:r w:rsidR="00942D4B">
        <w:rPr>
          <w:rFonts w:ascii="Calibri" w:hAnsi="Calibri"/>
        </w:rPr>
        <w:t>ended on</w:t>
      </w:r>
      <w:r w:rsidRPr="00D344A1">
        <w:rPr>
          <w:rFonts w:ascii="Calibri" w:hAnsi="Calibri"/>
        </w:rPr>
        <w:t xml:space="preserve"> 21 November 2006</w:t>
      </w:r>
      <w:r w:rsidR="008B50A8">
        <w:rPr>
          <w:rFonts w:ascii="Calibri" w:hAnsi="Calibri"/>
        </w:rPr>
        <w:t>,</w:t>
      </w:r>
      <w:r w:rsidRPr="00D344A1">
        <w:rPr>
          <w:rFonts w:ascii="Calibri" w:hAnsi="Calibri"/>
        </w:rPr>
        <w:t xml:space="preserve"> when </w:t>
      </w:r>
      <w:r w:rsidR="008B50A8">
        <w:rPr>
          <w:rFonts w:ascii="Calibri" w:hAnsi="Calibri"/>
        </w:rPr>
        <w:t>the government</w:t>
      </w:r>
      <w:r w:rsidRPr="00D344A1">
        <w:rPr>
          <w:rFonts w:ascii="Calibri" w:hAnsi="Calibri"/>
        </w:rPr>
        <w:t xml:space="preserve"> and Maoists signed the Comprehensive Peace Accord (CPA).</w:t>
      </w:r>
      <w:r w:rsidRPr="00D344A1">
        <w:rPr>
          <w:rStyle w:val="FootnoteReference"/>
          <w:rFonts w:ascii="Calibri" w:hAnsi="Calibri"/>
        </w:rPr>
        <w:footnoteReference w:id="176"/>
      </w:r>
      <w:r w:rsidRPr="00D344A1">
        <w:rPr>
          <w:rFonts w:ascii="Calibri" w:hAnsi="Calibri"/>
        </w:rPr>
        <w:t xml:space="preserve"> The resulting election showed a marked preference for a federal democratic republic over a monarchy. </w:t>
      </w:r>
      <w:r w:rsidR="00942D4B">
        <w:rPr>
          <w:rFonts w:ascii="Calibri" w:hAnsi="Calibri"/>
        </w:rPr>
        <w:t>T</w:t>
      </w:r>
      <w:r w:rsidRPr="00D344A1">
        <w:rPr>
          <w:rFonts w:ascii="Calibri" w:hAnsi="Calibri"/>
        </w:rPr>
        <w:t xml:space="preserve">he interim constitution </w:t>
      </w:r>
      <w:r w:rsidR="00942D4B">
        <w:rPr>
          <w:rFonts w:ascii="Calibri" w:hAnsi="Calibri"/>
        </w:rPr>
        <w:t>of</w:t>
      </w:r>
      <w:r w:rsidRPr="00D344A1">
        <w:rPr>
          <w:rFonts w:ascii="Calibri" w:hAnsi="Calibri"/>
        </w:rPr>
        <w:t xml:space="preserve"> 2006 </w:t>
      </w:r>
      <w:r w:rsidR="00D914BB">
        <w:rPr>
          <w:rFonts w:ascii="Calibri" w:hAnsi="Calibri"/>
        </w:rPr>
        <w:t>replaced the monarch</w:t>
      </w:r>
      <w:r w:rsidRPr="00D344A1">
        <w:rPr>
          <w:rFonts w:ascii="Calibri" w:hAnsi="Calibri"/>
        </w:rPr>
        <w:t xml:space="preserve"> King with an in</w:t>
      </w:r>
      <w:r w:rsidR="00942D4B">
        <w:rPr>
          <w:rFonts w:ascii="Calibri" w:hAnsi="Calibri"/>
        </w:rPr>
        <w:t>te</w:t>
      </w:r>
      <w:r w:rsidR="00D914BB">
        <w:rPr>
          <w:rFonts w:ascii="Calibri" w:hAnsi="Calibri"/>
        </w:rPr>
        <w:t>rim House of Representatives. In</w:t>
      </w:r>
      <w:r w:rsidRPr="00D344A1">
        <w:rPr>
          <w:rFonts w:ascii="Calibri" w:hAnsi="Calibri"/>
        </w:rPr>
        <w:t xml:space="preserve"> 2007, Nepal became a federal republic with a president as the head of state. A key aspect of the CPA was </w:t>
      </w:r>
      <w:r w:rsidR="00D914BB">
        <w:rPr>
          <w:rFonts w:ascii="Calibri" w:hAnsi="Calibri"/>
        </w:rPr>
        <w:t xml:space="preserve">drafting </w:t>
      </w:r>
      <w:r w:rsidRPr="00D344A1">
        <w:rPr>
          <w:rFonts w:ascii="Calibri" w:hAnsi="Calibri"/>
        </w:rPr>
        <w:t>a new constitution</w:t>
      </w:r>
      <w:r w:rsidR="006F35AD">
        <w:rPr>
          <w:rFonts w:ascii="Calibri" w:hAnsi="Calibri"/>
        </w:rPr>
        <w:t>,</w:t>
      </w:r>
      <w:r w:rsidRPr="00D344A1">
        <w:rPr>
          <w:rFonts w:ascii="Calibri" w:hAnsi="Calibri"/>
        </w:rPr>
        <w:t xml:space="preserve"> which afforded equal rights to the peoples of Nepal, with particular emphasis placed on </w:t>
      </w:r>
      <w:r w:rsidR="00D914BB">
        <w:rPr>
          <w:rFonts w:ascii="Calibri" w:hAnsi="Calibri"/>
        </w:rPr>
        <w:t xml:space="preserve">eradicating </w:t>
      </w:r>
      <w:r w:rsidRPr="00D344A1">
        <w:rPr>
          <w:rFonts w:ascii="Calibri" w:hAnsi="Calibri"/>
        </w:rPr>
        <w:t xml:space="preserve">caste and ethnic divisions </w:t>
      </w:r>
      <w:r w:rsidR="00D914BB">
        <w:rPr>
          <w:rFonts w:ascii="Calibri" w:hAnsi="Calibri"/>
        </w:rPr>
        <w:t>in</w:t>
      </w:r>
      <w:r w:rsidRPr="00D344A1">
        <w:rPr>
          <w:rFonts w:ascii="Calibri" w:hAnsi="Calibri"/>
        </w:rPr>
        <w:t xml:space="preserve"> the country.</w:t>
      </w:r>
      <w:r w:rsidRPr="00D344A1">
        <w:rPr>
          <w:rStyle w:val="FootnoteReference"/>
          <w:rFonts w:ascii="Calibri" w:hAnsi="Calibri"/>
        </w:rPr>
        <w:footnoteReference w:id="177"/>
      </w:r>
      <w:r w:rsidRPr="00D344A1">
        <w:rPr>
          <w:rFonts w:ascii="Calibri" w:hAnsi="Calibri"/>
        </w:rPr>
        <w:t xml:space="preserve"> However, progress on this project has been hamstrung by differing visions for the future of Nepal and an agreed draft remains forthcoming.</w:t>
      </w:r>
      <w:r w:rsidRPr="00D344A1">
        <w:rPr>
          <w:rStyle w:val="FootnoteReference"/>
          <w:rFonts w:ascii="Calibri" w:hAnsi="Calibri"/>
        </w:rPr>
        <w:footnoteReference w:id="178"/>
      </w:r>
      <w:r w:rsidRPr="00D344A1">
        <w:rPr>
          <w:rFonts w:ascii="Calibri" w:hAnsi="Calibri"/>
        </w:rPr>
        <w:t xml:space="preserve"> This uncertainty has left the nation in a seemingly intractable state of political deadlock for some years. </w:t>
      </w:r>
    </w:p>
    <w:p w14:paraId="6C221959" w14:textId="02658C20" w:rsidR="005C68CA" w:rsidRPr="00BC2C39" w:rsidRDefault="005C68CA" w:rsidP="007F364C">
      <w:pPr>
        <w:pStyle w:val="ListParagraph"/>
        <w:numPr>
          <w:ilvl w:val="0"/>
          <w:numId w:val="10"/>
        </w:numPr>
        <w:spacing w:before="100" w:beforeAutospacing="1" w:after="100" w:afterAutospacing="1"/>
        <w:jc w:val="both"/>
        <w:rPr>
          <w:rFonts w:ascii="Calibri" w:hAnsi="Calibri"/>
          <w:b/>
          <w:color w:val="1F497D" w:themeColor="text2"/>
        </w:rPr>
      </w:pPr>
      <w:r w:rsidRPr="00BC2C39">
        <w:rPr>
          <w:rFonts w:ascii="Calibri" w:hAnsi="Calibri"/>
          <w:b/>
          <w:color w:val="1F497D" w:themeColor="text2"/>
        </w:rPr>
        <w:t>Nepal’s National Action Plan</w:t>
      </w:r>
      <w:r w:rsidR="000976C3" w:rsidRPr="00BC2C39">
        <w:rPr>
          <w:rFonts w:ascii="Calibri" w:hAnsi="Calibri"/>
          <w:b/>
          <w:color w:val="1F497D" w:themeColor="text2"/>
        </w:rPr>
        <w:t xml:space="preserve"> (2011-16)</w:t>
      </w:r>
    </w:p>
    <w:p w14:paraId="73334D8F" w14:textId="202309DE" w:rsidR="005C68CA" w:rsidRPr="00D344A1" w:rsidRDefault="00F55EA8" w:rsidP="00BC2C39">
      <w:pPr>
        <w:spacing w:before="100" w:beforeAutospacing="1" w:after="100" w:afterAutospacing="1" w:line="360" w:lineRule="auto"/>
        <w:jc w:val="both"/>
        <w:rPr>
          <w:rFonts w:ascii="Calibri" w:hAnsi="Calibri"/>
        </w:rPr>
      </w:pPr>
      <w:r>
        <w:rPr>
          <w:rFonts w:ascii="Calibri" w:hAnsi="Calibri"/>
        </w:rPr>
        <w:t>By adopting a</w:t>
      </w:r>
      <w:r w:rsidR="000976C3">
        <w:rPr>
          <w:rFonts w:ascii="Calibri" w:hAnsi="Calibri"/>
        </w:rPr>
        <w:t xml:space="preserve"> National Action Plan (NAP) </w:t>
      </w:r>
      <w:r w:rsidR="00AC27C7">
        <w:rPr>
          <w:rFonts w:ascii="Calibri" w:hAnsi="Calibri"/>
        </w:rPr>
        <w:t>on the Imple</w:t>
      </w:r>
      <w:r w:rsidR="00627211">
        <w:rPr>
          <w:rFonts w:ascii="Calibri" w:hAnsi="Calibri"/>
        </w:rPr>
        <w:t>mentation of Security Council Resolution</w:t>
      </w:r>
      <w:r w:rsidR="0097569B">
        <w:rPr>
          <w:rFonts w:ascii="Calibri" w:hAnsi="Calibri"/>
        </w:rPr>
        <w:t>s 1325 and 1820</w:t>
      </w:r>
      <w:r w:rsidR="00AC27C7">
        <w:rPr>
          <w:rFonts w:ascii="Calibri" w:hAnsi="Calibri"/>
        </w:rPr>
        <w:t xml:space="preserve"> (which condemns rape and sexual violence)</w:t>
      </w:r>
      <w:r w:rsidR="00627211">
        <w:rPr>
          <w:rStyle w:val="FootnoteReference"/>
          <w:rFonts w:ascii="Calibri" w:hAnsi="Calibri"/>
        </w:rPr>
        <w:footnoteReference w:id="179"/>
      </w:r>
      <w:r w:rsidR="00AC27C7">
        <w:rPr>
          <w:rFonts w:ascii="Calibri" w:hAnsi="Calibri"/>
        </w:rPr>
        <w:t xml:space="preserve"> on </w:t>
      </w:r>
      <w:r w:rsidR="005C68CA" w:rsidRPr="00D344A1">
        <w:rPr>
          <w:rFonts w:ascii="Calibri" w:hAnsi="Calibri"/>
        </w:rPr>
        <w:t>1</w:t>
      </w:r>
      <w:r>
        <w:rPr>
          <w:rFonts w:ascii="Calibri" w:hAnsi="Calibri"/>
        </w:rPr>
        <w:t xml:space="preserve">7 February 2011, </w:t>
      </w:r>
      <w:r w:rsidR="006F35AD">
        <w:rPr>
          <w:rFonts w:ascii="Calibri" w:hAnsi="Calibri"/>
        </w:rPr>
        <w:t xml:space="preserve">Nepal was the </w:t>
      </w:r>
      <w:r w:rsidR="005C68CA" w:rsidRPr="00D344A1">
        <w:rPr>
          <w:rFonts w:ascii="Calibri" w:hAnsi="Calibri"/>
        </w:rPr>
        <w:t>first country in South Asia and the second in Asia</w:t>
      </w:r>
      <w:r w:rsidR="00AC2C21">
        <w:rPr>
          <w:rFonts w:ascii="Calibri" w:hAnsi="Calibri"/>
        </w:rPr>
        <w:t xml:space="preserve"> to implement a NAP</w:t>
      </w:r>
      <w:r>
        <w:rPr>
          <w:rFonts w:ascii="Calibri" w:hAnsi="Calibri"/>
        </w:rPr>
        <w:t>.</w:t>
      </w:r>
      <w:r w:rsidR="005C68CA" w:rsidRPr="00D344A1">
        <w:rPr>
          <w:rStyle w:val="FootnoteReference"/>
          <w:rFonts w:ascii="Calibri" w:hAnsi="Calibri"/>
        </w:rPr>
        <w:footnoteReference w:id="180"/>
      </w:r>
      <w:r w:rsidR="005C68CA" w:rsidRPr="00D344A1">
        <w:rPr>
          <w:rFonts w:ascii="Calibri" w:hAnsi="Calibri"/>
        </w:rPr>
        <w:t xml:space="preserve"> The NAP</w:t>
      </w:r>
      <w:r w:rsidR="00AC2C21">
        <w:rPr>
          <w:rFonts w:ascii="Calibri" w:hAnsi="Calibri"/>
        </w:rPr>
        <w:t xml:space="preserve">, which was adopted by the Ministry of Peace and Reconstruction (the Ministry) remains in force until 2016. The </w:t>
      </w:r>
      <w:r w:rsidR="00E70167">
        <w:rPr>
          <w:rFonts w:ascii="Calibri" w:hAnsi="Calibri"/>
        </w:rPr>
        <w:t>NAP</w:t>
      </w:r>
      <w:r w:rsidR="00AC2C21">
        <w:rPr>
          <w:rFonts w:ascii="Calibri" w:hAnsi="Calibri"/>
        </w:rPr>
        <w:t xml:space="preserve"> was the result</w:t>
      </w:r>
      <w:r w:rsidR="005C68CA" w:rsidRPr="00D344A1">
        <w:rPr>
          <w:rFonts w:ascii="Calibri" w:hAnsi="Calibri"/>
        </w:rPr>
        <w:t xml:space="preserve"> </w:t>
      </w:r>
      <w:r w:rsidR="00AC2C21">
        <w:rPr>
          <w:rFonts w:ascii="Calibri" w:hAnsi="Calibri"/>
        </w:rPr>
        <w:t>of</w:t>
      </w:r>
      <w:r w:rsidR="005C68CA" w:rsidRPr="00D344A1">
        <w:rPr>
          <w:rFonts w:ascii="Calibri" w:hAnsi="Calibri"/>
        </w:rPr>
        <w:t xml:space="preserve"> an </w:t>
      </w:r>
      <w:r w:rsidR="005C68CA" w:rsidRPr="00BC2C39">
        <w:rPr>
          <w:rFonts w:ascii="Calibri" w:hAnsi="Calibri"/>
          <w:b/>
          <w:color w:val="1F497D" w:themeColor="text2"/>
        </w:rPr>
        <w:lastRenderedPageBreak/>
        <w:t>extensive consultation</w:t>
      </w:r>
      <w:r w:rsidR="005C68CA" w:rsidRPr="00D344A1">
        <w:rPr>
          <w:rFonts w:ascii="Calibri" w:hAnsi="Calibri"/>
        </w:rPr>
        <w:t xml:space="preserve"> process</w:t>
      </w:r>
      <w:r w:rsidR="00350E67">
        <w:rPr>
          <w:rFonts w:ascii="Calibri" w:hAnsi="Calibri"/>
        </w:rPr>
        <w:t>,</w:t>
      </w:r>
      <w:r w:rsidR="005C68CA" w:rsidRPr="00D344A1">
        <w:rPr>
          <w:rFonts w:ascii="Calibri" w:hAnsi="Calibri"/>
        </w:rPr>
        <w:t xml:space="preserve"> led by the Ministry </w:t>
      </w:r>
      <w:r w:rsidR="00350E67">
        <w:rPr>
          <w:rFonts w:ascii="Calibri" w:hAnsi="Calibri"/>
        </w:rPr>
        <w:t>and including</w:t>
      </w:r>
      <w:r w:rsidR="005C68CA" w:rsidRPr="00D344A1">
        <w:rPr>
          <w:rFonts w:ascii="Calibri" w:hAnsi="Calibri"/>
        </w:rPr>
        <w:t xml:space="preserve"> other government agencies, international NGOs and donor organisations, development partners, and civil society.</w:t>
      </w:r>
      <w:r w:rsidR="005C68CA" w:rsidRPr="00D344A1">
        <w:rPr>
          <w:rStyle w:val="FootnoteReference"/>
          <w:rFonts w:ascii="Calibri" w:hAnsi="Calibri"/>
        </w:rPr>
        <w:footnoteReference w:id="181"/>
      </w:r>
      <w:r w:rsidR="005C68CA" w:rsidRPr="00D344A1">
        <w:rPr>
          <w:rFonts w:ascii="Calibri" w:hAnsi="Calibri"/>
        </w:rPr>
        <w:t xml:space="preserve"> </w:t>
      </w:r>
      <w:r>
        <w:rPr>
          <w:rFonts w:ascii="Calibri" w:hAnsi="Calibri"/>
        </w:rPr>
        <w:t>Nepal has been praised for holding</w:t>
      </w:r>
      <w:r w:rsidR="005C68CA" w:rsidRPr="00D344A1">
        <w:rPr>
          <w:rFonts w:ascii="Calibri" w:hAnsi="Calibri"/>
        </w:rPr>
        <w:t xml:space="preserve"> “of one of the most, if not the most, consultative processes including 52 district level consultations, 10 regional consultations, and separate special consultations with women and girls directly affected by conflict.”</w:t>
      </w:r>
      <w:r w:rsidR="005C68CA" w:rsidRPr="00D344A1">
        <w:rPr>
          <w:rStyle w:val="FootnoteReference"/>
          <w:rFonts w:ascii="Calibri" w:hAnsi="Calibri"/>
        </w:rPr>
        <w:footnoteReference w:id="182"/>
      </w:r>
      <w:r w:rsidR="005C68CA" w:rsidRPr="00D344A1">
        <w:rPr>
          <w:rFonts w:ascii="Calibri" w:hAnsi="Calibri"/>
        </w:rPr>
        <w:t xml:space="preserve"> The NAP has also been lauded for its comprehensiveness</w:t>
      </w:r>
      <w:r>
        <w:rPr>
          <w:rFonts w:ascii="Calibri" w:hAnsi="Calibri"/>
        </w:rPr>
        <w:t xml:space="preserve">, both in providing a </w:t>
      </w:r>
      <w:r w:rsidR="005C68CA" w:rsidRPr="00D344A1">
        <w:rPr>
          <w:rFonts w:ascii="Calibri" w:hAnsi="Calibri"/>
        </w:rPr>
        <w:t xml:space="preserve">detailed and frank background </w:t>
      </w:r>
      <w:r>
        <w:rPr>
          <w:rFonts w:ascii="Calibri" w:hAnsi="Calibri"/>
        </w:rPr>
        <w:t>to conflict and post-conflict issues in Nepal</w:t>
      </w:r>
      <w:r w:rsidR="005C68CA" w:rsidRPr="00D344A1">
        <w:rPr>
          <w:rFonts w:ascii="Calibri" w:hAnsi="Calibri"/>
        </w:rPr>
        <w:t xml:space="preserve"> and in setting out a rigorous and detailed plan.</w:t>
      </w:r>
      <w:r w:rsidR="005C68CA" w:rsidRPr="00D344A1">
        <w:rPr>
          <w:rStyle w:val="FootnoteReference"/>
          <w:rFonts w:ascii="Calibri" w:hAnsi="Calibri"/>
        </w:rPr>
        <w:footnoteReference w:id="183"/>
      </w:r>
    </w:p>
    <w:p w14:paraId="12336C40" w14:textId="41F095CD" w:rsidR="005C68CA" w:rsidRDefault="005C68CA" w:rsidP="00BC2C39">
      <w:pPr>
        <w:spacing w:before="100" w:beforeAutospacing="1" w:after="100" w:afterAutospacing="1" w:line="360" w:lineRule="auto"/>
        <w:jc w:val="both"/>
        <w:rPr>
          <w:rFonts w:ascii="Calibri" w:hAnsi="Calibri"/>
        </w:rPr>
      </w:pPr>
      <w:r w:rsidRPr="00D344A1">
        <w:rPr>
          <w:rFonts w:ascii="Calibri" w:hAnsi="Calibri"/>
        </w:rPr>
        <w:t xml:space="preserve">The NAP is </w:t>
      </w:r>
      <w:r w:rsidR="00820159">
        <w:rPr>
          <w:rFonts w:ascii="Calibri" w:hAnsi="Calibri"/>
        </w:rPr>
        <w:t>structured around five pillars</w:t>
      </w:r>
      <w:r w:rsidRPr="00D344A1">
        <w:rPr>
          <w:rFonts w:ascii="Calibri" w:hAnsi="Calibri"/>
        </w:rPr>
        <w:t>.</w:t>
      </w:r>
      <w:r w:rsidRPr="00D344A1">
        <w:rPr>
          <w:rStyle w:val="FootnoteReference"/>
          <w:rFonts w:ascii="Calibri" w:hAnsi="Calibri"/>
        </w:rPr>
        <w:footnoteReference w:id="184"/>
      </w:r>
      <w:r w:rsidR="0098580C">
        <w:rPr>
          <w:rFonts w:ascii="Calibri" w:hAnsi="Calibri"/>
        </w:rPr>
        <w:t xml:space="preserve"> These include the four pillars of SCR 1325, </w:t>
      </w:r>
      <w:r w:rsidR="00AC27C7">
        <w:rPr>
          <w:rFonts w:ascii="Calibri" w:hAnsi="Calibri"/>
        </w:rPr>
        <w:t xml:space="preserve">and </w:t>
      </w:r>
      <w:r w:rsidR="00C8102E">
        <w:rPr>
          <w:rFonts w:ascii="Calibri" w:hAnsi="Calibri"/>
        </w:rPr>
        <w:t xml:space="preserve">an </w:t>
      </w:r>
      <w:r w:rsidR="00C8102E" w:rsidRPr="00BC2C39">
        <w:rPr>
          <w:rFonts w:ascii="Calibri" w:hAnsi="Calibri"/>
          <w:b/>
          <w:color w:val="4F81BD" w:themeColor="accent1"/>
        </w:rPr>
        <w:t>important</w:t>
      </w:r>
      <w:r w:rsidR="0098580C" w:rsidRPr="00BC2C39">
        <w:rPr>
          <w:rFonts w:ascii="Calibri" w:hAnsi="Calibri"/>
          <w:b/>
          <w:color w:val="4F81BD" w:themeColor="accent1"/>
        </w:rPr>
        <w:t xml:space="preserve"> fifth pillar </w:t>
      </w:r>
      <w:r w:rsidR="00AC27C7" w:rsidRPr="00BC2C39">
        <w:rPr>
          <w:rFonts w:ascii="Calibri" w:hAnsi="Calibri"/>
          <w:b/>
          <w:color w:val="4F81BD" w:themeColor="accent1"/>
        </w:rPr>
        <w:t>on resourcing</w:t>
      </w:r>
      <w:r w:rsidR="00AC27C7" w:rsidRPr="00BC2C39">
        <w:rPr>
          <w:rFonts w:ascii="Calibri" w:hAnsi="Calibri"/>
          <w:color w:val="4F81BD" w:themeColor="accent1"/>
        </w:rPr>
        <w:t xml:space="preserve"> </w:t>
      </w:r>
      <w:r w:rsidR="0098580C" w:rsidRPr="00BC2C39">
        <w:rPr>
          <w:rFonts w:ascii="Calibri" w:hAnsi="Calibri"/>
          <w:b/>
          <w:color w:val="4F81BD" w:themeColor="accent1"/>
        </w:rPr>
        <w:t>that should arguably be included in every country’s NAP</w:t>
      </w:r>
      <w:r w:rsidR="0098580C">
        <w:rPr>
          <w:rFonts w:ascii="Calibri" w:hAnsi="Calibri"/>
        </w:rPr>
        <w:t xml:space="preserve">. </w:t>
      </w:r>
      <w:r w:rsidRPr="00D344A1">
        <w:rPr>
          <w:rFonts w:ascii="Calibri" w:hAnsi="Calibri"/>
        </w:rPr>
        <w:t>The</w:t>
      </w:r>
      <w:r w:rsidR="00AC27C7">
        <w:rPr>
          <w:rFonts w:ascii="Calibri" w:hAnsi="Calibri"/>
        </w:rPr>
        <w:t xml:space="preserve"> pillars </w:t>
      </w:r>
      <w:r w:rsidR="00820159">
        <w:rPr>
          <w:rFonts w:ascii="Calibri" w:hAnsi="Calibri"/>
        </w:rPr>
        <w:t>are: 1)</w:t>
      </w:r>
      <w:r w:rsidRPr="00D344A1">
        <w:rPr>
          <w:rFonts w:ascii="Calibri" w:hAnsi="Calibri"/>
        </w:rPr>
        <w:t xml:space="preserve"> </w:t>
      </w:r>
      <w:r w:rsidR="00820159">
        <w:rPr>
          <w:rFonts w:ascii="Calibri" w:hAnsi="Calibri"/>
        </w:rPr>
        <w:t>E</w:t>
      </w:r>
      <w:r w:rsidRPr="00D344A1">
        <w:rPr>
          <w:rFonts w:ascii="Calibri" w:hAnsi="Calibri"/>
        </w:rPr>
        <w:t>nsuring that women gain equal and meaningful opportunities to participate in decision-making du</w:t>
      </w:r>
      <w:r w:rsidR="00820159">
        <w:rPr>
          <w:rFonts w:ascii="Calibri" w:hAnsi="Calibri"/>
        </w:rPr>
        <w:t>ring the peace building process; 2)</w:t>
      </w:r>
      <w:r w:rsidRPr="00D344A1">
        <w:rPr>
          <w:rFonts w:ascii="Calibri" w:hAnsi="Calibri"/>
        </w:rPr>
        <w:t xml:space="preserve"> </w:t>
      </w:r>
      <w:r w:rsidR="00820159">
        <w:rPr>
          <w:rFonts w:ascii="Calibri" w:hAnsi="Calibri"/>
        </w:rPr>
        <w:t>The</w:t>
      </w:r>
      <w:r w:rsidRPr="00D344A1">
        <w:rPr>
          <w:rFonts w:ascii="Calibri" w:hAnsi="Calibri"/>
        </w:rPr>
        <w:t xml:space="preserve"> protection of women and girls from the violation of their rights during the post-conflict period and</w:t>
      </w:r>
      <w:r w:rsidR="00820159">
        <w:rPr>
          <w:rFonts w:ascii="Calibri" w:hAnsi="Calibri"/>
        </w:rPr>
        <w:t xml:space="preserve"> prevention of such violations; 3) Promoting</w:t>
      </w:r>
      <w:r w:rsidRPr="00D344A1">
        <w:rPr>
          <w:rFonts w:ascii="Calibri" w:hAnsi="Calibri"/>
        </w:rPr>
        <w:t xml:space="preserve"> the rights of women and girls and particularly the importance of gender-mainstreaming in all phases of the conflict transformat</w:t>
      </w:r>
      <w:r w:rsidR="00820159">
        <w:rPr>
          <w:rFonts w:ascii="Calibri" w:hAnsi="Calibri"/>
        </w:rPr>
        <w:t>ion and peace building process; 4) Ensuring</w:t>
      </w:r>
      <w:r w:rsidRPr="00D344A1">
        <w:rPr>
          <w:rFonts w:ascii="Calibri" w:hAnsi="Calibri"/>
        </w:rPr>
        <w:t xml:space="preserve"> that women are a part of the formulation and implementation of post-conflict relief and recovery measures to ensure that their sp</w:t>
      </w:r>
      <w:r w:rsidR="00820159">
        <w:rPr>
          <w:rFonts w:ascii="Calibri" w:hAnsi="Calibri"/>
        </w:rPr>
        <w:t>ecial needs are adequately met; and 5) Ensuring</w:t>
      </w:r>
      <w:r w:rsidRPr="00D344A1">
        <w:rPr>
          <w:rFonts w:ascii="Calibri" w:hAnsi="Calibri"/>
        </w:rPr>
        <w:t xml:space="preserve"> that resource mobilisation, and monitoring and evaluation of the NAP is sufficient </w:t>
      </w:r>
      <w:r w:rsidR="00AC27C7">
        <w:rPr>
          <w:rFonts w:ascii="Calibri" w:hAnsi="Calibri"/>
        </w:rPr>
        <w:t>to efficiently meet its stated</w:t>
      </w:r>
      <w:r w:rsidRPr="00D344A1">
        <w:rPr>
          <w:rFonts w:ascii="Calibri" w:hAnsi="Calibri"/>
        </w:rPr>
        <w:t xml:space="preserve"> goals. </w:t>
      </w:r>
    </w:p>
    <w:p w14:paraId="370D53BF" w14:textId="22CB1C6E" w:rsidR="00C9177E" w:rsidRDefault="00A61E6C" w:rsidP="00BC2C39">
      <w:pPr>
        <w:spacing w:before="100" w:beforeAutospacing="1" w:after="100" w:afterAutospacing="1" w:line="360" w:lineRule="auto"/>
        <w:jc w:val="both"/>
        <w:rPr>
          <w:rFonts w:ascii="Calibri" w:hAnsi="Calibri"/>
        </w:rPr>
      </w:pPr>
      <w:r>
        <w:rPr>
          <w:rFonts w:ascii="Calibri" w:hAnsi="Calibri"/>
        </w:rPr>
        <w:t>Nepal’s</w:t>
      </w:r>
      <w:r w:rsidR="00627211">
        <w:rPr>
          <w:rFonts w:ascii="Calibri" w:hAnsi="Calibri"/>
        </w:rPr>
        <w:t xml:space="preserve"> NAP</w:t>
      </w:r>
      <w:r>
        <w:rPr>
          <w:rFonts w:ascii="Calibri" w:hAnsi="Calibri"/>
        </w:rPr>
        <w:t>,</w:t>
      </w:r>
      <w:r w:rsidR="00627211">
        <w:rPr>
          <w:rFonts w:ascii="Calibri" w:hAnsi="Calibri"/>
        </w:rPr>
        <w:t xml:space="preserve"> like that of the DRC, </w:t>
      </w:r>
      <w:r w:rsidR="00BA1663" w:rsidRPr="00BC2C39">
        <w:rPr>
          <w:rFonts w:ascii="Calibri" w:hAnsi="Calibri"/>
          <w:b/>
          <w:color w:val="4F81BD" w:themeColor="accent1"/>
        </w:rPr>
        <w:t>reflects</w:t>
      </w:r>
      <w:r w:rsidR="00627211" w:rsidRPr="00BC2C39">
        <w:rPr>
          <w:rFonts w:ascii="Calibri" w:hAnsi="Calibri"/>
          <w:b/>
          <w:color w:val="4F81BD" w:themeColor="accent1"/>
        </w:rPr>
        <w:t xml:space="preserve"> </w:t>
      </w:r>
      <w:r w:rsidR="00BA1663" w:rsidRPr="00BC2C39">
        <w:rPr>
          <w:rFonts w:ascii="Calibri" w:hAnsi="Calibri"/>
          <w:b/>
          <w:color w:val="4F81BD" w:themeColor="accent1"/>
        </w:rPr>
        <w:t>binding</w:t>
      </w:r>
      <w:r w:rsidR="00627211" w:rsidRPr="00BC2C39">
        <w:rPr>
          <w:rFonts w:ascii="Calibri" w:hAnsi="Calibri"/>
          <w:b/>
          <w:color w:val="4F81BD" w:themeColor="accent1"/>
        </w:rPr>
        <w:t xml:space="preserve"> obligations under the legal framework</w:t>
      </w:r>
      <w:r w:rsidR="00627211">
        <w:rPr>
          <w:rFonts w:ascii="Calibri" w:hAnsi="Calibri"/>
        </w:rPr>
        <w:t xml:space="preserve"> on women, peace and security, drawn not only from the SCRs but also from CEDAW and the BPfA. The NAP lists several policies and plans that are relevant to women, peace and security. These include </w:t>
      </w:r>
      <w:r w:rsidR="00C9177E">
        <w:rPr>
          <w:rFonts w:ascii="Calibri" w:hAnsi="Calibri"/>
        </w:rPr>
        <w:t xml:space="preserve">the </w:t>
      </w:r>
      <w:r w:rsidR="00627211">
        <w:rPr>
          <w:rFonts w:ascii="Calibri" w:hAnsi="Calibri"/>
        </w:rPr>
        <w:t>Nationa</w:t>
      </w:r>
      <w:r>
        <w:rPr>
          <w:rFonts w:ascii="Calibri" w:hAnsi="Calibri"/>
        </w:rPr>
        <w:t>l Action Plans</w:t>
      </w:r>
      <w:r w:rsidR="00AF7F0B">
        <w:rPr>
          <w:rFonts w:ascii="Calibri" w:hAnsi="Calibri"/>
        </w:rPr>
        <w:t>:</w:t>
      </w:r>
      <w:r w:rsidR="00627211">
        <w:rPr>
          <w:rFonts w:ascii="Calibri" w:hAnsi="Calibri"/>
        </w:rPr>
        <w:t xml:space="preserve"> </w:t>
      </w:r>
      <w:r w:rsidR="00C9177E">
        <w:rPr>
          <w:rFonts w:ascii="Calibri" w:hAnsi="Calibri"/>
        </w:rPr>
        <w:t xml:space="preserve">on the Implementation of </w:t>
      </w:r>
      <w:r w:rsidR="00627211">
        <w:rPr>
          <w:rFonts w:ascii="Calibri" w:hAnsi="Calibri"/>
        </w:rPr>
        <w:t>CEDA</w:t>
      </w:r>
      <w:r w:rsidR="00AF7F0B">
        <w:rPr>
          <w:rFonts w:ascii="Calibri" w:hAnsi="Calibri"/>
        </w:rPr>
        <w:t xml:space="preserve">W (2004); on </w:t>
      </w:r>
      <w:r w:rsidR="00C9177E">
        <w:rPr>
          <w:rFonts w:ascii="Calibri" w:hAnsi="Calibri"/>
        </w:rPr>
        <w:t xml:space="preserve">Gender Equality and Empowerment of Women (2005) which </w:t>
      </w:r>
      <w:r w:rsidR="00AC2C21">
        <w:rPr>
          <w:rFonts w:ascii="Calibri" w:hAnsi="Calibri"/>
        </w:rPr>
        <w:t>outlines</w:t>
      </w:r>
      <w:r w:rsidR="00C9177E">
        <w:rPr>
          <w:rFonts w:ascii="Calibri" w:hAnsi="Calibri"/>
        </w:rPr>
        <w:t xml:space="preserve"> Nepal’s commitments </w:t>
      </w:r>
      <w:r w:rsidR="00AC2C21">
        <w:rPr>
          <w:rFonts w:ascii="Calibri" w:hAnsi="Calibri"/>
        </w:rPr>
        <w:t>in relation to t</w:t>
      </w:r>
      <w:r>
        <w:rPr>
          <w:rFonts w:ascii="Calibri" w:hAnsi="Calibri"/>
        </w:rPr>
        <w:t>he BPfA</w:t>
      </w:r>
      <w:r w:rsidR="00AF7F0B">
        <w:rPr>
          <w:rFonts w:ascii="Calibri" w:hAnsi="Calibri"/>
        </w:rPr>
        <w:t xml:space="preserve">; and </w:t>
      </w:r>
      <w:r>
        <w:rPr>
          <w:rFonts w:ascii="Calibri" w:hAnsi="Calibri"/>
        </w:rPr>
        <w:t>against Gender-Based Violence is also relevant to</w:t>
      </w:r>
      <w:r w:rsidR="00C9177E">
        <w:rPr>
          <w:rFonts w:ascii="Calibri" w:hAnsi="Calibri"/>
        </w:rPr>
        <w:t xml:space="preserve"> addressing conflict</w:t>
      </w:r>
      <w:r w:rsidR="00AF7F0B">
        <w:rPr>
          <w:rFonts w:ascii="Calibri" w:hAnsi="Calibri"/>
        </w:rPr>
        <w:t xml:space="preserve">-related SGBV. The </w:t>
      </w:r>
      <w:r w:rsidR="00C9177E">
        <w:rPr>
          <w:rFonts w:ascii="Calibri" w:hAnsi="Calibri"/>
        </w:rPr>
        <w:t>Government’s three-year national human rights plan and its Local Peace Committees</w:t>
      </w:r>
      <w:r w:rsidR="00AF7F0B">
        <w:rPr>
          <w:rFonts w:ascii="Calibri" w:hAnsi="Calibri"/>
        </w:rPr>
        <w:t xml:space="preserve"> are also relevant to the legal framework, and the NAP notes the need for women’s participation in the latter</w:t>
      </w:r>
      <w:r w:rsidR="00C9177E">
        <w:rPr>
          <w:rFonts w:ascii="Calibri" w:hAnsi="Calibri"/>
        </w:rPr>
        <w:t>.</w:t>
      </w:r>
      <w:r w:rsidR="00C9177E" w:rsidRPr="00C9177E">
        <w:rPr>
          <w:rStyle w:val="FootnoteReference"/>
          <w:rFonts w:ascii="Calibri" w:hAnsi="Calibri"/>
        </w:rPr>
        <w:t xml:space="preserve"> </w:t>
      </w:r>
      <w:r w:rsidR="00C9177E">
        <w:rPr>
          <w:rStyle w:val="FootnoteReference"/>
          <w:rFonts w:ascii="Calibri" w:hAnsi="Calibri"/>
        </w:rPr>
        <w:footnoteReference w:id="185"/>
      </w:r>
      <w:r w:rsidR="00C9177E">
        <w:rPr>
          <w:rFonts w:ascii="Calibri" w:hAnsi="Calibri"/>
        </w:rPr>
        <w:t xml:space="preserve"> Although</w:t>
      </w:r>
      <w:r>
        <w:rPr>
          <w:rFonts w:ascii="Calibri" w:hAnsi="Calibri"/>
        </w:rPr>
        <w:t xml:space="preserve"> Nepal’s</w:t>
      </w:r>
      <w:r w:rsidR="00C9177E">
        <w:rPr>
          <w:rFonts w:ascii="Calibri" w:hAnsi="Calibri"/>
        </w:rPr>
        <w:t xml:space="preserve"> international l</w:t>
      </w:r>
      <w:r w:rsidR="002C30B7">
        <w:rPr>
          <w:rFonts w:ascii="Calibri" w:hAnsi="Calibri"/>
        </w:rPr>
        <w:t xml:space="preserve">egal obligations </w:t>
      </w:r>
      <w:r>
        <w:rPr>
          <w:rFonts w:ascii="Calibri" w:hAnsi="Calibri"/>
        </w:rPr>
        <w:t>are</w:t>
      </w:r>
      <w:r w:rsidR="00C9177E">
        <w:rPr>
          <w:rFonts w:ascii="Calibri" w:hAnsi="Calibri"/>
        </w:rPr>
        <w:t xml:space="preserve"> not a</w:t>
      </w:r>
      <w:r w:rsidR="00AC2C21">
        <w:rPr>
          <w:rFonts w:ascii="Calibri" w:hAnsi="Calibri"/>
        </w:rPr>
        <w:t>n explicit</w:t>
      </w:r>
      <w:r w:rsidR="00C9177E">
        <w:rPr>
          <w:rFonts w:ascii="Calibri" w:hAnsi="Calibri"/>
        </w:rPr>
        <w:t xml:space="preserve"> focus of the NAP, the inclusion of these documents</w:t>
      </w:r>
      <w:r w:rsidR="002C30B7">
        <w:rPr>
          <w:rFonts w:ascii="Calibri" w:hAnsi="Calibri"/>
        </w:rPr>
        <w:t xml:space="preserve"> in the NAP</w:t>
      </w:r>
      <w:r w:rsidR="00C9177E">
        <w:rPr>
          <w:rFonts w:ascii="Calibri" w:hAnsi="Calibri"/>
        </w:rPr>
        <w:t xml:space="preserve"> </w:t>
      </w:r>
      <w:r w:rsidR="002C30B7">
        <w:rPr>
          <w:rFonts w:ascii="Calibri" w:hAnsi="Calibri"/>
        </w:rPr>
        <w:t>reflects Nepal’s</w:t>
      </w:r>
      <w:r w:rsidR="00C9177E">
        <w:rPr>
          <w:rFonts w:ascii="Calibri" w:hAnsi="Calibri"/>
        </w:rPr>
        <w:t xml:space="preserve"> whole-of-government, multi-sectoral and holistic approach</w:t>
      </w:r>
      <w:r w:rsidR="00C8102E">
        <w:rPr>
          <w:rFonts w:ascii="Calibri" w:hAnsi="Calibri"/>
        </w:rPr>
        <w:t xml:space="preserve">, grounded in the legal framework, </w:t>
      </w:r>
      <w:r w:rsidR="00C9177E">
        <w:rPr>
          <w:rFonts w:ascii="Calibri" w:hAnsi="Calibri"/>
        </w:rPr>
        <w:t xml:space="preserve">to </w:t>
      </w:r>
      <w:r w:rsidR="002C30B7">
        <w:rPr>
          <w:rFonts w:ascii="Calibri" w:hAnsi="Calibri"/>
        </w:rPr>
        <w:t>upholding</w:t>
      </w:r>
      <w:r w:rsidR="00C9177E">
        <w:rPr>
          <w:rFonts w:ascii="Calibri" w:hAnsi="Calibri"/>
        </w:rPr>
        <w:t xml:space="preserve"> the rights of conflict-affected women, girls, men and boys</w:t>
      </w:r>
      <w:r w:rsidR="00AC2C21">
        <w:rPr>
          <w:rFonts w:ascii="Calibri" w:hAnsi="Calibri"/>
        </w:rPr>
        <w:t xml:space="preserve">. </w:t>
      </w:r>
    </w:p>
    <w:p w14:paraId="59CC8C1F" w14:textId="0C442554" w:rsidR="005C68CA" w:rsidRPr="00BC2C39" w:rsidRDefault="005C68CA" w:rsidP="007F364C">
      <w:pPr>
        <w:pStyle w:val="ListParagraph"/>
        <w:numPr>
          <w:ilvl w:val="0"/>
          <w:numId w:val="10"/>
        </w:numPr>
        <w:spacing w:before="100" w:beforeAutospacing="1" w:after="100" w:afterAutospacing="1"/>
        <w:jc w:val="both"/>
        <w:rPr>
          <w:rFonts w:ascii="Calibri" w:hAnsi="Calibri"/>
          <w:b/>
          <w:color w:val="1F497D" w:themeColor="text2"/>
        </w:rPr>
      </w:pPr>
      <w:r w:rsidRPr="00BC2C39">
        <w:rPr>
          <w:rFonts w:ascii="Calibri" w:hAnsi="Calibri"/>
          <w:b/>
          <w:color w:val="1F497D" w:themeColor="text2"/>
        </w:rPr>
        <w:lastRenderedPageBreak/>
        <w:t xml:space="preserve">Implementation </w:t>
      </w:r>
      <w:r w:rsidR="000F530A" w:rsidRPr="00BC2C39">
        <w:rPr>
          <w:rFonts w:ascii="Calibri" w:hAnsi="Calibri"/>
          <w:b/>
          <w:color w:val="1F497D" w:themeColor="text2"/>
        </w:rPr>
        <w:t xml:space="preserve">of the NAP </w:t>
      </w:r>
      <w:r w:rsidRPr="00BC2C39">
        <w:rPr>
          <w:rFonts w:ascii="Calibri" w:hAnsi="Calibri"/>
          <w:b/>
          <w:color w:val="1F497D" w:themeColor="text2"/>
        </w:rPr>
        <w:t>by the Government, Development Agencies and Civil Society</w:t>
      </w:r>
    </w:p>
    <w:p w14:paraId="172855EF" w14:textId="77777777" w:rsidR="005C68CA" w:rsidRPr="00BC2C39" w:rsidRDefault="005C68CA" w:rsidP="005C68CA">
      <w:pPr>
        <w:spacing w:before="100" w:beforeAutospacing="1" w:after="100" w:afterAutospacing="1"/>
        <w:jc w:val="both"/>
        <w:rPr>
          <w:rFonts w:ascii="Calibri" w:hAnsi="Calibri"/>
          <w:b/>
          <w:color w:val="1F497D" w:themeColor="text2"/>
          <w:u w:val="single"/>
        </w:rPr>
      </w:pPr>
      <w:r w:rsidRPr="00BC2C39">
        <w:rPr>
          <w:rFonts w:ascii="Calibri" w:hAnsi="Calibri"/>
          <w:b/>
          <w:color w:val="1F497D" w:themeColor="text2"/>
          <w:u w:val="single"/>
        </w:rPr>
        <w:t>Government</w:t>
      </w:r>
    </w:p>
    <w:p w14:paraId="5CA69514" w14:textId="74F7C588" w:rsidR="00EA3ABC" w:rsidRDefault="005C68CA" w:rsidP="00BC2C39">
      <w:pPr>
        <w:spacing w:before="100" w:beforeAutospacing="1" w:after="100" w:afterAutospacing="1" w:line="360" w:lineRule="auto"/>
        <w:jc w:val="both"/>
        <w:rPr>
          <w:rFonts w:ascii="Calibri" w:hAnsi="Calibri"/>
        </w:rPr>
      </w:pPr>
      <w:r w:rsidRPr="00D344A1">
        <w:rPr>
          <w:rFonts w:ascii="Calibri" w:hAnsi="Calibri"/>
        </w:rPr>
        <w:t xml:space="preserve">While Nepal’s NAP </w:t>
      </w:r>
      <w:r w:rsidR="00EA3ABC">
        <w:rPr>
          <w:rFonts w:ascii="Calibri" w:hAnsi="Calibri"/>
        </w:rPr>
        <w:t xml:space="preserve">is acknowledged for </w:t>
      </w:r>
      <w:r w:rsidR="00AC2C21">
        <w:rPr>
          <w:rFonts w:ascii="Calibri" w:hAnsi="Calibri"/>
        </w:rPr>
        <w:t>an</w:t>
      </w:r>
      <w:r w:rsidR="00EA3ABC">
        <w:rPr>
          <w:rFonts w:ascii="Calibri" w:hAnsi="Calibri"/>
        </w:rPr>
        <w:t xml:space="preserve"> inclusive design that prioritised women’s participation, </w:t>
      </w:r>
      <w:r w:rsidRPr="00D344A1">
        <w:rPr>
          <w:rFonts w:ascii="Calibri" w:hAnsi="Calibri"/>
        </w:rPr>
        <w:t>it is important that</w:t>
      </w:r>
      <w:r w:rsidR="00EA3ABC">
        <w:rPr>
          <w:rFonts w:ascii="Calibri" w:hAnsi="Calibri"/>
        </w:rPr>
        <w:t xml:space="preserve"> the Government’s</w:t>
      </w:r>
      <w:r w:rsidRPr="00D344A1">
        <w:rPr>
          <w:rFonts w:ascii="Calibri" w:hAnsi="Calibri"/>
        </w:rPr>
        <w:t xml:space="preserve"> progress does not fall victim to complacency.</w:t>
      </w:r>
      <w:r w:rsidR="00382197">
        <w:rPr>
          <w:rFonts w:ascii="Calibri" w:hAnsi="Calibri"/>
        </w:rPr>
        <w:t xml:space="preserve"> Government actions so far have focused on</w:t>
      </w:r>
      <w:r w:rsidR="00F41911">
        <w:rPr>
          <w:rFonts w:ascii="Calibri" w:hAnsi="Calibri"/>
        </w:rPr>
        <w:t xml:space="preserve"> </w:t>
      </w:r>
      <w:r w:rsidR="00AF7F0B" w:rsidRPr="00BC2C39">
        <w:rPr>
          <w:rFonts w:ascii="Calibri" w:hAnsi="Calibri"/>
          <w:b/>
          <w:color w:val="4F81BD" w:themeColor="accent1"/>
        </w:rPr>
        <w:t>collaborating with</w:t>
      </w:r>
      <w:r w:rsidR="00126B2E" w:rsidRPr="00BC2C39">
        <w:rPr>
          <w:rFonts w:ascii="Calibri" w:hAnsi="Calibri"/>
          <w:b/>
          <w:color w:val="4F81BD" w:themeColor="accent1"/>
        </w:rPr>
        <w:t xml:space="preserve"> </w:t>
      </w:r>
      <w:r w:rsidR="00F41911" w:rsidRPr="00BC2C39">
        <w:rPr>
          <w:rFonts w:ascii="Calibri" w:hAnsi="Calibri"/>
          <w:b/>
          <w:color w:val="4F81BD" w:themeColor="accent1"/>
        </w:rPr>
        <w:t>dynamic civil society actors</w:t>
      </w:r>
      <w:r w:rsidR="00F41911" w:rsidRPr="00BC2C39">
        <w:rPr>
          <w:rFonts w:ascii="Calibri" w:hAnsi="Calibri"/>
          <w:color w:val="4F81BD" w:themeColor="accent1"/>
        </w:rPr>
        <w:t xml:space="preserve">, </w:t>
      </w:r>
      <w:r w:rsidR="00F41911" w:rsidRPr="00BC2C39">
        <w:rPr>
          <w:rFonts w:ascii="Calibri" w:hAnsi="Calibri"/>
          <w:b/>
          <w:color w:val="4F81BD" w:themeColor="accent1"/>
        </w:rPr>
        <w:t>including women’s</w:t>
      </w:r>
      <w:r w:rsidR="00F41911" w:rsidRPr="00BC2C39">
        <w:rPr>
          <w:rFonts w:ascii="Calibri" w:hAnsi="Calibri"/>
          <w:color w:val="4F81BD" w:themeColor="accent1"/>
        </w:rPr>
        <w:t xml:space="preserve"> </w:t>
      </w:r>
      <w:r w:rsidR="00F41911" w:rsidRPr="00BC2C39">
        <w:rPr>
          <w:rFonts w:ascii="Calibri" w:hAnsi="Calibri"/>
          <w:b/>
          <w:color w:val="4F81BD" w:themeColor="accent1"/>
        </w:rPr>
        <w:t>organizations</w:t>
      </w:r>
      <w:r w:rsidR="00F41911" w:rsidRPr="00BC2C39">
        <w:rPr>
          <w:rFonts w:ascii="Calibri" w:hAnsi="Calibri"/>
          <w:color w:val="4F81BD" w:themeColor="accent1"/>
        </w:rPr>
        <w:t>, in</w:t>
      </w:r>
      <w:r w:rsidR="00382197" w:rsidRPr="00BC2C39">
        <w:rPr>
          <w:rFonts w:ascii="Calibri" w:hAnsi="Calibri"/>
          <w:color w:val="4F81BD" w:themeColor="accent1"/>
        </w:rPr>
        <w:t xml:space="preserve"> </w:t>
      </w:r>
      <w:r w:rsidR="00382197" w:rsidRPr="00BC2C39">
        <w:rPr>
          <w:rFonts w:ascii="Calibri" w:hAnsi="Calibri"/>
          <w:b/>
          <w:color w:val="4F81BD" w:themeColor="accent1"/>
        </w:rPr>
        <w:t>mo</w:t>
      </w:r>
      <w:r w:rsidR="00F41911" w:rsidRPr="00BC2C39">
        <w:rPr>
          <w:rFonts w:ascii="Calibri" w:hAnsi="Calibri"/>
          <w:b/>
          <w:color w:val="4F81BD" w:themeColor="accent1"/>
        </w:rPr>
        <w:t>nitoring and evaluating</w:t>
      </w:r>
      <w:r w:rsidR="00F41911">
        <w:rPr>
          <w:rFonts w:ascii="Calibri" w:hAnsi="Calibri"/>
        </w:rPr>
        <w:t xml:space="preserve"> the NAP. </w:t>
      </w:r>
      <w:r w:rsidRPr="00D344A1">
        <w:rPr>
          <w:rFonts w:ascii="Calibri" w:hAnsi="Calibri"/>
        </w:rPr>
        <w:t>The</w:t>
      </w:r>
      <w:r w:rsidR="00B26BB2">
        <w:rPr>
          <w:rFonts w:ascii="Calibri" w:hAnsi="Calibri"/>
        </w:rPr>
        <w:t xml:space="preserve"> </w:t>
      </w:r>
      <w:r w:rsidR="00AC2C21">
        <w:rPr>
          <w:rFonts w:ascii="Calibri" w:hAnsi="Calibri"/>
        </w:rPr>
        <w:t>Ministry</w:t>
      </w:r>
      <w:r w:rsidR="00B26BB2">
        <w:rPr>
          <w:rFonts w:ascii="Calibri" w:hAnsi="Calibri"/>
        </w:rPr>
        <w:t xml:space="preserve"> and the 1325 Action Group (led by </w:t>
      </w:r>
      <w:r w:rsidR="0097569B">
        <w:rPr>
          <w:rFonts w:ascii="Calibri" w:hAnsi="Calibri"/>
        </w:rPr>
        <w:t>local civil society organization</w:t>
      </w:r>
      <w:r w:rsidR="00B26BB2">
        <w:rPr>
          <w:rFonts w:ascii="Calibri" w:hAnsi="Calibri"/>
        </w:rPr>
        <w:t xml:space="preserve"> Saathi) produced a </w:t>
      </w:r>
      <w:r w:rsidRPr="00D344A1">
        <w:rPr>
          <w:rFonts w:ascii="Calibri" w:hAnsi="Calibri"/>
        </w:rPr>
        <w:t>mid-ter</w:t>
      </w:r>
      <w:r w:rsidR="00382197">
        <w:rPr>
          <w:rFonts w:ascii="Calibri" w:hAnsi="Calibri"/>
        </w:rPr>
        <w:t xml:space="preserve">m monitoring report of the NAP </w:t>
      </w:r>
      <w:r w:rsidRPr="00D344A1">
        <w:rPr>
          <w:rFonts w:ascii="Calibri" w:hAnsi="Calibri"/>
        </w:rPr>
        <w:t>in Septemb</w:t>
      </w:r>
      <w:r w:rsidR="00B26BB2">
        <w:rPr>
          <w:rFonts w:ascii="Calibri" w:hAnsi="Calibri"/>
        </w:rPr>
        <w:t>er 2014 (</w:t>
      </w:r>
      <w:r w:rsidR="00E75694">
        <w:rPr>
          <w:rFonts w:ascii="Calibri" w:hAnsi="Calibri"/>
        </w:rPr>
        <w:t>the</w:t>
      </w:r>
      <w:r w:rsidR="00B26BB2">
        <w:rPr>
          <w:rFonts w:ascii="Calibri" w:hAnsi="Calibri"/>
        </w:rPr>
        <w:t xml:space="preserve"> report).</w:t>
      </w:r>
      <w:r w:rsidR="008C5F9D">
        <w:rPr>
          <w:rStyle w:val="FootnoteReference"/>
          <w:rFonts w:ascii="Calibri" w:hAnsi="Calibri"/>
        </w:rPr>
        <w:footnoteReference w:id="186"/>
      </w:r>
      <w:r w:rsidR="0097569B">
        <w:rPr>
          <w:rFonts w:ascii="Calibri" w:hAnsi="Calibri"/>
        </w:rPr>
        <w:t xml:space="preserve"> The mid-term report followed a one-year monitoring report</w:t>
      </w:r>
      <w:r w:rsidR="00AC2C21">
        <w:rPr>
          <w:rFonts w:ascii="Calibri" w:hAnsi="Calibri"/>
        </w:rPr>
        <w:t>,</w:t>
      </w:r>
      <w:r w:rsidR="0097569B">
        <w:rPr>
          <w:rFonts w:ascii="Calibri" w:hAnsi="Calibri"/>
        </w:rPr>
        <w:t xml:space="preserve"> produced</w:t>
      </w:r>
      <w:r w:rsidR="00AC2C21">
        <w:rPr>
          <w:rFonts w:ascii="Calibri" w:hAnsi="Calibri"/>
        </w:rPr>
        <w:t xml:space="preserve"> by the same partners</w:t>
      </w:r>
      <w:r w:rsidR="0097569B">
        <w:rPr>
          <w:rFonts w:ascii="Calibri" w:hAnsi="Calibri"/>
        </w:rPr>
        <w:t xml:space="preserve"> in 2012. </w:t>
      </w:r>
      <w:r w:rsidR="0075428A">
        <w:rPr>
          <w:rFonts w:ascii="Calibri" w:hAnsi="Calibri"/>
        </w:rPr>
        <w:t xml:space="preserve"> The r</w:t>
      </w:r>
      <w:r w:rsidR="00B26BB2">
        <w:rPr>
          <w:rFonts w:ascii="Calibri" w:hAnsi="Calibri"/>
        </w:rPr>
        <w:t>eport</w:t>
      </w:r>
      <w:r w:rsidR="00EA3ABC">
        <w:rPr>
          <w:rFonts w:ascii="Calibri" w:hAnsi="Calibri"/>
        </w:rPr>
        <w:t xml:space="preserve"> </w:t>
      </w:r>
      <w:r w:rsidR="00126B2E">
        <w:rPr>
          <w:rFonts w:ascii="Calibri" w:hAnsi="Calibri"/>
        </w:rPr>
        <w:t>covers</w:t>
      </w:r>
      <w:r w:rsidR="00EA3ABC">
        <w:rPr>
          <w:rFonts w:ascii="Calibri" w:hAnsi="Calibri"/>
        </w:rPr>
        <w:t xml:space="preserve"> </w:t>
      </w:r>
      <w:r w:rsidRPr="00D344A1">
        <w:rPr>
          <w:rFonts w:ascii="Calibri" w:hAnsi="Calibri"/>
        </w:rPr>
        <w:t>three years of implementation</w:t>
      </w:r>
      <w:r w:rsidR="00B26BB2">
        <w:rPr>
          <w:rFonts w:ascii="Calibri" w:hAnsi="Calibri"/>
        </w:rPr>
        <w:t xml:space="preserve">, </w:t>
      </w:r>
      <w:r w:rsidR="00126B2E">
        <w:rPr>
          <w:rFonts w:ascii="Calibri" w:hAnsi="Calibri"/>
        </w:rPr>
        <w:t>via</w:t>
      </w:r>
      <w:r w:rsidRPr="00D344A1">
        <w:rPr>
          <w:rFonts w:ascii="Calibri" w:hAnsi="Calibri"/>
        </w:rPr>
        <w:t xml:space="preserve"> indicators</w:t>
      </w:r>
      <w:r w:rsidR="00B148B8">
        <w:rPr>
          <w:rFonts w:ascii="Calibri" w:hAnsi="Calibri"/>
        </w:rPr>
        <w:t xml:space="preserve"> and strategic objectives</w:t>
      </w:r>
      <w:r w:rsidRPr="00D344A1">
        <w:rPr>
          <w:rFonts w:ascii="Calibri" w:hAnsi="Calibri"/>
        </w:rPr>
        <w:t xml:space="preserve"> for </w:t>
      </w:r>
      <w:r w:rsidR="00B26BB2">
        <w:rPr>
          <w:rFonts w:ascii="Calibri" w:hAnsi="Calibri"/>
        </w:rPr>
        <w:t>all</w:t>
      </w:r>
      <w:r w:rsidRPr="00D344A1">
        <w:rPr>
          <w:rFonts w:ascii="Calibri" w:hAnsi="Calibri"/>
        </w:rPr>
        <w:t xml:space="preserve"> five pillars</w:t>
      </w:r>
      <w:r w:rsidR="00B26BB2">
        <w:rPr>
          <w:rFonts w:ascii="Calibri" w:hAnsi="Calibri"/>
        </w:rPr>
        <w:t>.</w:t>
      </w:r>
      <w:r w:rsidR="002C30B7">
        <w:rPr>
          <w:rFonts w:ascii="Calibri" w:hAnsi="Calibri"/>
        </w:rPr>
        <w:t xml:space="preserve"> </w:t>
      </w:r>
      <w:r w:rsidR="00B26BB2">
        <w:rPr>
          <w:rFonts w:ascii="Calibri" w:hAnsi="Calibri"/>
        </w:rPr>
        <w:t>The report records major</w:t>
      </w:r>
      <w:r w:rsidRPr="00D344A1">
        <w:rPr>
          <w:rFonts w:ascii="Calibri" w:hAnsi="Calibri"/>
        </w:rPr>
        <w:t xml:space="preserve"> achievements</w:t>
      </w:r>
      <w:r w:rsidR="00B26BB2">
        <w:rPr>
          <w:rFonts w:ascii="Calibri" w:hAnsi="Calibri"/>
        </w:rPr>
        <w:t xml:space="preserve"> of the NAP</w:t>
      </w:r>
      <w:r w:rsidRPr="00D344A1">
        <w:rPr>
          <w:rFonts w:ascii="Calibri" w:hAnsi="Calibri"/>
        </w:rPr>
        <w:t xml:space="preserve"> </w:t>
      </w:r>
      <w:r w:rsidR="00EA3ABC">
        <w:rPr>
          <w:rFonts w:ascii="Calibri" w:hAnsi="Calibri"/>
        </w:rPr>
        <w:t>so</w:t>
      </w:r>
      <w:r w:rsidRPr="00D344A1">
        <w:rPr>
          <w:rFonts w:ascii="Calibri" w:hAnsi="Calibri"/>
        </w:rPr>
        <w:t xml:space="preserve"> far</w:t>
      </w:r>
      <w:r w:rsidR="00EA3ABC">
        <w:rPr>
          <w:rFonts w:ascii="Calibri" w:hAnsi="Calibri"/>
        </w:rPr>
        <w:t>:</w:t>
      </w:r>
      <w:r w:rsidRPr="00D344A1">
        <w:rPr>
          <w:rFonts w:ascii="Calibri" w:hAnsi="Calibri"/>
        </w:rPr>
        <w:t xml:space="preserve"> </w:t>
      </w:r>
      <w:r w:rsidR="00EA3ABC">
        <w:rPr>
          <w:rFonts w:ascii="Calibri" w:hAnsi="Calibri"/>
        </w:rPr>
        <w:t>increas</w:t>
      </w:r>
      <w:r w:rsidR="00B26BB2">
        <w:rPr>
          <w:rFonts w:ascii="Calibri" w:hAnsi="Calibri"/>
        </w:rPr>
        <w:t>ed</w:t>
      </w:r>
      <w:r w:rsidR="00EA3ABC">
        <w:rPr>
          <w:rFonts w:ascii="Calibri" w:hAnsi="Calibri"/>
        </w:rPr>
        <w:t xml:space="preserve"> general awareness</w:t>
      </w:r>
      <w:r w:rsidR="00B26BB2">
        <w:rPr>
          <w:rFonts w:ascii="Calibri" w:hAnsi="Calibri"/>
        </w:rPr>
        <w:t xml:space="preserve"> of women, peace and security issues</w:t>
      </w:r>
      <w:r w:rsidR="00EA3ABC">
        <w:rPr>
          <w:rFonts w:ascii="Calibri" w:hAnsi="Calibri"/>
        </w:rPr>
        <w:t>;</w:t>
      </w:r>
      <w:r w:rsidRPr="00D344A1">
        <w:rPr>
          <w:rFonts w:ascii="Calibri" w:hAnsi="Calibri"/>
        </w:rPr>
        <w:t xml:space="preserve"> resource a</w:t>
      </w:r>
      <w:r w:rsidR="00EA3ABC">
        <w:rPr>
          <w:rFonts w:ascii="Calibri" w:hAnsi="Calibri"/>
        </w:rPr>
        <w:t>llocation for implementation;</w:t>
      </w:r>
      <w:r w:rsidRPr="00D344A1">
        <w:rPr>
          <w:rFonts w:ascii="Calibri" w:hAnsi="Calibri"/>
        </w:rPr>
        <w:t xml:space="preserve"> ca</w:t>
      </w:r>
      <w:r w:rsidR="00EA3ABC">
        <w:rPr>
          <w:rFonts w:ascii="Calibri" w:hAnsi="Calibri"/>
        </w:rPr>
        <w:t>pacity building;</w:t>
      </w:r>
      <w:r w:rsidRPr="00D344A1">
        <w:rPr>
          <w:rFonts w:ascii="Calibri" w:hAnsi="Calibri"/>
        </w:rPr>
        <w:t xml:space="preserve"> and infrastr</w:t>
      </w:r>
      <w:r w:rsidR="00EA3ABC">
        <w:rPr>
          <w:rFonts w:ascii="Calibri" w:hAnsi="Calibri"/>
        </w:rPr>
        <w:t xml:space="preserve">ucture development. However, the report </w:t>
      </w:r>
      <w:r w:rsidRPr="00D344A1">
        <w:rPr>
          <w:rFonts w:ascii="Calibri" w:hAnsi="Calibri"/>
        </w:rPr>
        <w:t>also ident</w:t>
      </w:r>
      <w:r w:rsidR="00C23014">
        <w:rPr>
          <w:rFonts w:ascii="Calibri" w:hAnsi="Calibri"/>
        </w:rPr>
        <w:t>ifies gaps in implementation</w:t>
      </w:r>
      <w:r w:rsidRPr="00D344A1">
        <w:rPr>
          <w:rFonts w:ascii="Calibri" w:hAnsi="Calibri"/>
        </w:rPr>
        <w:t xml:space="preserve"> at the national and local levels and makes recommendations to </w:t>
      </w:r>
      <w:r w:rsidR="00EA3ABC">
        <w:rPr>
          <w:rFonts w:ascii="Calibri" w:hAnsi="Calibri"/>
        </w:rPr>
        <w:t xml:space="preserve">remedy these. </w:t>
      </w:r>
      <w:r w:rsidR="00126B2E">
        <w:rPr>
          <w:rFonts w:ascii="Calibri" w:hAnsi="Calibri"/>
        </w:rPr>
        <w:t>I</w:t>
      </w:r>
      <w:r w:rsidRPr="00D344A1">
        <w:rPr>
          <w:rFonts w:ascii="Calibri" w:hAnsi="Calibri"/>
        </w:rPr>
        <w:t xml:space="preserve">mplementation has </w:t>
      </w:r>
      <w:r w:rsidR="00EA3ABC">
        <w:rPr>
          <w:rFonts w:ascii="Calibri" w:hAnsi="Calibri"/>
        </w:rPr>
        <w:t>oc</w:t>
      </w:r>
      <w:r w:rsidR="00B26BB2">
        <w:rPr>
          <w:rFonts w:ascii="Calibri" w:hAnsi="Calibri"/>
        </w:rPr>
        <w:t>c</w:t>
      </w:r>
      <w:r w:rsidR="00EA3ABC">
        <w:rPr>
          <w:rFonts w:ascii="Calibri" w:hAnsi="Calibri"/>
        </w:rPr>
        <w:t>urred</w:t>
      </w:r>
      <w:r w:rsidRPr="00D344A1">
        <w:rPr>
          <w:rFonts w:ascii="Calibri" w:hAnsi="Calibri"/>
        </w:rPr>
        <w:t xml:space="preserve"> predominantly at the central</w:t>
      </w:r>
      <w:r w:rsidR="00EA3ABC">
        <w:rPr>
          <w:rFonts w:ascii="Calibri" w:hAnsi="Calibri"/>
        </w:rPr>
        <w:t xml:space="preserve"> government</w:t>
      </w:r>
      <w:r w:rsidR="00126B2E">
        <w:rPr>
          <w:rFonts w:ascii="Calibri" w:hAnsi="Calibri"/>
        </w:rPr>
        <w:t xml:space="preserve"> level and </w:t>
      </w:r>
      <w:r w:rsidRPr="00D344A1">
        <w:rPr>
          <w:rFonts w:ascii="Calibri" w:hAnsi="Calibri"/>
        </w:rPr>
        <w:t>“needs to be promoted and extended to the local level for greater outreach to conflict affected women and girls”.</w:t>
      </w:r>
      <w:r w:rsidRPr="00D344A1">
        <w:rPr>
          <w:rStyle w:val="FootnoteReference"/>
          <w:rFonts w:ascii="Calibri" w:hAnsi="Calibri"/>
        </w:rPr>
        <w:footnoteReference w:id="187"/>
      </w:r>
      <w:r w:rsidRPr="00D344A1">
        <w:rPr>
          <w:rFonts w:ascii="Calibri" w:hAnsi="Calibri"/>
        </w:rPr>
        <w:t xml:space="preserve"> The report </w:t>
      </w:r>
      <w:r w:rsidR="00EA3ABC">
        <w:rPr>
          <w:rFonts w:ascii="Calibri" w:hAnsi="Calibri"/>
        </w:rPr>
        <w:t>call</w:t>
      </w:r>
      <w:r w:rsidR="00E75694">
        <w:rPr>
          <w:rFonts w:ascii="Calibri" w:hAnsi="Calibri"/>
        </w:rPr>
        <w:t>s</w:t>
      </w:r>
      <w:r w:rsidR="00EA3ABC">
        <w:rPr>
          <w:rFonts w:ascii="Calibri" w:hAnsi="Calibri"/>
        </w:rPr>
        <w:t xml:space="preserve"> for improved responses to rape and domestic violence by</w:t>
      </w:r>
      <w:r w:rsidRPr="00D344A1">
        <w:rPr>
          <w:rFonts w:ascii="Calibri" w:hAnsi="Calibri"/>
        </w:rPr>
        <w:t xml:space="preserve"> service providers, policing and government agencies</w:t>
      </w:r>
      <w:r w:rsidR="00EA3ABC">
        <w:rPr>
          <w:rFonts w:ascii="Calibri" w:hAnsi="Calibri"/>
        </w:rPr>
        <w:t>;</w:t>
      </w:r>
      <w:r w:rsidRPr="00D344A1">
        <w:rPr>
          <w:rFonts w:ascii="Calibri" w:hAnsi="Calibri"/>
        </w:rPr>
        <w:t xml:space="preserve"> improved measures to increase women’s participation in all levels of government-decision-making</w:t>
      </w:r>
      <w:r w:rsidR="00EA3ABC">
        <w:rPr>
          <w:rFonts w:ascii="Calibri" w:hAnsi="Calibri"/>
        </w:rPr>
        <w:t>;</w:t>
      </w:r>
      <w:r w:rsidRPr="00D344A1">
        <w:rPr>
          <w:rFonts w:ascii="Calibri" w:hAnsi="Calibri"/>
        </w:rPr>
        <w:t xml:space="preserve"> and more widespread promotion mechanisms in major local dialects.</w:t>
      </w:r>
      <w:r w:rsidR="00A61E6C">
        <w:rPr>
          <w:rStyle w:val="FootnoteReference"/>
          <w:rFonts w:ascii="Calibri" w:hAnsi="Calibri"/>
        </w:rPr>
        <w:footnoteReference w:id="188"/>
      </w:r>
      <w:r w:rsidRPr="00D344A1">
        <w:rPr>
          <w:rFonts w:ascii="Calibri" w:hAnsi="Calibri"/>
        </w:rPr>
        <w:t xml:space="preserve"> </w:t>
      </w:r>
    </w:p>
    <w:p w14:paraId="1131BBD6" w14:textId="2F24DA9B" w:rsidR="005C68CA" w:rsidRPr="00D344A1" w:rsidRDefault="00EA3ABC" w:rsidP="00BC2C39">
      <w:pPr>
        <w:spacing w:before="100" w:beforeAutospacing="1" w:after="100" w:afterAutospacing="1" w:line="360" w:lineRule="auto"/>
        <w:jc w:val="both"/>
        <w:rPr>
          <w:rFonts w:ascii="Calibri" w:hAnsi="Calibri"/>
        </w:rPr>
      </w:pPr>
      <w:r>
        <w:rPr>
          <w:rFonts w:ascii="Calibri" w:hAnsi="Calibri"/>
        </w:rPr>
        <w:t xml:space="preserve">The </w:t>
      </w:r>
      <w:r w:rsidR="005C68CA" w:rsidRPr="00D344A1">
        <w:rPr>
          <w:rFonts w:ascii="Calibri" w:hAnsi="Calibri"/>
        </w:rPr>
        <w:t xml:space="preserve">mid-term report </w:t>
      </w:r>
      <w:r>
        <w:rPr>
          <w:rFonts w:ascii="Calibri" w:hAnsi="Calibri"/>
        </w:rPr>
        <w:t xml:space="preserve">should </w:t>
      </w:r>
      <w:r w:rsidR="005C68CA" w:rsidRPr="00D344A1">
        <w:rPr>
          <w:rFonts w:ascii="Calibri" w:hAnsi="Calibri"/>
        </w:rPr>
        <w:t xml:space="preserve">provide guidance </w:t>
      </w:r>
      <w:r>
        <w:rPr>
          <w:rFonts w:ascii="Calibri" w:hAnsi="Calibri"/>
        </w:rPr>
        <w:t>for Nepal’s next NAP, due in 2017,</w:t>
      </w:r>
      <w:r w:rsidR="005C68CA" w:rsidRPr="00D344A1">
        <w:rPr>
          <w:rFonts w:ascii="Calibri" w:hAnsi="Calibri"/>
        </w:rPr>
        <w:t xml:space="preserve"> </w:t>
      </w:r>
      <w:r w:rsidR="00B26BB2">
        <w:rPr>
          <w:rFonts w:ascii="Calibri" w:hAnsi="Calibri"/>
        </w:rPr>
        <w:t>to address</w:t>
      </w:r>
      <w:r w:rsidR="005C68CA" w:rsidRPr="00D344A1">
        <w:rPr>
          <w:rFonts w:ascii="Calibri" w:hAnsi="Calibri"/>
        </w:rPr>
        <w:t xml:space="preserve"> key problem areas and </w:t>
      </w:r>
      <w:r w:rsidR="00B26BB2">
        <w:rPr>
          <w:rFonts w:ascii="Calibri" w:hAnsi="Calibri"/>
        </w:rPr>
        <w:t xml:space="preserve">continue </w:t>
      </w:r>
      <w:r w:rsidR="005C68CA" w:rsidRPr="00D344A1">
        <w:rPr>
          <w:rFonts w:ascii="Calibri" w:hAnsi="Calibri"/>
        </w:rPr>
        <w:t xml:space="preserve">to build on the successes of the </w:t>
      </w:r>
      <w:r>
        <w:rPr>
          <w:rFonts w:ascii="Calibri" w:hAnsi="Calibri"/>
        </w:rPr>
        <w:t xml:space="preserve">current </w:t>
      </w:r>
      <w:r w:rsidR="005C68CA" w:rsidRPr="00D344A1">
        <w:rPr>
          <w:rFonts w:ascii="Calibri" w:hAnsi="Calibri"/>
        </w:rPr>
        <w:t xml:space="preserve">NAP. It is unclear how the transition to the next NAP will take place. However, the collaborative process that led to the first NAP will prove a good model for </w:t>
      </w:r>
      <w:r w:rsidR="00A849B4">
        <w:rPr>
          <w:rFonts w:ascii="Calibri" w:hAnsi="Calibri"/>
        </w:rPr>
        <w:t xml:space="preserve">designing and implementing </w:t>
      </w:r>
      <w:r w:rsidR="005C68CA" w:rsidRPr="00D344A1">
        <w:rPr>
          <w:rFonts w:ascii="Calibri" w:hAnsi="Calibri"/>
        </w:rPr>
        <w:t>the second</w:t>
      </w:r>
      <w:r w:rsidR="00B26BB2">
        <w:rPr>
          <w:rFonts w:ascii="Calibri" w:hAnsi="Calibri"/>
        </w:rPr>
        <w:t xml:space="preserve"> plan</w:t>
      </w:r>
      <w:r w:rsidR="005C68CA" w:rsidRPr="00D344A1">
        <w:rPr>
          <w:rFonts w:ascii="Calibri" w:hAnsi="Calibri"/>
        </w:rPr>
        <w:t>.</w:t>
      </w:r>
    </w:p>
    <w:p w14:paraId="3BFFB51E" w14:textId="77777777" w:rsidR="005C68CA" w:rsidRPr="00BC2C39" w:rsidRDefault="005C68CA" w:rsidP="005C68CA">
      <w:pPr>
        <w:spacing w:before="100" w:beforeAutospacing="1" w:after="100" w:afterAutospacing="1"/>
        <w:jc w:val="both"/>
        <w:rPr>
          <w:rFonts w:ascii="Calibri" w:hAnsi="Calibri"/>
          <w:b/>
          <w:color w:val="1F497D" w:themeColor="text2"/>
          <w:u w:val="single"/>
        </w:rPr>
      </w:pPr>
      <w:r w:rsidRPr="00BC2C39">
        <w:rPr>
          <w:rFonts w:ascii="Calibri" w:hAnsi="Calibri"/>
          <w:b/>
          <w:color w:val="1F497D" w:themeColor="text2"/>
          <w:u w:val="single"/>
        </w:rPr>
        <w:t>Development Agencies and Civil Society</w:t>
      </w:r>
    </w:p>
    <w:p w14:paraId="747497A4" w14:textId="0061EF12" w:rsidR="005C68CA" w:rsidRPr="000F406A" w:rsidRDefault="005C68CA" w:rsidP="00B314E1">
      <w:pPr>
        <w:spacing w:before="100" w:beforeAutospacing="1" w:after="100" w:afterAutospacing="1" w:line="360" w:lineRule="auto"/>
        <w:jc w:val="both"/>
        <w:rPr>
          <w:rFonts w:ascii="Calibri" w:hAnsi="Calibri"/>
        </w:rPr>
      </w:pPr>
      <w:r w:rsidRPr="00D344A1">
        <w:rPr>
          <w:rFonts w:ascii="Calibri" w:hAnsi="Calibri"/>
        </w:rPr>
        <w:t xml:space="preserve">The NAP is a product of an exemplary collaborative process involving local NGOs and civil society stakeholders. Consequently, it received significant implementation support </w:t>
      </w:r>
      <w:r w:rsidR="00F41911">
        <w:rPr>
          <w:rFonts w:ascii="Calibri" w:hAnsi="Calibri"/>
        </w:rPr>
        <w:t>from these actors. Saathi notes that the civil society</w:t>
      </w:r>
      <w:r w:rsidRPr="00D344A1">
        <w:rPr>
          <w:rFonts w:ascii="Calibri" w:hAnsi="Calibri"/>
        </w:rPr>
        <w:t xml:space="preserve"> 1325 Action Group </w:t>
      </w:r>
      <w:r w:rsidR="00F41911">
        <w:rPr>
          <w:rFonts w:ascii="Calibri" w:hAnsi="Calibri"/>
        </w:rPr>
        <w:t>helped</w:t>
      </w:r>
      <w:r w:rsidRPr="00D344A1">
        <w:rPr>
          <w:rFonts w:ascii="Calibri" w:hAnsi="Calibri"/>
        </w:rPr>
        <w:t xml:space="preserve"> </w:t>
      </w:r>
      <w:r w:rsidR="00F41911">
        <w:rPr>
          <w:rFonts w:ascii="Calibri" w:hAnsi="Calibri"/>
        </w:rPr>
        <w:t>implement and monitoring</w:t>
      </w:r>
      <w:r w:rsidRPr="00D344A1">
        <w:rPr>
          <w:rFonts w:ascii="Calibri" w:hAnsi="Calibri"/>
        </w:rPr>
        <w:t xml:space="preserve"> the NAP.</w:t>
      </w:r>
      <w:r w:rsidRPr="00D344A1">
        <w:rPr>
          <w:rStyle w:val="FootnoteReference"/>
          <w:rFonts w:ascii="Calibri" w:hAnsi="Calibri"/>
        </w:rPr>
        <w:t xml:space="preserve"> </w:t>
      </w:r>
      <w:r w:rsidRPr="00D344A1">
        <w:rPr>
          <w:rStyle w:val="FootnoteReference"/>
          <w:rFonts w:ascii="Calibri" w:hAnsi="Calibri"/>
        </w:rPr>
        <w:footnoteReference w:id="189"/>
      </w:r>
      <w:r w:rsidRPr="00D344A1">
        <w:rPr>
          <w:rFonts w:ascii="Calibri" w:hAnsi="Calibri"/>
        </w:rPr>
        <w:t xml:space="preserve"> In particular, </w:t>
      </w:r>
      <w:r w:rsidRPr="00112000">
        <w:rPr>
          <w:rFonts w:ascii="Calibri" w:hAnsi="Calibri"/>
          <w:b/>
          <w:color w:val="4F81BD" w:themeColor="accent1"/>
        </w:rPr>
        <w:lastRenderedPageBreak/>
        <w:t>Saathi’s own</w:t>
      </w:r>
      <w:r w:rsidR="000F530A" w:rsidRPr="00112000">
        <w:rPr>
          <w:rFonts w:ascii="Calibri" w:hAnsi="Calibri"/>
          <w:b/>
          <w:color w:val="4F81BD" w:themeColor="accent1"/>
        </w:rPr>
        <w:t xml:space="preserve"> leadership in the mid-term</w:t>
      </w:r>
      <w:r w:rsidRPr="00112000">
        <w:rPr>
          <w:rFonts w:ascii="Calibri" w:hAnsi="Calibri"/>
          <w:b/>
          <w:color w:val="4F81BD" w:themeColor="accent1"/>
        </w:rPr>
        <w:t xml:space="preserve"> report </w:t>
      </w:r>
      <w:r w:rsidR="001222F4" w:rsidRPr="00112000">
        <w:rPr>
          <w:rFonts w:ascii="Calibri" w:hAnsi="Calibri"/>
          <w:b/>
          <w:color w:val="4F81BD" w:themeColor="accent1"/>
        </w:rPr>
        <w:t>exe</w:t>
      </w:r>
      <w:r w:rsidR="00E75694" w:rsidRPr="00112000">
        <w:rPr>
          <w:rFonts w:ascii="Calibri" w:hAnsi="Calibri"/>
          <w:b/>
          <w:color w:val="4F81BD" w:themeColor="accent1"/>
        </w:rPr>
        <w:t>mplifies</w:t>
      </w:r>
      <w:r w:rsidRPr="00112000">
        <w:rPr>
          <w:rFonts w:ascii="Calibri" w:hAnsi="Calibri"/>
          <w:b/>
          <w:color w:val="4F81BD" w:themeColor="accent1"/>
        </w:rPr>
        <w:t xml:space="preserve"> the </w:t>
      </w:r>
      <w:r w:rsidR="00472DA2">
        <w:rPr>
          <w:rFonts w:ascii="Calibri" w:hAnsi="Calibri"/>
          <w:b/>
          <w:color w:val="4F81BD" w:themeColor="accent1"/>
        </w:rPr>
        <w:t>prominent role</w:t>
      </w:r>
      <w:r w:rsidR="00112000">
        <w:rPr>
          <w:rFonts w:ascii="Calibri" w:hAnsi="Calibri"/>
          <w:b/>
          <w:color w:val="4F81BD" w:themeColor="accent1"/>
        </w:rPr>
        <w:t xml:space="preserve"> </w:t>
      </w:r>
      <w:r w:rsidRPr="00112000">
        <w:rPr>
          <w:rFonts w:ascii="Calibri" w:hAnsi="Calibri"/>
          <w:b/>
          <w:color w:val="4F81BD" w:themeColor="accent1"/>
        </w:rPr>
        <w:t>of local stakeholders</w:t>
      </w:r>
      <w:r w:rsidRPr="00112000">
        <w:rPr>
          <w:rFonts w:ascii="Calibri" w:hAnsi="Calibri"/>
          <w:color w:val="4F81BD" w:themeColor="accent1"/>
        </w:rPr>
        <w:t xml:space="preserve"> </w:t>
      </w:r>
      <w:r w:rsidRPr="00D344A1">
        <w:rPr>
          <w:rFonts w:ascii="Calibri" w:hAnsi="Calibri"/>
        </w:rPr>
        <w:t xml:space="preserve">in the provision of technical support and research. </w:t>
      </w:r>
      <w:r w:rsidRPr="00D344A1">
        <w:rPr>
          <w:rStyle w:val="FootnoteReference"/>
          <w:rFonts w:ascii="Calibri" w:hAnsi="Calibri"/>
        </w:rPr>
        <w:footnoteReference w:id="190"/>
      </w:r>
    </w:p>
    <w:p w14:paraId="37EA5169" w14:textId="7F7D1CBB" w:rsidR="005C68CA" w:rsidRPr="00B314E1" w:rsidRDefault="005C68CA" w:rsidP="007F364C">
      <w:pPr>
        <w:pStyle w:val="ListParagraph"/>
        <w:numPr>
          <w:ilvl w:val="0"/>
          <w:numId w:val="10"/>
        </w:numPr>
        <w:spacing w:before="100" w:beforeAutospacing="1" w:after="100" w:afterAutospacing="1"/>
        <w:jc w:val="both"/>
        <w:rPr>
          <w:rFonts w:ascii="Calibri" w:hAnsi="Calibri"/>
          <w:b/>
          <w:color w:val="1F497D" w:themeColor="text2"/>
        </w:rPr>
      </w:pPr>
      <w:r w:rsidRPr="00B314E1">
        <w:rPr>
          <w:rFonts w:ascii="Calibri" w:hAnsi="Calibri"/>
          <w:b/>
          <w:color w:val="1F497D" w:themeColor="text2"/>
        </w:rPr>
        <w:t xml:space="preserve">Other Actions by </w:t>
      </w:r>
      <w:r w:rsidR="00793F4F" w:rsidRPr="00B314E1">
        <w:rPr>
          <w:rFonts w:ascii="Calibri" w:hAnsi="Calibri"/>
          <w:b/>
          <w:color w:val="1F497D" w:themeColor="text2"/>
        </w:rPr>
        <w:t xml:space="preserve">the </w:t>
      </w:r>
      <w:r w:rsidRPr="00B314E1">
        <w:rPr>
          <w:rFonts w:ascii="Calibri" w:hAnsi="Calibri"/>
          <w:b/>
          <w:color w:val="1F497D" w:themeColor="text2"/>
        </w:rPr>
        <w:t>Government, Development Agencies, and Civil Society</w:t>
      </w:r>
    </w:p>
    <w:p w14:paraId="3341F31A" w14:textId="4A537A06" w:rsidR="005C68CA" w:rsidRPr="00B314E1" w:rsidRDefault="00793F4F" w:rsidP="005C68CA">
      <w:pPr>
        <w:spacing w:before="100" w:beforeAutospacing="1" w:after="100" w:afterAutospacing="1"/>
        <w:jc w:val="both"/>
        <w:rPr>
          <w:rFonts w:ascii="Calibri" w:hAnsi="Calibri"/>
          <w:b/>
          <w:color w:val="1F497D" w:themeColor="text2"/>
          <w:u w:val="single"/>
        </w:rPr>
      </w:pPr>
      <w:r w:rsidRPr="00B314E1">
        <w:rPr>
          <w:rFonts w:ascii="Calibri" w:hAnsi="Calibri"/>
          <w:b/>
          <w:color w:val="1F497D" w:themeColor="text2"/>
          <w:u w:val="single"/>
        </w:rPr>
        <w:t xml:space="preserve">Government </w:t>
      </w:r>
    </w:p>
    <w:p w14:paraId="282EBF96" w14:textId="211445AE" w:rsidR="00942D4B" w:rsidRPr="00D344A1" w:rsidRDefault="00942D4B" w:rsidP="00B314E1">
      <w:pPr>
        <w:spacing w:before="100" w:beforeAutospacing="1" w:after="100" w:afterAutospacing="1" w:line="360" w:lineRule="auto"/>
        <w:jc w:val="both"/>
        <w:rPr>
          <w:rFonts w:ascii="Calibri" w:hAnsi="Calibri"/>
        </w:rPr>
      </w:pPr>
      <w:r w:rsidRPr="00D344A1">
        <w:rPr>
          <w:rFonts w:ascii="Calibri" w:hAnsi="Calibri"/>
        </w:rPr>
        <w:t>In</w:t>
      </w:r>
      <w:r w:rsidR="00A849B4">
        <w:rPr>
          <w:rFonts w:ascii="Calibri" w:hAnsi="Calibri"/>
        </w:rPr>
        <w:t xml:space="preserve"> 2013, the President passed an O</w:t>
      </w:r>
      <w:r w:rsidRPr="00D344A1">
        <w:rPr>
          <w:rFonts w:ascii="Calibri" w:hAnsi="Calibri"/>
        </w:rPr>
        <w:t>rdinance creating a Truth and Reconciliation Commission (Commission) which was subsequently struck down by the Supreme Court. The initial proposal was widely criticised for failing to consult victims or international or national human rights organisations and NGOs.</w:t>
      </w:r>
      <w:r w:rsidRPr="00D344A1">
        <w:rPr>
          <w:rStyle w:val="FootnoteReference"/>
          <w:rFonts w:ascii="Calibri" w:hAnsi="Calibri"/>
        </w:rPr>
        <w:footnoteReference w:id="191"/>
      </w:r>
      <w:r w:rsidRPr="00D344A1">
        <w:rPr>
          <w:rFonts w:ascii="Calibri" w:hAnsi="Calibri"/>
        </w:rPr>
        <w:t xml:space="preserve"> Shortly after the ordinance was struck down, a second ordinance was promulgated seeking to establish a Commission</w:t>
      </w:r>
      <w:r>
        <w:rPr>
          <w:rFonts w:ascii="Calibri" w:hAnsi="Calibri"/>
        </w:rPr>
        <w:t xml:space="preserve"> that</w:t>
      </w:r>
      <w:r w:rsidRPr="00D344A1">
        <w:rPr>
          <w:rFonts w:ascii="Calibri" w:hAnsi="Calibri"/>
        </w:rPr>
        <w:t xml:space="preserve"> would seek to investigate known violations of human rights in addition to investigating those reported by victims.</w:t>
      </w:r>
      <w:r w:rsidRPr="00D344A1">
        <w:rPr>
          <w:rStyle w:val="FootnoteReference"/>
          <w:rFonts w:ascii="Calibri" w:hAnsi="Calibri"/>
        </w:rPr>
        <w:footnoteReference w:id="192"/>
      </w:r>
      <w:r w:rsidRPr="00D344A1">
        <w:rPr>
          <w:rFonts w:ascii="Calibri" w:hAnsi="Calibri"/>
        </w:rPr>
        <w:t xml:space="preserve"> However, the </w:t>
      </w:r>
      <w:r w:rsidR="00A849B4">
        <w:rPr>
          <w:rFonts w:ascii="Calibri" w:hAnsi="Calibri"/>
        </w:rPr>
        <w:t xml:space="preserve">Commission’s </w:t>
      </w:r>
      <w:r w:rsidRPr="00D344A1">
        <w:rPr>
          <w:rFonts w:ascii="Calibri" w:hAnsi="Calibri"/>
        </w:rPr>
        <w:t xml:space="preserve">mandate </w:t>
      </w:r>
      <w:r w:rsidR="00E278F0">
        <w:rPr>
          <w:rFonts w:ascii="Calibri" w:hAnsi="Calibri"/>
        </w:rPr>
        <w:t xml:space="preserve">remains </w:t>
      </w:r>
      <w:r w:rsidRPr="00D344A1">
        <w:rPr>
          <w:rFonts w:ascii="Calibri" w:hAnsi="Calibri"/>
        </w:rPr>
        <w:t>limited to addressing only “serious violations of human rights” which are defined as those perpetrated against “the civilian population or unarmed persons in a systematic manner”.</w:t>
      </w:r>
      <w:r w:rsidRPr="00D344A1">
        <w:rPr>
          <w:rStyle w:val="FootnoteReference"/>
          <w:rFonts w:ascii="Calibri" w:hAnsi="Calibri"/>
        </w:rPr>
        <w:footnoteReference w:id="193"/>
      </w:r>
      <w:r w:rsidRPr="00D344A1">
        <w:rPr>
          <w:rFonts w:ascii="Calibri" w:hAnsi="Calibri"/>
        </w:rPr>
        <w:t xml:space="preserve"> It is likely that many instances of sexual</w:t>
      </w:r>
      <w:r w:rsidR="00E278F0">
        <w:rPr>
          <w:rFonts w:ascii="Calibri" w:hAnsi="Calibri"/>
        </w:rPr>
        <w:t xml:space="preserve"> and gender-based</w:t>
      </w:r>
      <w:r w:rsidRPr="00D344A1">
        <w:rPr>
          <w:rFonts w:ascii="Calibri" w:hAnsi="Calibri"/>
        </w:rPr>
        <w:t xml:space="preserve"> violence </w:t>
      </w:r>
      <w:r w:rsidR="00E278F0">
        <w:rPr>
          <w:rFonts w:ascii="Calibri" w:hAnsi="Calibri"/>
        </w:rPr>
        <w:t xml:space="preserve">(SGBV) </w:t>
      </w:r>
      <w:r w:rsidRPr="00D344A1">
        <w:rPr>
          <w:rFonts w:ascii="Calibri" w:hAnsi="Calibri"/>
        </w:rPr>
        <w:t xml:space="preserve">will fall outside this </w:t>
      </w:r>
      <w:r w:rsidR="00806673" w:rsidRPr="00D344A1">
        <w:rPr>
          <w:rFonts w:ascii="Calibri" w:hAnsi="Calibri"/>
        </w:rPr>
        <w:t>definition;</w:t>
      </w:r>
      <w:r w:rsidRPr="00D344A1">
        <w:rPr>
          <w:rFonts w:ascii="Calibri" w:hAnsi="Calibri"/>
        </w:rPr>
        <w:t xml:space="preserve"> as such crimes tend to be perpetrated on an individual basis rather than in a systematic manner in Nepal</w:t>
      </w:r>
      <w:r>
        <w:rPr>
          <w:rFonts w:ascii="Calibri" w:hAnsi="Calibri"/>
        </w:rPr>
        <w:t>.</w:t>
      </w:r>
      <w:r w:rsidRPr="00D344A1">
        <w:rPr>
          <w:rStyle w:val="FootnoteReference"/>
          <w:rFonts w:ascii="Calibri" w:hAnsi="Calibri"/>
        </w:rPr>
        <w:footnoteReference w:id="194"/>
      </w:r>
      <w:r w:rsidRPr="00D344A1">
        <w:rPr>
          <w:rFonts w:ascii="Calibri" w:hAnsi="Calibri"/>
        </w:rPr>
        <w:t xml:space="preserve"> </w:t>
      </w:r>
    </w:p>
    <w:p w14:paraId="1995F041" w14:textId="1B4C984F" w:rsidR="00942D4B" w:rsidRDefault="00942D4B" w:rsidP="00B314E1">
      <w:pPr>
        <w:spacing w:before="100" w:beforeAutospacing="1" w:after="100" w:afterAutospacing="1" w:line="360" w:lineRule="auto"/>
        <w:jc w:val="both"/>
        <w:rPr>
          <w:rFonts w:ascii="Calibri" w:hAnsi="Calibri"/>
        </w:rPr>
      </w:pPr>
      <w:r>
        <w:rPr>
          <w:rFonts w:ascii="Calibri" w:hAnsi="Calibri"/>
        </w:rPr>
        <w:t>Amnesty</w:t>
      </w:r>
      <w:r w:rsidR="002C30B7">
        <w:rPr>
          <w:rFonts w:ascii="Calibri" w:hAnsi="Calibri"/>
        </w:rPr>
        <w:t xml:space="preserve"> for gender-based crimes</w:t>
      </w:r>
      <w:r>
        <w:rPr>
          <w:rFonts w:ascii="Calibri" w:hAnsi="Calibri"/>
        </w:rPr>
        <w:t xml:space="preserve"> </w:t>
      </w:r>
      <w:r w:rsidR="00E278F0">
        <w:rPr>
          <w:rFonts w:ascii="Calibri" w:hAnsi="Calibri"/>
        </w:rPr>
        <w:t>also presents a potential</w:t>
      </w:r>
      <w:r w:rsidRPr="00D344A1">
        <w:rPr>
          <w:rFonts w:ascii="Calibri" w:hAnsi="Calibri"/>
        </w:rPr>
        <w:t xml:space="preserve"> problem</w:t>
      </w:r>
      <w:r w:rsidR="00A849B4">
        <w:rPr>
          <w:rFonts w:ascii="Calibri" w:hAnsi="Calibri"/>
        </w:rPr>
        <w:t xml:space="preserve"> for the Commission</w:t>
      </w:r>
      <w:r w:rsidRPr="00D344A1">
        <w:rPr>
          <w:rFonts w:ascii="Calibri" w:hAnsi="Calibri"/>
        </w:rPr>
        <w:t>. The ordinance provides that “serious crimes which lack sufficient reasons and grounds for granting amnesty following the investigation of the Commission, including rape, shall not be recommended for amnesty by the Commission”.</w:t>
      </w:r>
      <w:r w:rsidRPr="00D344A1">
        <w:rPr>
          <w:rStyle w:val="FootnoteReference"/>
          <w:rFonts w:ascii="Calibri" w:hAnsi="Calibri"/>
        </w:rPr>
        <w:footnoteReference w:id="195"/>
      </w:r>
      <w:r w:rsidR="00A849B4">
        <w:rPr>
          <w:rFonts w:ascii="Calibri" w:hAnsi="Calibri"/>
        </w:rPr>
        <w:t xml:space="preserve"> </w:t>
      </w:r>
      <w:r w:rsidR="002C30B7">
        <w:rPr>
          <w:rFonts w:ascii="Calibri" w:hAnsi="Calibri"/>
        </w:rPr>
        <w:t>It is</w:t>
      </w:r>
      <w:r w:rsidRPr="00D344A1">
        <w:rPr>
          <w:rFonts w:ascii="Calibri" w:hAnsi="Calibri"/>
        </w:rPr>
        <w:t xml:space="preserve"> heartening that rape is </w:t>
      </w:r>
      <w:r w:rsidR="00A849B4">
        <w:rPr>
          <w:rFonts w:ascii="Calibri" w:hAnsi="Calibri"/>
        </w:rPr>
        <w:t>specified</w:t>
      </w:r>
      <w:r w:rsidRPr="00D344A1">
        <w:rPr>
          <w:rFonts w:ascii="Calibri" w:hAnsi="Calibri"/>
        </w:rPr>
        <w:t xml:space="preserve"> as a serious crime </w:t>
      </w:r>
      <w:r w:rsidR="00A849B4">
        <w:rPr>
          <w:rFonts w:ascii="Calibri" w:hAnsi="Calibri"/>
        </w:rPr>
        <w:t xml:space="preserve">unlikely to attract an amnesty (in line with </w:t>
      </w:r>
      <w:r w:rsidR="002C30B7">
        <w:rPr>
          <w:rFonts w:ascii="Calibri" w:hAnsi="Calibri"/>
        </w:rPr>
        <w:t xml:space="preserve">Nepal’s </w:t>
      </w:r>
      <w:r w:rsidR="00A849B4">
        <w:rPr>
          <w:rFonts w:ascii="Calibri" w:hAnsi="Calibri"/>
        </w:rPr>
        <w:t xml:space="preserve">international criminal law, international humanitarian law and other obligations under the legal framework, </w:t>
      </w:r>
      <w:r w:rsidR="002C30B7">
        <w:rPr>
          <w:rFonts w:ascii="Calibri" w:hAnsi="Calibri"/>
        </w:rPr>
        <w:t xml:space="preserve">outlined in </w:t>
      </w:r>
      <w:r w:rsidR="00A849B4">
        <w:rPr>
          <w:rFonts w:ascii="Calibri" w:hAnsi="Calibri"/>
        </w:rPr>
        <w:t>Section 1)</w:t>
      </w:r>
      <w:r w:rsidR="002C30B7">
        <w:rPr>
          <w:rFonts w:ascii="Calibri" w:hAnsi="Calibri"/>
        </w:rPr>
        <w:t>. However,</w:t>
      </w:r>
      <w:r w:rsidR="00A849B4">
        <w:rPr>
          <w:rFonts w:ascii="Calibri" w:hAnsi="Calibri"/>
        </w:rPr>
        <w:t xml:space="preserve"> </w:t>
      </w:r>
      <w:r w:rsidRPr="00D344A1">
        <w:rPr>
          <w:rFonts w:ascii="Calibri" w:hAnsi="Calibri"/>
        </w:rPr>
        <w:t xml:space="preserve">amnesties </w:t>
      </w:r>
      <w:r w:rsidR="00A03D77">
        <w:rPr>
          <w:rFonts w:ascii="Calibri" w:hAnsi="Calibri"/>
        </w:rPr>
        <w:t>could be applied to other SGBV-related crimes, further limiting the Commission’s effectiveness.</w:t>
      </w:r>
    </w:p>
    <w:p w14:paraId="24913FEA" w14:textId="77777777" w:rsidR="005C68CA" w:rsidRPr="00B314E1" w:rsidRDefault="005C68CA" w:rsidP="005C68CA">
      <w:pPr>
        <w:spacing w:before="100" w:beforeAutospacing="1" w:after="100" w:afterAutospacing="1"/>
        <w:jc w:val="both"/>
        <w:rPr>
          <w:rFonts w:ascii="Calibri" w:hAnsi="Calibri"/>
          <w:b/>
          <w:color w:val="1F497D" w:themeColor="text2"/>
          <w:u w:val="single"/>
        </w:rPr>
      </w:pPr>
      <w:r w:rsidRPr="00B314E1">
        <w:rPr>
          <w:rFonts w:ascii="Calibri" w:hAnsi="Calibri"/>
          <w:b/>
          <w:color w:val="1F497D" w:themeColor="text2"/>
          <w:u w:val="single"/>
        </w:rPr>
        <w:t>Development Agencies and Civil Society</w:t>
      </w:r>
    </w:p>
    <w:p w14:paraId="734DBF88" w14:textId="5D461B97" w:rsidR="005C68CA" w:rsidRDefault="00F41911" w:rsidP="00B314E1">
      <w:pPr>
        <w:spacing w:before="100" w:beforeAutospacing="1" w:after="100" w:afterAutospacing="1" w:line="360" w:lineRule="auto"/>
        <w:jc w:val="both"/>
        <w:rPr>
          <w:rFonts w:ascii="Calibri" w:hAnsi="Calibri"/>
        </w:rPr>
      </w:pPr>
      <w:r>
        <w:rPr>
          <w:rFonts w:ascii="Calibri" w:hAnsi="Calibri"/>
        </w:rPr>
        <w:t xml:space="preserve">Nepal’s strong local NGO culture includes the active participation of women’s </w:t>
      </w:r>
      <w:r w:rsidR="00A03D77">
        <w:rPr>
          <w:rFonts w:ascii="Calibri" w:hAnsi="Calibri"/>
        </w:rPr>
        <w:t>org</w:t>
      </w:r>
      <w:r w:rsidR="00226FED">
        <w:rPr>
          <w:rFonts w:ascii="Calibri" w:hAnsi="Calibri"/>
        </w:rPr>
        <w:t>a</w:t>
      </w:r>
      <w:r w:rsidR="00A03D77">
        <w:rPr>
          <w:rFonts w:ascii="Calibri" w:hAnsi="Calibri"/>
        </w:rPr>
        <w:t>nizations</w:t>
      </w:r>
      <w:r>
        <w:rPr>
          <w:rFonts w:ascii="Calibri" w:hAnsi="Calibri"/>
        </w:rPr>
        <w:t>,</w:t>
      </w:r>
      <w:r w:rsidR="005C68CA" w:rsidRPr="00D344A1">
        <w:rPr>
          <w:rFonts w:ascii="Calibri" w:hAnsi="Calibri"/>
        </w:rPr>
        <w:t xml:space="preserve"> many working </w:t>
      </w:r>
      <w:r w:rsidR="00A03D77">
        <w:rPr>
          <w:rFonts w:ascii="Calibri" w:hAnsi="Calibri"/>
        </w:rPr>
        <w:t>on</w:t>
      </w:r>
      <w:r w:rsidR="005C68CA" w:rsidRPr="00D344A1">
        <w:rPr>
          <w:rFonts w:ascii="Calibri" w:hAnsi="Calibri"/>
        </w:rPr>
        <w:t xml:space="preserve"> </w:t>
      </w:r>
      <w:r w:rsidR="00A03D77">
        <w:rPr>
          <w:rFonts w:ascii="Calibri" w:hAnsi="Calibri"/>
        </w:rPr>
        <w:t>SGBV</w:t>
      </w:r>
      <w:r w:rsidR="005C68CA" w:rsidRPr="00D344A1">
        <w:rPr>
          <w:rFonts w:ascii="Calibri" w:hAnsi="Calibri"/>
        </w:rPr>
        <w:t xml:space="preserve"> and trafficking</w:t>
      </w:r>
      <w:r>
        <w:rPr>
          <w:rFonts w:ascii="Calibri" w:hAnsi="Calibri"/>
        </w:rPr>
        <w:t xml:space="preserve"> issues</w:t>
      </w:r>
      <w:r w:rsidR="005C68CA" w:rsidRPr="00D344A1">
        <w:rPr>
          <w:rFonts w:ascii="Calibri" w:hAnsi="Calibri"/>
        </w:rPr>
        <w:t>. Several reports note the significant contribution that civil society is making to the implementation of the NAP but also that there is no formal monitoring and evaluation p</w:t>
      </w:r>
      <w:r w:rsidR="002C30B7">
        <w:rPr>
          <w:rFonts w:ascii="Calibri" w:hAnsi="Calibri"/>
        </w:rPr>
        <w:t xml:space="preserve">rocess in </w:t>
      </w:r>
      <w:r w:rsidR="002C30B7">
        <w:rPr>
          <w:rFonts w:ascii="Calibri" w:hAnsi="Calibri"/>
        </w:rPr>
        <w:lastRenderedPageBreak/>
        <w:t>place to document the</w:t>
      </w:r>
      <w:r w:rsidR="005C68CA" w:rsidRPr="00D344A1">
        <w:rPr>
          <w:rFonts w:ascii="Calibri" w:hAnsi="Calibri"/>
        </w:rPr>
        <w:t xml:space="preserve"> contribution</w:t>
      </w:r>
      <w:r w:rsidR="00226FED">
        <w:rPr>
          <w:rFonts w:ascii="Calibri" w:hAnsi="Calibri"/>
        </w:rPr>
        <w:t>s of</w:t>
      </w:r>
      <w:r w:rsidR="002C30B7">
        <w:rPr>
          <w:rFonts w:ascii="Calibri" w:hAnsi="Calibri"/>
        </w:rPr>
        <w:t xml:space="preserve"> civil society, </w:t>
      </w:r>
      <w:r w:rsidR="00B148B8">
        <w:rPr>
          <w:rFonts w:ascii="Calibri" w:hAnsi="Calibri"/>
        </w:rPr>
        <w:t>especially</w:t>
      </w:r>
      <w:r w:rsidR="002C30B7">
        <w:rPr>
          <w:rFonts w:ascii="Calibri" w:hAnsi="Calibri"/>
        </w:rPr>
        <w:t xml:space="preserve"> women’s organizations</w:t>
      </w:r>
      <w:r w:rsidR="005C68CA" w:rsidRPr="00D344A1">
        <w:rPr>
          <w:rFonts w:ascii="Calibri" w:hAnsi="Calibri"/>
        </w:rPr>
        <w:t>.</w:t>
      </w:r>
      <w:r w:rsidR="002C30B7">
        <w:rPr>
          <w:rFonts w:ascii="Calibri" w:hAnsi="Calibri"/>
        </w:rPr>
        <w:t xml:space="preserve"> The UN Entity for Gender Equality and the Empowerment of Women (UN Women) supported the development of</w:t>
      </w:r>
      <w:r w:rsidR="00B148B8">
        <w:rPr>
          <w:rFonts w:ascii="Calibri" w:hAnsi="Calibri"/>
        </w:rPr>
        <w:t xml:space="preserve"> the first NAP, and works with </w:t>
      </w:r>
      <w:r w:rsidR="002C30B7">
        <w:rPr>
          <w:rFonts w:ascii="Calibri" w:hAnsi="Calibri"/>
        </w:rPr>
        <w:t xml:space="preserve">NGOs to build their capacity to monitor the NAP. </w:t>
      </w:r>
      <w:r w:rsidR="00226FED">
        <w:rPr>
          <w:rFonts w:ascii="Calibri" w:hAnsi="Calibri"/>
        </w:rPr>
        <w:t>The next step could be recording the rich contributions of the civil society sector.</w:t>
      </w:r>
    </w:p>
    <w:p w14:paraId="0F673D3C" w14:textId="58C3F7DA" w:rsidR="000F530A" w:rsidRPr="00B314E1" w:rsidRDefault="000F530A" w:rsidP="007F364C">
      <w:pPr>
        <w:pStyle w:val="ListParagraph"/>
        <w:numPr>
          <w:ilvl w:val="0"/>
          <w:numId w:val="10"/>
        </w:numPr>
        <w:spacing w:before="100" w:beforeAutospacing="1" w:after="100" w:afterAutospacing="1"/>
        <w:jc w:val="both"/>
        <w:rPr>
          <w:rFonts w:ascii="Calibri" w:hAnsi="Calibri"/>
          <w:b/>
          <w:color w:val="1F497D" w:themeColor="text2"/>
        </w:rPr>
      </w:pPr>
      <w:r w:rsidRPr="00B314E1">
        <w:rPr>
          <w:rFonts w:ascii="Calibri" w:hAnsi="Calibri"/>
          <w:b/>
          <w:color w:val="1F497D" w:themeColor="text2"/>
        </w:rPr>
        <w:t xml:space="preserve">Conclusion </w:t>
      </w:r>
    </w:p>
    <w:p w14:paraId="5AA76632" w14:textId="08D3440B" w:rsidR="00912347" w:rsidRDefault="00AC1ED9" w:rsidP="00B314E1">
      <w:pPr>
        <w:spacing w:before="100" w:beforeAutospacing="1" w:after="100" w:afterAutospacing="1" w:line="360" w:lineRule="auto"/>
        <w:jc w:val="both"/>
        <w:rPr>
          <w:rFonts w:ascii="Calibri" w:hAnsi="Calibri"/>
        </w:rPr>
      </w:pPr>
      <w:r>
        <w:rPr>
          <w:rFonts w:ascii="Calibri" w:hAnsi="Calibri"/>
        </w:rPr>
        <w:t xml:space="preserve">There are three actions needed to address rights of women in </w:t>
      </w:r>
      <w:r w:rsidR="00A849B4" w:rsidRPr="00A849B4">
        <w:rPr>
          <w:rFonts w:ascii="Calibri" w:hAnsi="Calibri"/>
        </w:rPr>
        <w:t>post-conflict Nepal.</w:t>
      </w:r>
      <w:r w:rsidR="00A849B4">
        <w:rPr>
          <w:rFonts w:ascii="Calibri" w:hAnsi="Calibri"/>
        </w:rPr>
        <w:t xml:space="preserve"> First, </w:t>
      </w:r>
      <w:r w:rsidR="002C30B7">
        <w:rPr>
          <w:rFonts w:ascii="Calibri" w:hAnsi="Calibri"/>
        </w:rPr>
        <w:t xml:space="preserve">a </w:t>
      </w:r>
      <w:r w:rsidR="002C30B7" w:rsidRPr="00B314E1">
        <w:rPr>
          <w:rFonts w:ascii="Calibri" w:hAnsi="Calibri"/>
          <w:b/>
          <w:color w:val="4F81BD" w:themeColor="accent1"/>
        </w:rPr>
        <w:t>new</w:t>
      </w:r>
      <w:r w:rsidR="00A849B4" w:rsidRPr="00B314E1">
        <w:rPr>
          <w:rFonts w:ascii="Calibri" w:hAnsi="Calibri"/>
          <w:b/>
          <w:color w:val="4F81BD" w:themeColor="accent1"/>
        </w:rPr>
        <w:t xml:space="preserve"> NAP must follow the inclusive process</w:t>
      </w:r>
      <w:r w:rsidR="00A849B4" w:rsidRPr="00B314E1">
        <w:rPr>
          <w:rFonts w:ascii="Calibri" w:hAnsi="Calibri"/>
          <w:color w:val="4F81BD" w:themeColor="accent1"/>
        </w:rPr>
        <w:t xml:space="preserve"> </w:t>
      </w:r>
      <w:r w:rsidR="00A849B4">
        <w:rPr>
          <w:rFonts w:ascii="Calibri" w:hAnsi="Calibri"/>
        </w:rPr>
        <w:t xml:space="preserve">of the </w:t>
      </w:r>
      <w:r w:rsidR="002C30B7">
        <w:rPr>
          <w:rFonts w:ascii="Calibri" w:hAnsi="Calibri"/>
        </w:rPr>
        <w:t>existing NAP</w:t>
      </w:r>
      <w:r w:rsidR="00A849B4">
        <w:rPr>
          <w:rFonts w:ascii="Calibri" w:hAnsi="Calibri"/>
        </w:rPr>
        <w:t xml:space="preserve">, supported by effective monitoring and evaluation </w:t>
      </w:r>
      <w:r w:rsidR="002C30B7">
        <w:rPr>
          <w:rFonts w:ascii="Calibri" w:hAnsi="Calibri"/>
        </w:rPr>
        <w:t xml:space="preserve">by the Government and Nepal’s active </w:t>
      </w:r>
      <w:r>
        <w:rPr>
          <w:rFonts w:ascii="Calibri" w:hAnsi="Calibri"/>
        </w:rPr>
        <w:t xml:space="preserve">civil society sector, especially </w:t>
      </w:r>
      <w:r w:rsidR="00B148B8">
        <w:rPr>
          <w:rFonts w:ascii="Calibri" w:hAnsi="Calibri"/>
        </w:rPr>
        <w:t>women’s</w:t>
      </w:r>
      <w:r w:rsidR="002C30B7">
        <w:rPr>
          <w:rFonts w:ascii="Calibri" w:hAnsi="Calibri"/>
        </w:rPr>
        <w:t xml:space="preserve"> organizations</w:t>
      </w:r>
      <w:r w:rsidR="00A849B4">
        <w:rPr>
          <w:rFonts w:ascii="Calibri" w:hAnsi="Calibri"/>
        </w:rPr>
        <w:t>.</w:t>
      </w:r>
      <w:r>
        <w:rPr>
          <w:rFonts w:ascii="Calibri" w:hAnsi="Calibri"/>
        </w:rPr>
        <w:t xml:space="preserve"> It is important that the contributions of civil society to the NAP process are recognised and supported.</w:t>
      </w:r>
      <w:r w:rsidR="00A849B4" w:rsidRPr="00A849B4">
        <w:rPr>
          <w:rFonts w:ascii="Calibri" w:hAnsi="Calibri"/>
        </w:rPr>
        <w:t xml:space="preserve"> Two </w:t>
      </w:r>
      <w:r>
        <w:rPr>
          <w:rFonts w:ascii="Calibri" w:hAnsi="Calibri"/>
        </w:rPr>
        <w:t>related</w:t>
      </w:r>
      <w:r w:rsidR="002C30B7">
        <w:rPr>
          <w:rFonts w:ascii="Calibri" w:hAnsi="Calibri"/>
        </w:rPr>
        <w:t>,</w:t>
      </w:r>
      <w:r w:rsidR="00A849B4" w:rsidRPr="00A849B4">
        <w:rPr>
          <w:rFonts w:ascii="Calibri" w:hAnsi="Calibri"/>
        </w:rPr>
        <w:t xml:space="preserve"> but also politically fraught</w:t>
      </w:r>
      <w:r w:rsidR="002C30B7">
        <w:rPr>
          <w:rFonts w:ascii="Calibri" w:hAnsi="Calibri"/>
        </w:rPr>
        <w:t>,</w:t>
      </w:r>
      <w:r w:rsidR="00A849B4" w:rsidRPr="00A849B4">
        <w:rPr>
          <w:rFonts w:ascii="Calibri" w:hAnsi="Calibri"/>
        </w:rPr>
        <w:t xml:space="preserve"> </w:t>
      </w:r>
      <w:r w:rsidR="002C30B7">
        <w:rPr>
          <w:rFonts w:ascii="Calibri" w:hAnsi="Calibri"/>
        </w:rPr>
        <w:t>post-conflict</w:t>
      </w:r>
      <w:r w:rsidR="00A849B4" w:rsidRPr="00A849B4">
        <w:rPr>
          <w:rFonts w:ascii="Calibri" w:hAnsi="Calibri"/>
        </w:rPr>
        <w:t xml:space="preserve"> </w:t>
      </w:r>
      <w:r w:rsidR="002C30B7">
        <w:rPr>
          <w:rFonts w:ascii="Calibri" w:hAnsi="Calibri"/>
        </w:rPr>
        <w:t xml:space="preserve">projects </w:t>
      </w:r>
      <w:r w:rsidR="00A849B4" w:rsidRPr="00A849B4">
        <w:rPr>
          <w:rFonts w:ascii="Calibri" w:hAnsi="Calibri"/>
        </w:rPr>
        <w:t xml:space="preserve">are the </w:t>
      </w:r>
      <w:r w:rsidR="00A849B4" w:rsidRPr="00B314E1">
        <w:rPr>
          <w:rFonts w:ascii="Calibri" w:hAnsi="Calibri"/>
          <w:b/>
          <w:color w:val="4F81BD" w:themeColor="accent1"/>
        </w:rPr>
        <w:t>creation of a new constitution</w:t>
      </w:r>
      <w:r w:rsidR="00A849B4" w:rsidRPr="00A849B4">
        <w:rPr>
          <w:rFonts w:ascii="Calibri" w:hAnsi="Calibri"/>
        </w:rPr>
        <w:t xml:space="preserve"> and </w:t>
      </w:r>
      <w:r w:rsidR="002C30B7">
        <w:rPr>
          <w:rFonts w:ascii="Calibri" w:hAnsi="Calibri"/>
        </w:rPr>
        <w:t xml:space="preserve">a </w:t>
      </w:r>
      <w:r w:rsidR="002C30B7" w:rsidRPr="00B314E1">
        <w:rPr>
          <w:rFonts w:ascii="Calibri" w:hAnsi="Calibri"/>
          <w:b/>
          <w:color w:val="4F81BD" w:themeColor="accent1"/>
        </w:rPr>
        <w:t>need to re</w:t>
      </w:r>
      <w:r w:rsidR="00A849B4" w:rsidRPr="00B314E1">
        <w:rPr>
          <w:rFonts w:ascii="Calibri" w:hAnsi="Calibri"/>
          <w:b/>
          <w:color w:val="4F81BD" w:themeColor="accent1"/>
        </w:rPr>
        <w:t xml:space="preserve">design </w:t>
      </w:r>
      <w:r w:rsidR="002C30B7" w:rsidRPr="00B314E1">
        <w:rPr>
          <w:rFonts w:ascii="Calibri" w:hAnsi="Calibri"/>
          <w:b/>
          <w:color w:val="4F81BD" w:themeColor="accent1"/>
        </w:rPr>
        <w:t>the</w:t>
      </w:r>
      <w:r w:rsidR="00A849B4" w:rsidRPr="00B314E1">
        <w:rPr>
          <w:rFonts w:ascii="Calibri" w:hAnsi="Calibri"/>
          <w:b/>
          <w:color w:val="4F81BD" w:themeColor="accent1"/>
        </w:rPr>
        <w:t xml:space="preserve"> Commission</w:t>
      </w:r>
      <w:r w:rsidR="00A849B4" w:rsidRPr="00A849B4">
        <w:rPr>
          <w:rFonts w:ascii="Calibri" w:hAnsi="Calibri"/>
        </w:rPr>
        <w:t xml:space="preserve">. </w:t>
      </w:r>
      <w:r>
        <w:rPr>
          <w:rFonts w:ascii="Calibri" w:hAnsi="Calibri"/>
        </w:rPr>
        <w:t>W</w:t>
      </w:r>
      <w:r w:rsidR="00A849B4" w:rsidRPr="00A849B4">
        <w:rPr>
          <w:rFonts w:ascii="Calibri" w:hAnsi="Calibri"/>
        </w:rPr>
        <w:t xml:space="preserve">omen </w:t>
      </w:r>
      <w:r>
        <w:rPr>
          <w:rFonts w:ascii="Calibri" w:hAnsi="Calibri"/>
        </w:rPr>
        <w:t>must be i</w:t>
      </w:r>
      <w:r w:rsidR="00350E67">
        <w:rPr>
          <w:rFonts w:ascii="Calibri" w:hAnsi="Calibri"/>
        </w:rPr>
        <w:t xml:space="preserve">ncluded in </w:t>
      </w:r>
      <w:r w:rsidR="00A849B4" w:rsidRPr="00A849B4">
        <w:rPr>
          <w:rFonts w:ascii="Calibri" w:hAnsi="Calibri"/>
        </w:rPr>
        <w:t xml:space="preserve">the decision-making processes behind both projects, in line with the first pillar of the NAP. </w:t>
      </w:r>
      <w:r w:rsidR="00350E67">
        <w:rPr>
          <w:rFonts w:ascii="Calibri" w:hAnsi="Calibri"/>
        </w:rPr>
        <w:t>It is also crucial</w:t>
      </w:r>
      <w:r w:rsidR="00A849B4" w:rsidRPr="00A849B4">
        <w:rPr>
          <w:rFonts w:ascii="Calibri" w:hAnsi="Calibri"/>
        </w:rPr>
        <w:t xml:space="preserve"> that both substantively provide the necessary protections to women</w:t>
      </w:r>
      <w:r w:rsidR="00794B9C">
        <w:rPr>
          <w:rFonts w:ascii="Calibri" w:hAnsi="Calibri"/>
        </w:rPr>
        <w:t xml:space="preserve"> and girls</w:t>
      </w:r>
      <w:r w:rsidR="00A849B4" w:rsidRPr="00A849B4">
        <w:rPr>
          <w:rFonts w:ascii="Calibri" w:hAnsi="Calibri"/>
        </w:rPr>
        <w:t xml:space="preserve">. Women’s rights must be privileged in the constitution in order to build upon the work in this field already achieved under the NAP. Equally, the Commission </w:t>
      </w:r>
      <w:r w:rsidR="00794B9C">
        <w:rPr>
          <w:rFonts w:ascii="Calibri" w:hAnsi="Calibri"/>
        </w:rPr>
        <w:t>requires</w:t>
      </w:r>
      <w:r w:rsidR="002C30B7">
        <w:rPr>
          <w:rFonts w:ascii="Calibri" w:hAnsi="Calibri"/>
        </w:rPr>
        <w:t xml:space="preserve"> a redesign of its mandate and structure to</w:t>
      </w:r>
      <w:r w:rsidR="00A849B4" w:rsidRPr="00A849B4">
        <w:rPr>
          <w:rFonts w:ascii="Calibri" w:hAnsi="Calibri"/>
        </w:rPr>
        <w:t xml:space="preserve"> vigorously pursue </w:t>
      </w:r>
      <w:r w:rsidR="00A849B4">
        <w:rPr>
          <w:rFonts w:ascii="Calibri" w:hAnsi="Calibri"/>
        </w:rPr>
        <w:t xml:space="preserve">gender-based </w:t>
      </w:r>
      <w:r w:rsidR="00A849B4" w:rsidRPr="00A849B4">
        <w:rPr>
          <w:rFonts w:ascii="Calibri" w:hAnsi="Calibri"/>
        </w:rPr>
        <w:t xml:space="preserve">crimes. </w:t>
      </w:r>
    </w:p>
    <w:p w14:paraId="2C6B526B" w14:textId="77777777" w:rsidR="00466F23" w:rsidRDefault="00466F23" w:rsidP="00466F23">
      <w:pPr>
        <w:rPr>
          <w:rFonts w:ascii="Calibri" w:hAnsi="Calibri"/>
        </w:rPr>
      </w:pPr>
    </w:p>
    <w:p w14:paraId="0452113C" w14:textId="77777777" w:rsidR="00965E4D" w:rsidRDefault="00965E4D" w:rsidP="00466F23">
      <w:pPr>
        <w:pStyle w:val="Title"/>
        <w:rPr>
          <w:sz w:val="32"/>
          <w:szCs w:val="32"/>
        </w:rPr>
      </w:pPr>
      <w:r>
        <w:rPr>
          <w:sz w:val="32"/>
          <w:szCs w:val="32"/>
        </w:rPr>
        <w:br w:type="page"/>
      </w:r>
    </w:p>
    <w:p w14:paraId="2EC814CD" w14:textId="3AD20C13" w:rsidR="000E78A5" w:rsidRPr="003330F3" w:rsidRDefault="000E78A5" w:rsidP="000E78A5">
      <w:pPr>
        <w:pStyle w:val="Heading3"/>
        <w:keepLines/>
        <w:spacing w:before="20" w:after="0"/>
        <w:jc w:val="center"/>
        <w:rPr>
          <w:b w:val="0"/>
          <w:color w:val="1F497D" w:themeColor="text2"/>
          <w:spacing w:val="14"/>
          <w:sz w:val="32"/>
          <w:szCs w:val="32"/>
          <w:u w:val="single"/>
          <w:lang w:val="en-GB"/>
        </w:rPr>
      </w:pPr>
      <w:bookmarkStart w:id="13" w:name="_Toc416867091"/>
      <w:r>
        <w:rPr>
          <w:b w:val="0"/>
          <w:color w:val="1F497D" w:themeColor="text2"/>
          <w:spacing w:val="14"/>
          <w:sz w:val="32"/>
          <w:szCs w:val="32"/>
          <w:u w:val="single"/>
          <w:lang w:val="en-GB"/>
        </w:rPr>
        <w:lastRenderedPageBreak/>
        <w:t>ASIA</w:t>
      </w:r>
      <w:bookmarkEnd w:id="13"/>
    </w:p>
    <w:p w14:paraId="4CD2D0D7" w14:textId="77777777" w:rsidR="000E78A5" w:rsidRDefault="000E78A5" w:rsidP="000E78A5">
      <w:pPr>
        <w:jc w:val="both"/>
        <w:rPr>
          <w:rFonts w:ascii="Calibri" w:hAnsi="Calibri"/>
          <w:b/>
        </w:rPr>
      </w:pPr>
    </w:p>
    <w:p w14:paraId="7930363E" w14:textId="3D16E8F4" w:rsidR="000E78A5" w:rsidRPr="000E78A5" w:rsidRDefault="000E78A5" w:rsidP="000E78A5">
      <w:pPr>
        <w:pStyle w:val="Heading3"/>
        <w:keepLines/>
        <w:spacing w:before="20" w:after="0"/>
        <w:jc w:val="center"/>
        <w:rPr>
          <w:b w:val="0"/>
          <w:color w:val="1F497D" w:themeColor="text2"/>
          <w:spacing w:val="14"/>
          <w:sz w:val="32"/>
          <w:szCs w:val="32"/>
          <w:lang w:val="en-GB"/>
        </w:rPr>
      </w:pPr>
      <w:bookmarkStart w:id="14" w:name="_Toc416867092"/>
      <w:r>
        <w:rPr>
          <w:b w:val="0"/>
          <w:color w:val="1F497D" w:themeColor="text2"/>
          <w:spacing w:val="14"/>
          <w:sz w:val="32"/>
          <w:szCs w:val="32"/>
          <w:lang w:val="en-GB"/>
        </w:rPr>
        <w:t xml:space="preserve">MYANMAR – </w:t>
      </w:r>
      <w:r w:rsidR="00D31FFF">
        <w:rPr>
          <w:b w:val="0"/>
          <w:color w:val="1F497D" w:themeColor="text2"/>
          <w:spacing w:val="14"/>
          <w:sz w:val="32"/>
          <w:szCs w:val="32"/>
          <w:lang w:val="en-GB"/>
        </w:rPr>
        <w:t xml:space="preserve">A </w:t>
      </w:r>
      <w:r>
        <w:rPr>
          <w:b w:val="0"/>
          <w:color w:val="1F497D" w:themeColor="text2"/>
          <w:spacing w:val="14"/>
          <w:sz w:val="32"/>
          <w:szCs w:val="32"/>
          <w:lang w:val="en-GB"/>
        </w:rPr>
        <w:t xml:space="preserve">JOURNEY TOWARDS A NAP </w:t>
      </w:r>
      <w:r w:rsidR="00D31FFF">
        <w:rPr>
          <w:b w:val="0"/>
          <w:color w:val="1F497D" w:themeColor="text2"/>
          <w:spacing w:val="14"/>
          <w:sz w:val="32"/>
          <w:szCs w:val="32"/>
          <w:lang w:val="en-GB"/>
        </w:rPr>
        <w:t>THAT DRAWS ON THE LEGAL FRAMEWORK</w:t>
      </w:r>
      <w:bookmarkEnd w:id="14"/>
    </w:p>
    <w:p w14:paraId="3F71D1FB" w14:textId="77777777" w:rsidR="005C68CA" w:rsidRPr="0030171A" w:rsidRDefault="005C68CA" w:rsidP="005C68CA">
      <w:pPr>
        <w:rPr>
          <w:rFonts w:ascii="Calibri" w:hAnsi="Calibri" w:cs="Arial"/>
        </w:rPr>
      </w:pPr>
    </w:p>
    <w:p w14:paraId="0C916646" w14:textId="3537A557" w:rsidR="005C68CA" w:rsidRPr="001222F4" w:rsidRDefault="00350E67" w:rsidP="007F364C">
      <w:pPr>
        <w:pStyle w:val="ListParagraph"/>
        <w:widowControl w:val="0"/>
        <w:numPr>
          <w:ilvl w:val="0"/>
          <w:numId w:val="11"/>
        </w:numPr>
        <w:autoSpaceDE w:val="0"/>
        <w:autoSpaceDN w:val="0"/>
        <w:adjustRightInd w:val="0"/>
        <w:jc w:val="both"/>
        <w:rPr>
          <w:rFonts w:ascii="Calibri" w:hAnsi="Calibri" w:cs="Arial"/>
          <w:b/>
          <w:color w:val="1F497D" w:themeColor="text2"/>
          <w:lang w:val="en-US"/>
        </w:rPr>
      </w:pPr>
      <w:r w:rsidRPr="001222F4">
        <w:rPr>
          <w:rFonts w:ascii="Calibri" w:hAnsi="Calibri" w:cs="Arial"/>
          <w:b/>
          <w:color w:val="1F497D" w:themeColor="text2"/>
          <w:lang w:val="en-US"/>
        </w:rPr>
        <w:t>An</w:t>
      </w:r>
      <w:r w:rsidR="005C68CA" w:rsidRPr="001222F4">
        <w:rPr>
          <w:rFonts w:ascii="Calibri" w:hAnsi="Calibri" w:cs="Arial"/>
          <w:b/>
          <w:color w:val="1F497D" w:themeColor="text2"/>
          <w:lang w:val="en-US"/>
        </w:rPr>
        <w:t xml:space="preserve"> Overview of Conflict in Myanmar</w:t>
      </w:r>
    </w:p>
    <w:p w14:paraId="410D47F9" w14:textId="77777777" w:rsidR="005C68CA" w:rsidRPr="001222F4" w:rsidRDefault="005C68CA" w:rsidP="005C68CA">
      <w:pPr>
        <w:jc w:val="both"/>
        <w:rPr>
          <w:rFonts w:ascii="Calibri" w:hAnsi="Calibri" w:cs="Arial"/>
        </w:rPr>
      </w:pPr>
    </w:p>
    <w:p w14:paraId="3CDE9EAB" w14:textId="513103CD" w:rsidR="005C68CA" w:rsidRPr="001222F4" w:rsidRDefault="009B2C34" w:rsidP="00B314E1">
      <w:pPr>
        <w:spacing w:line="360" w:lineRule="auto"/>
        <w:jc w:val="both"/>
        <w:rPr>
          <w:rFonts w:ascii="Calibri" w:hAnsi="Calibri" w:cs="Arial"/>
        </w:rPr>
      </w:pPr>
      <w:r w:rsidRPr="001222F4">
        <w:rPr>
          <w:rFonts w:ascii="Calibri" w:hAnsi="Calibri" w:cs="Arial"/>
        </w:rPr>
        <w:t xml:space="preserve">Myanmar is </w:t>
      </w:r>
      <w:r w:rsidR="004112D1" w:rsidRPr="001222F4">
        <w:rPr>
          <w:rFonts w:ascii="Calibri" w:hAnsi="Calibri" w:cs="Arial"/>
        </w:rPr>
        <w:t>simultaneously</w:t>
      </w:r>
      <w:r w:rsidRPr="001222F4">
        <w:rPr>
          <w:rFonts w:ascii="Calibri" w:hAnsi="Calibri" w:cs="Arial"/>
        </w:rPr>
        <w:t xml:space="preserve"> </w:t>
      </w:r>
      <w:r w:rsidR="004112D1" w:rsidRPr="001222F4">
        <w:rPr>
          <w:rFonts w:ascii="Calibri" w:hAnsi="Calibri" w:cs="Arial"/>
        </w:rPr>
        <w:t>on the cusp</w:t>
      </w:r>
      <w:r w:rsidRPr="001222F4">
        <w:rPr>
          <w:rFonts w:ascii="Calibri" w:hAnsi="Calibri" w:cs="Arial"/>
        </w:rPr>
        <w:t xml:space="preserve"> </w:t>
      </w:r>
      <w:r w:rsidR="004112D1" w:rsidRPr="001222F4">
        <w:rPr>
          <w:rFonts w:ascii="Calibri" w:hAnsi="Calibri" w:cs="Arial"/>
        </w:rPr>
        <w:t xml:space="preserve">of </w:t>
      </w:r>
      <w:r w:rsidRPr="001222F4">
        <w:rPr>
          <w:rFonts w:ascii="Calibri" w:hAnsi="Calibri" w:cs="Arial"/>
        </w:rPr>
        <w:t xml:space="preserve">change </w:t>
      </w:r>
      <w:r w:rsidR="00673A0E" w:rsidRPr="001222F4">
        <w:rPr>
          <w:rFonts w:ascii="Calibri" w:hAnsi="Calibri" w:cs="Arial"/>
        </w:rPr>
        <w:t>and</w:t>
      </w:r>
      <w:r w:rsidRPr="001222F4">
        <w:rPr>
          <w:rFonts w:ascii="Calibri" w:hAnsi="Calibri" w:cs="Arial"/>
        </w:rPr>
        <w:t xml:space="preserve"> affected by </w:t>
      </w:r>
      <w:r w:rsidR="00673A0E" w:rsidRPr="001222F4">
        <w:rPr>
          <w:rFonts w:ascii="Calibri" w:hAnsi="Calibri" w:cs="Arial"/>
        </w:rPr>
        <w:t xml:space="preserve">ongoing </w:t>
      </w:r>
      <w:r w:rsidRPr="001222F4">
        <w:rPr>
          <w:rFonts w:ascii="Calibri" w:hAnsi="Calibri" w:cs="Arial"/>
        </w:rPr>
        <w:t xml:space="preserve">conflict. </w:t>
      </w:r>
      <w:r w:rsidR="00912347" w:rsidRPr="001222F4">
        <w:rPr>
          <w:rFonts w:ascii="Calibri" w:hAnsi="Calibri" w:cs="Arial"/>
        </w:rPr>
        <w:t>The country’s</w:t>
      </w:r>
      <w:r w:rsidR="00FF5AA1" w:rsidRPr="001222F4">
        <w:rPr>
          <w:rFonts w:ascii="Calibri" w:hAnsi="Calibri" w:cs="Arial"/>
        </w:rPr>
        <w:t xml:space="preserve"> future depends on the widely anticipated upcoming general election, due to be held in October/November of this year. </w:t>
      </w:r>
      <w:r w:rsidRPr="001222F4">
        <w:rPr>
          <w:rFonts w:ascii="Calibri" w:hAnsi="Calibri" w:cs="Arial"/>
        </w:rPr>
        <w:t>There is</w:t>
      </w:r>
      <w:r w:rsidR="00FF5AA1" w:rsidRPr="001222F4">
        <w:rPr>
          <w:rFonts w:ascii="Calibri" w:hAnsi="Calibri" w:cs="Arial"/>
        </w:rPr>
        <w:t xml:space="preserve"> currently</w:t>
      </w:r>
      <w:r w:rsidRPr="001222F4">
        <w:rPr>
          <w:rFonts w:ascii="Calibri" w:hAnsi="Calibri" w:cs="Arial"/>
        </w:rPr>
        <w:t xml:space="preserve"> </w:t>
      </w:r>
      <w:r w:rsidR="00FF5AA1" w:rsidRPr="001222F4">
        <w:rPr>
          <w:rFonts w:ascii="Calibri" w:hAnsi="Calibri" w:cs="Arial"/>
        </w:rPr>
        <w:t>a window of opportunity</w:t>
      </w:r>
      <w:r w:rsidRPr="001222F4">
        <w:rPr>
          <w:rFonts w:ascii="Calibri" w:hAnsi="Calibri" w:cs="Arial"/>
        </w:rPr>
        <w:t xml:space="preserve"> to </w:t>
      </w:r>
      <w:r w:rsidR="00673A0E" w:rsidRPr="001222F4">
        <w:rPr>
          <w:rFonts w:ascii="Calibri" w:hAnsi="Calibri" w:cs="Arial"/>
        </w:rPr>
        <w:t>channel</w:t>
      </w:r>
      <w:r w:rsidRPr="001222F4">
        <w:rPr>
          <w:rFonts w:ascii="Calibri" w:hAnsi="Calibri" w:cs="Arial"/>
        </w:rPr>
        <w:t xml:space="preserve"> the reformist momentum</w:t>
      </w:r>
      <w:r w:rsidR="000A59EF" w:rsidRPr="001222F4">
        <w:rPr>
          <w:rFonts w:ascii="Calibri" w:hAnsi="Calibri" w:cs="Arial"/>
        </w:rPr>
        <w:t xml:space="preserve"> from its transition toward democracy</w:t>
      </w:r>
      <w:r w:rsidR="00033EC2" w:rsidRPr="001222F4">
        <w:rPr>
          <w:rFonts w:ascii="Calibri" w:hAnsi="Calibri" w:cs="Arial"/>
        </w:rPr>
        <w:t xml:space="preserve"> to progress</w:t>
      </w:r>
      <w:r w:rsidRPr="001222F4">
        <w:rPr>
          <w:rFonts w:ascii="Calibri" w:hAnsi="Calibri" w:cs="Arial"/>
        </w:rPr>
        <w:t xml:space="preserve"> the women, peace and security agenda. Myanmar remains</w:t>
      </w:r>
      <w:r w:rsidR="0030394A" w:rsidRPr="001222F4">
        <w:rPr>
          <w:rFonts w:ascii="Calibri" w:hAnsi="Calibri" w:cs="Arial"/>
        </w:rPr>
        <w:t xml:space="preserve"> affected by </w:t>
      </w:r>
      <w:r w:rsidR="005C68CA" w:rsidRPr="001222F4">
        <w:rPr>
          <w:rFonts w:ascii="Calibri" w:hAnsi="Calibri" w:cs="Arial"/>
        </w:rPr>
        <w:t>protracted</w:t>
      </w:r>
      <w:r w:rsidR="00FF5AA1" w:rsidRPr="001222F4">
        <w:rPr>
          <w:rFonts w:ascii="Calibri" w:hAnsi="Calibri" w:cs="Arial"/>
        </w:rPr>
        <w:t xml:space="preserve"> internal</w:t>
      </w:r>
      <w:r w:rsidR="005C68CA" w:rsidRPr="001222F4">
        <w:rPr>
          <w:rFonts w:ascii="Calibri" w:hAnsi="Calibri" w:cs="Arial"/>
        </w:rPr>
        <w:t xml:space="preserve"> conflict</w:t>
      </w:r>
      <w:r w:rsidR="00FF5AA1" w:rsidRPr="001222F4">
        <w:rPr>
          <w:rFonts w:ascii="Calibri" w:hAnsi="Calibri" w:cs="Arial"/>
        </w:rPr>
        <w:t xml:space="preserve"> between </w:t>
      </w:r>
      <w:r w:rsidR="005C68CA" w:rsidRPr="001222F4">
        <w:rPr>
          <w:rFonts w:ascii="Calibri" w:hAnsi="Calibri" w:cs="Arial"/>
        </w:rPr>
        <w:t xml:space="preserve">ethnic </w:t>
      </w:r>
      <w:r w:rsidRPr="001222F4">
        <w:rPr>
          <w:rFonts w:ascii="Calibri" w:hAnsi="Calibri" w:cs="Arial"/>
        </w:rPr>
        <w:t>minorities and the Burmese military</w:t>
      </w:r>
      <w:r w:rsidR="00FF5AA1" w:rsidRPr="001222F4">
        <w:rPr>
          <w:rFonts w:ascii="Calibri" w:hAnsi="Calibri" w:cs="Arial"/>
        </w:rPr>
        <w:t xml:space="preserve">, </w:t>
      </w:r>
      <w:r w:rsidR="005C68CA" w:rsidRPr="001222F4">
        <w:rPr>
          <w:rFonts w:ascii="Calibri" w:hAnsi="Calibri" w:cs="Arial"/>
        </w:rPr>
        <w:t>characterised by gross violence against civilian</w:t>
      </w:r>
      <w:r w:rsidRPr="001222F4">
        <w:rPr>
          <w:rFonts w:ascii="Calibri" w:hAnsi="Calibri" w:cs="Arial"/>
        </w:rPr>
        <w:t>s</w:t>
      </w:r>
      <w:r w:rsidR="005C68CA" w:rsidRPr="001222F4">
        <w:rPr>
          <w:rFonts w:ascii="Calibri" w:hAnsi="Calibri" w:cs="Arial"/>
        </w:rPr>
        <w:t xml:space="preserve">, human rights abuses, brutal offensive military attacks and widespread displacement, with thousands </w:t>
      </w:r>
      <w:r w:rsidR="00FF5AA1" w:rsidRPr="001222F4">
        <w:rPr>
          <w:rFonts w:ascii="Calibri" w:hAnsi="Calibri" w:cs="Arial"/>
        </w:rPr>
        <w:t xml:space="preserve">displaced and </w:t>
      </w:r>
      <w:r w:rsidR="005C68CA" w:rsidRPr="001222F4">
        <w:rPr>
          <w:rFonts w:ascii="Calibri" w:hAnsi="Calibri" w:cs="Arial"/>
        </w:rPr>
        <w:t xml:space="preserve">fleeing to refugee camps </w:t>
      </w:r>
      <w:r w:rsidR="000A59EF" w:rsidRPr="001222F4">
        <w:rPr>
          <w:rFonts w:ascii="Calibri" w:hAnsi="Calibri" w:cs="Arial"/>
        </w:rPr>
        <w:t>in</w:t>
      </w:r>
      <w:r w:rsidR="005C68CA" w:rsidRPr="001222F4">
        <w:rPr>
          <w:rFonts w:ascii="Calibri" w:hAnsi="Calibri" w:cs="Arial"/>
        </w:rPr>
        <w:t xml:space="preserve"> neighbouring countries. </w:t>
      </w:r>
      <w:r w:rsidRPr="001222F4">
        <w:rPr>
          <w:rFonts w:ascii="Calibri" w:hAnsi="Calibri" w:cs="Arial"/>
        </w:rPr>
        <w:t xml:space="preserve">Communal violence persists in </w:t>
      </w:r>
      <w:r w:rsidR="00FF5AA1" w:rsidRPr="001222F4">
        <w:rPr>
          <w:rFonts w:ascii="Calibri" w:hAnsi="Calibri" w:cs="Arial"/>
        </w:rPr>
        <w:t>discrete areas</w:t>
      </w:r>
      <w:r w:rsidRPr="001222F4">
        <w:rPr>
          <w:rFonts w:ascii="Calibri" w:hAnsi="Calibri" w:cs="Arial"/>
        </w:rPr>
        <w:t xml:space="preserve">, </w:t>
      </w:r>
      <w:r w:rsidR="007D283C" w:rsidRPr="001222F4">
        <w:rPr>
          <w:rFonts w:ascii="Calibri" w:hAnsi="Calibri" w:cs="Arial"/>
        </w:rPr>
        <w:t>notably</w:t>
      </w:r>
      <w:r w:rsidRPr="001222F4">
        <w:rPr>
          <w:rFonts w:ascii="Calibri" w:hAnsi="Calibri" w:cs="Arial"/>
        </w:rPr>
        <w:t xml:space="preserve"> in Rakhine State between Buddhists and the Muslim Rohingya. Since 2012, and accusations of </w:t>
      </w:r>
      <w:r w:rsidR="00FF5AA1" w:rsidRPr="001222F4">
        <w:rPr>
          <w:rFonts w:ascii="Calibri" w:hAnsi="Calibri" w:cs="Arial"/>
        </w:rPr>
        <w:t xml:space="preserve">mass </w:t>
      </w:r>
      <w:r w:rsidRPr="001222F4">
        <w:rPr>
          <w:rFonts w:ascii="Calibri" w:hAnsi="Calibri" w:cs="Arial"/>
        </w:rPr>
        <w:t>rape</w:t>
      </w:r>
      <w:r w:rsidR="00FF5AA1" w:rsidRPr="001222F4">
        <w:rPr>
          <w:rFonts w:ascii="Calibri" w:hAnsi="Calibri" w:cs="Arial"/>
        </w:rPr>
        <w:t>s</w:t>
      </w:r>
      <w:r w:rsidRPr="001222F4">
        <w:rPr>
          <w:rFonts w:ascii="Calibri" w:hAnsi="Calibri" w:cs="Arial"/>
        </w:rPr>
        <w:t xml:space="preserve"> of women and girls have resulted in brutal clashes between members of these two groups.</w:t>
      </w:r>
      <w:r w:rsidRPr="001222F4">
        <w:rPr>
          <w:rStyle w:val="FootnoteReference"/>
          <w:rFonts w:ascii="Calibri" w:hAnsi="Calibri" w:cs="Arial"/>
        </w:rPr>
        <w:footnoteReference w:id="196"/>
      </w:r>
      <w:r w:rsidRPr="001222F4">
        <w:rPr>
          <w:rFonts w:ascii="Calibri" w:hAnsi="Calibri" w:cs="Arial"/>
        </w:rPr>
        <w:t xml:space="preserve">  </w:t>
      </w:r>
      <w:r w:rsidR="004112D1" w:rsidRPr="001222F4">
        <w:rPr>
          <w:rFonts w:ascii="Calibri" w:hAnsi="Calibri" w:cs="Arial"/>
        </w:rPr>
        <w:t>In</w:t>
      </w:r>
      <w:r w:rsidR="005C68CA" w:rsidRPr="001222F4">
        <w:rPr>
          <w:rFonts w:ascii="Calibri" w:hAnsi="Calibri" w:cs="Arial"/>
        </w:rPr>
        <w:t xml:space="preserve"> November 2014 the Women’s League of Burma, an umbrella organisation </w:t>
      </w:r>
      <w:r w:rsidRPr="001222F4">
        <w:rPr>
          <w:rFonts w:ascii="Calibri" w:hAnsi="Calibri" w:cs="Arial"/>
        </w:rPr>
        <w:t>of</w:t>
      </w:r>
      <w:r w:rsidR="005C68CA" w:rsidRPr="001222F4">
        <w:rPr>
          <w:rFonts w:ascii="Calibri" w:hAnsi="Calibri" w:cs="Arial"/>
        </w:rPr>
        <w:t xml:space="preserve"> 13 women’s </w:t>
      </w:r>
      <w:r w:rsidR="004112D1" w:rsidRPr="001222F4">
        <w:rPr>
          <w:rFonts w:ascii="Calibri" w:hAnsi="Calibri" w:cs="Arial"/>
        </w:rPr>
        <w:t>groups</w:t>
      </w:r>
      <w:r w:rsidR="005C68CA" w:rsidRPr="001222F4">
        <w:rPr>
          <w:rFonts w:ascii="Calibri" w:hAnsi="Calibri" w:cs="Arial"/>
        </w:rPr>
        <w:t xml:space="preserve"> of different ethnic backgrounds, published a report detailing the on</w:t>
      </w:r>
      <w:r w:rsidRPr="001222F4">
        <w:rPr>
          <w:rFonts w:ascii="Calibri" w:hAnsi="Calibri" w:cs="Arial"/>
        </w:rPr>
        <w:t>-</w:t>
      </w:r>
      <w:r w:rsidR="005C68CA" w:rsidRPr="001222F4">
        <w:rPr>
          <w:rFonts w:ascii="Calibri" w:hAnsi="Calibri" w:cs="Arial"/>
        </w:rPr>
        <w:t>going and systematic use of rape by the Burmese Army as a form of subjugation of ethnic communities.</w:t>
      </w:r>
      <w:r w:rsidR="005C68CA" w:rsidRPr="001222F4">
        <w:rPr>
          <w:rStyle w:val="FootnoteReference"/>
          <w:rFonts w:ascii="Calibri" w:hAnsi="Calibri" w:cs="Arial"/>
        </w:rPr>
        <w:footnoteReference w:id="197"/>
      </w:r>
      <w:r w:rsidR="005C68CA" w:rsidRPr="001222F4">
        <w:rPr>
          <w:rFonts w:ascii="Calibri" w:hAnsi="Calibri" w:cs="Arial"/>
        </w:rPr>
        <w:t xml:space="preserve"> </w:t>
      </w:r>
    </w:p>
    <w:p w14:paraId="5CD8AA22" w14:textId="77777777" w:rsidR="005C68CA" w:rsidRPr="001222F4" w:rsidRDefault="005C68CA" w:rsidP="005C68CA">
      <w:pPr>
        <w:jc w:val="both"/>
        <w:rPr>
          <w:rFonts w:ascii="Calibri" w:hAnsi="Calibri" w:cs="Arial"/>
        </w:rPr>
      </w:pPr>
    </w:p>
    <w:p w14:paraId="7F03B1DD" w14:textId="03F5C6EC" w:rsidR="005C68CA" w:rsidRPr="001222F4" w:rsidRDefault="00490269" w:rsidP="007F364C">
      <w:pPr>
        <w:pStyle w:val="ListParagraph"/>
        <w:numPr>
          <w:ilvl w:val="0"/>
          <w:numId w:val="11"/>
        </w:numPr>
        <w:jc w:val="both"/>
        <w:rPr>
          <w:rFonts w:ascii="Calibri" w:hAnsi="Calibri" w:cs="Arial"/>
          <w:b/>
          <w:color w:val="1F497D" w:themeColor="text2"/>
        </w:rPr>
      </w:pPr>
      <w:r w:rsidRPr="001222F4">
        <w:rPr>
          <w:rFonts w:ascii="Calibri" w:hAnsi="Calibri" w:cs="Arial"/>
          <w:b/>
          <w:color w:val="1F497D" w:themeColor="text2"/>
        </w:rPr>
        <w:t xml:space="preserve">Developments on </w:t>
      </w:r>
      <w:r w:rsidR="005C68CA" w:rsidRPr="001222F4">
        <w:rPr>
          <w:rFonts w:ascii="Calibri" w:hAnsi="Calibri" w:cs="Arial"/>
          <w:b/>
          <w:color w:val="1F497D" w:themeColor="text2"/>
        </w:rPr>
        <w:t xml:space="preserve">Women, Peace and Security – </w:t>
      </w:r>
      <w:r w:rsidR="00EA481B" w:rsidRPr="001222F4">
        <w:rPr>
          <w:rFonts w:ascii="Calibri" w:hAnsi="Calibri" w:cs="Arial"/>
          <w:b/>
          <w:color w:val="1F497D" w:themeColor="text2"/>
        </w:rPr>
        <w:t>T</w:t>
      </w:r>
      <w:r w:rsidR="005C68CA" w:rsidRPr="001222F4">
        <w:rPr>
          <w:rFonts w:ascii="Calibri" w:hAnsi="Calibri" w:cs="Arial"/>
          <w:b/>
          <w:color w:val="1F497D" w:themeColor="text2"/>
        </w:rPr>
        <w:t xml:space="preserve">owards a National Action Plan </w:t>
      </w:r>
    </w:p>
    <w:p w14:paraId="4BCB717B" w14:textId="77777777" w:rsidR="005C68CA" w:rsidRPr="001222F4" w:rsidRDefault="005C68CA" w:rsidP="005C68CA">
      <w:pPr>
        <w:jc w:val="both"/>
        <w:rPr>
          <w:rFonts w:ascii="Calibri" w:hAnsi="Calibri" w:cs="Arial"/>
        </w:rPr>
      </w:pPr>
    </w:p>
    <w:p w14:paraId="27467728" w14:textId="0DD0D7DE" w:rsidR="005C68CA" w:rsidRPr="001222F4" w:rsidRDefault="005C68CA" w:rsidP="00B314E1">
      <w:pPr>
        <w:spacing w:line="360" w:lineRule="auto"/>
        <w:jc w:val="both"/>
        <w:rPr>
          <w:rFonts w:ascii="Calibri" w:hAnsi="Calibri" w:cs="Arial"/>
        </w:rPr>
      </w:pPr>
      <w:r w:rsidRPr="001222F4">
        <w:rPr>
          <w:rFonts w:ascii="Calibri" w:hAnsi="Calibri" w:cs="Arial"/>
        </w:rPr>
        <w:t>Myanmar is yet to launch a National Action Plan</w:t>
      </w:r>
      <w:r w:rsidR="004415F6" w:rsidRPr="001222F4">
        <w:rPr>
          <w:rFonts w:ascii="Calibri" w:hAnsi="Calibri" w:cs="Arial"/>
        </w:rPr>
        <w:t xml:space="preserve"> (NAP)</w:t>
      </w:r>
      <w:r w:rsidRPr="001222F4">
        <w:rPr>
          <w:rFonts w:ascii="Calibri" w:hAnsi="Calibri" w:cs="Arial"/>
        </w:rPr>
        <w:t xml:space="preserve"> on </w:t>
      </w:r>
      <w:r w:rsidR="00490269" w:rsidRPr="001222F4">
        <w:rPr>
          <w:rFonts w:ascii="Calibri" w:hAnsi="Calibri" w:cs="Arial"/>
        </w:rPr>
        <w:t>SCR</w:t>
      </w:r>
      <w:r w:rsidRPr="001222F4">
        <w:rPr>
          <w:rFonts w:ascii="Calibri" w:hAnsi="Calibri" w:cs="Arial"/>
        </w:rPr>
        <w:t xml:space="preserve"> 1325, </w:t>
      </w:r>
      <w:r w:rsidR="009419B2" w:rsidRPr="001222F4">
        <w:rPr>
          <w:rFonts w:ascii="Calibri" w:hAnsi="Calibri" w:cs="Arial"/>
        </w:rPr>
        <w:t xml:space="preserve">which </w:t>
      </w:r>
      <w:r w:rsidR="00245F98" w:rsidRPr="001222F4">
        <w:rPr>
          <w:rFonts w:ascii="Calibri" w:hAnsi="Calibri" w:cs="Arial"/>
        </w:rPr>
        <w:t>is currently</w:t>
      </w:r>
      <w:r w:rsidR="009419B2" w:rsidRPr="001222F4">
        <w:rPr>
          <w:rFonts w:ascii="Calibri" w:hAnsi="Calibri" w:cs="Arial"/>
        </w:rPr>
        <w:t xml:space="preserve"> under development</w:t>
      </w:r>
      <w:r w:rsidR="00490269" w:rsidRPr="001222F4">
        <w:rPr>
          <w:rFonts w:ascii="Calibri" w:hAnsi="Calibri" w:cs="Arial"/>
        </w:rPr>
        <w:t xml:space="preserve">. </w:t>
      </w:r>
      <w:r w:rsidR="00433C50" w:rsidRPr="001222F4">
        <w:rPr>
          <w:rFonts w:ascii="Calibri" w:hAnsi="Calibri" w:cs="Arial"/>
        </w:rPr>
        <w:t>W</w:t>
      </w:r>
      <w:r w:rsidRPr="001222F4">
        <w:rPr>
          <w:rFonts w:ascii="Calibri" w:hAnsi="Calibri" w:cs="Arial"/>
        </w:rPr>
        <w:t xml:space="preserve">omen do not feature prominently in civil decision-making and </w:t>
      </w:r>
      <w:r w:rsidR="00033EC2" w:rsidRPr="001222F4">
        <w:rPr>
          <w:rFonts w:ascii="Calibri" w:hAnsi="Calibri" w:cs="Arial"/>
        </w:rPr>
        <w:t>are</w:t>
      </w:r>
      <w:r w:rsidRPr="001222F4">
        <w:rPr>
          <w:rFonts w:ascii="Calibri" w:hAnsi="Calibri" w:cs="Arial"/>
        </w:rPr>
        <w:t xml:space="preserve"> excluded from meaningful involvement in the ceasefire negotiations and broader peace-building effort</w:t>
      </w:r>
      <w:r w:rsidR="00033EC2" w:rsidRPr="001222F4">
        <w:rPr>
          <w:rFonts w:ascii="Calibri" w:hAnsi="Calibri" w:cs="Arial"/>
        </w:rPr>
        <w:t>s</w:t>
      </w:r>
      <w:r w:rsidRPr="001222F4">
        <w:rPr>
          <w:rFonts w:ascii="Calibri" w:hAnsi="Calibri" w:cs="Arial"/>
        </w:rPr>
        <w:t xml:space="preserve">. </w:t>
      </w:r>
      <w:r w:rsidR="001952B9" w:rsidRPr="001222F4">
        <w:rPr>
          <w:rFonts w:ascii="Calibri" w:hAnsi="Calibri"/>
        </w:rPr>
        <w:t>There are</w:t>
      </w:r>
      <w:r w:rsidR="00433C50" w:rsidRPr="001222F4">
        <w:rPr>
          <w:rFonts w:ascii="Calibri" w:hAnsi="Calibri"/>
        </w:rPr>
        <w:t xml:space="preserve"> no women in the Union Peace Making Central Committee, and</w:t>
      </w:r>
      <w:r w:rsidR="001952B9" w:rsidRPr="001222F4">
        <w:rPr>
          <w:rFonts w:ascii="Calibri" w:hAnsi="Calibri"/>
        </w:rPr>
        <w:t xml:space="preserve"> only </w:t>
      </w:r>
      <w:r w:rsidR="00EF1EC4" w:rsidRPr="001222F4">
        <w:rPr>
          <w:rFonts w:ascii="Calibri" w:hAnsi="Calibri"/>
        </w:rPr>
        <w:t>two</w:t>
      </w:r>
      <w:r w:rsidR="001952B9" w:rsidRPr="001222F4">
        <w:rPr>
          <w:rFonts w:ascii="Calibri" w:hAnsi="Calibri"/>
        </w:rPr>
        <w:t xml:space="preserve"> women</w:t>
      </w:r>
      <w:r w:rsidR="00433C50" w:rsidRPr="001222F4">
        <w:rPr>
          <w:rFonts w:ascii="Calibri" w:hAnsi="Calibri"/>
        </w:rPr>
        <w:t xml:space="preserve"> parliamentarians</w:t>
      </w:r>
      <w:r w:rsidR="001952B9" w:rsidRPr="001222F4">
        <w:rPr>
          <w:rFonts w:ascii="Calibri" w:hAnsi="Calibri"/>
        </w:rPr>
        <w:t xml:space="preserve"> in the 52-member government-established Working Committee </w:t>
      </w:r>
      <w:r w:rsidR="00433C50" w:rsidRPr="001222F4">
        <w:rPr>
          <w:rFonts w:ascii="Calibri" w:hAnsi="Calibri"/>
        </w:rPr>
        <w:t>established under it</w:t>
      </w:r>
      <w:r w:rsidR="001952B9" w:rsidRPr="001222F4">
        <w:rPr>
          <w:rFonts w:ascii="Calibri" w:hAnsi="Calibri"/>
        </w:rPr>
        <w:t>.</w:t>
      </w:r>
      <w:r w:rsidR="00EF1EC4" w:rsidRPr="001222F4">
        <w:rPr>
          <w:rStyle w:val="FootnoteReference"/>
          <w:rFonts w:ascii="Calibri" w:hAnsi="Calibri"/>
        </w:rPr>
        <w:footnoteReference w:id="198"/>
      </w:r>
      <w:r w:rsidR="00EF1EC4" w:rsidRPr="001222F4">
        <w:rPr>
          <w:rFonts w:ascii="Calibri" w:hAnsi="Calibri"/>
        </w:rPr>
        <w:t xml:space="preserve"> </w:t>
      </w:r>
      <w:r w:rsidR="00033EC2" w:rsidRPr="001222F4">
        <w:rPr>
          <w:rFonts w:ascii="Calibri" w:hAnsi="Calibri" w:cs="Arial"/>
        </w:rPr>
        <w:t>Myanmar</w:t>
      </w:r>
      <w:r w:rsidRPr="001222F4">
        <w:rPr>
          <w:rFonts w:ascii="Calibri" w:hAnsi="Calibri" w:cs="Arial"/>
        </w:rPr>
        <w:t xml:space="preserve"> does not </w:t>
      </w:r>
      <w:r w:rsidR="00033EC2" w:rsidRPr="001222F4">
        <w:rPr>
          <w:rFonts w:ascii="Calibri" w:hAnsi="Calibri" w:cs="Arial"/>
        </w:rPr>
        <w:t>yet</w:t>
      </w:r>
      <w:r w:rsidRPr="001222F4">
        <w:rPr>
          <w:rFonts w:ascii="Calibri" w:hAnsi="Calibri" w:cs="Arial"/>
        </w:rPr>
        <w:t xml:space="preserve"> any laws prohibiting violence against women in the home.</w:t>
      </w:r>
      <w:r w:rsidR="004415F6" w:rsidRPr="001222F4">
        <w:rPr>
          <w:rFonts w:ascii="Calibri" w:hAnsi="Calibri" w:cs="Arial"/>
        </w:rPr>
        <w:t xml:space="preserve"> </w:t>
      </w:r>
      <w:r w:rsidRPr="001222F4">
        <w:rPr>
          <w:rFonts w:ascii="Calibri" w:hAnsi="Calibri" w:cs="Arial"/>
        </w:rPr>
        <w:t xml:space="preserve">There are, however, indications that women’s issues are being increasingly prioritised. As part of Myanmar’s growing openness, there is </w:t>
      </w:r>
      <w:r w:rsidR="00245F98" w:rsidRPr="001222F4">
        <w:rPr>
          <w:rFonts w:ascii="Calibri" w:hAnsi="Calibri" w:cs="Arial"/>
        </w:rPr>
        <w:t>an</w:t>
      </w:r>
      <w:r w:rsidRPr="001222F4">
        <w:rPr>
          <w:rFonts w:ascii="Calibri" w:hAnsi="Calibri" w:cs="Arial"/>
        </w:rPr>
        <w:t xml:space="preserve"> unprecedented </w:t>
      </w:r>
      <w:r w:rsidR="00490269" w:rsidRPr="001222F4">
        <w:rPr>
          <w:rFonts w:ascii="Calibri" w:hAnsi="Calibri" w:cs="Arial"/>
        </w:rPr>
        <w:t xml:space="preserve">policy </w:t>
      </w:r>
      <w:r w:rsidRPr="001222F4">
        <w:rPr>
          <w:rFonts w:ascii="Calibri" w:hAnsi="Calibri" w:cs="Arial"/>
        </w:rPr>
        <w:t>space for discussion</w:t>
      </w:r>
      <w:r w:rsidR="00033EC2" w:rsidRPr="001222F4">
        <w:rPr>
          <w:rFonts w:ascii="Calibri" w:hAnsi="Calibri" w:cs="Arial"/>
        </w:rPr>
        <w:t xml:space="preserve"> and action,</w:t>
      </w:r>
      <w:r w:rsidR="00490269" w:rsidRPr="001222F4">
        <w:rPr>
          <w:rFonts w:ascii="Calibri" w:hAnsi="Calibri" w:cs="Arial"/>
        </w:rPr>
        <w:t xml:space="preserve"> by the Government, civil society (especially women’s organizations) and </w:t>
      </w:r>
      <w:r w:rsidR="00490269" w:rsidRPr="001222F4">
        <w:rPr>
          <w:rFonts w:ascii="Calibri" w:hAnsi="Calibri" w:cs="Arial"/>
        </w:rPr>
        <w:lastRenderedPageBreak/>
        <w:t xml:space="preserve">development partners on </w:t>
      </w:r>
      <w:r w:rsidR="00245F98" w:rsidRPr="001222F4">
        <w:rPr>
          <w:rFonts w:ascii="Calibri" w:hAnsi="Calibri" w:cs="Arial"/>
        </w:rPr>
        <w:t xml:space="preserve">making progress on gender equality </w:t>
      </w:r>
      <w:r w:rsidR="00490269" w:rsidRPr="001222F4">
        <w:rPr>
          <w:rFonts w:ascii="Calibri" w:hAnsi="Calibri" w:cs="Arial"/>
        </w:rPr>
        <w:t xml:space="preserve">in the context of the legal framework on </w:t>
      </w:r>
      <w:r w:rsidRPr="001222F4">
        <w:rPr>
          <w:rFonts w:ascii="Calibri" w:hAnsi="Calibri" w:cs="Arial"/>
        </w:rPr>
        <w:t>women, peace and security.</w:t>
      </w:r>
      <w:r w:rsidRPr="001222F4">
        <w:rPr>
          <w:rStyle w:val="FootnoteReference"/>
          <w:rFonts w:ascii="Calibri" w:hAnsi="Calibri" w:cs="Arial"/>
        </w:rPr>
        <w:footnoteReference w:id="199"/>
      </w:r>
      <w:r w:rsidRPr="001222F4">
        <w:rPr>
          <w:rFonts w:ascii="Calibri" w:hAnsi="Calibri" w:cs="Arial"/>
        </w:rPr>
        <w:t xml:space="preserve">  </w:t>
      </w:r>
    </w:p>
    <w:p w14:paraId="0CAF21C4" w14:textId="77777777" w:rsidR="00490269" w:rsidRPr="001222F4" w:rsidRDefault="00490269" w:rsidP="005C68CA">
      <w:pPr>
        <w:jc w:val="both"/>
        <w:rPr>
          <w:rFonts w:ascii="Calibri" w:hAnsi="Calibri" w:cs="Arial"/>
        </w:rPr>
      </w:pPr>
    </w:p>
    <w:p w14:paraId="5555F878" w14:textId="4FCE5513" w:rsidR="005C68CA" w:rsidRPr="001222F4" w:rsidRDefault="005C68CA" w:rsidP="007F364C">
      <w:pPr>
        <w:pStyle w:val="ListParagraph"/>
        <w:numPr>
          <w:ilvl w:val="0"/>
          <w:numId w:val="11"/>
        </w:numPr>
        <w:jc w:val="both"/>
        <w:rPr>
          <w:rFonts w:ascii="Calibri" w:hAnsi="Calibri" w:cs="Arial"/>
          <w:b/>
          <w:color w:val="1F497D" w:themeColor="text2"/>
        </w:rPr>
      </w:pPr>
      <w:r w:rsidRPr="001222F4">
        <w:rPr>
          <w:rFonts w:ascii="Calibri" w:hAnsi="Calibri" w:cs="Arial"/>
          <w:b/>
          <w:color w:val="1F497D" w:themeColor="text2"/>
        </w:rPr>
        <w:t>Efforts to establish a National Action Plan (NAP</w:t>
      </w:r>
      <w:r w:rsidR="00245F98" w:rsidRPr="001222F4">
        <w:rPr>
          <w:rFonts w:ascii="Calibri" w:hAnsi="Calibri" w:cs="Arial"/>
          <w:b/>
          <w:color w:val="1F497D" w:themeColor="text2"/>
        </w:rPr>
        <w:t>) using</w:t>
      </w:r>
      <w:r w:rsidR="00793F4F" w:rsidRPr="001222F4">
        <w:rPr>
          <w:rFonts w:ascii="Calibri" w:hAnsi="Calibri" w:cs="Arial"/>
          <w:b/>
          <w:color w:val="1F497D" w:themeColor="text2"/>
        </w:rPr>
        <w:t xml:space="preserve"> the Legal Framework </w:t>
      </w:r>
    </w:p>
    <w:p w14:paraId="5E2A039C" w14:textId="77777777" w:rsidR="005C68CA" w:rsidRPr="001222F4" w:rsidRDefault="005C68CA" w:rsidP="005C68CA">
      <w:pPr>
        <w:jc w:val="both"/>
        <w:rPr>
          <w:rFonts w:ascii="Calibri" w:hAnsi="Calibri" w:cs="Arial"/>
        </w:rPr>
      </w:pPr>
    </w:p>
    <w:p w14:paraId="0CD966B8" w14:textId="77777777" w:rsidR="005C68CA" w:rsidRPr="001222F4" w:rsidRDefault="005C68CA" w:rsidP="005C68CA">
      <w:pPr>
        <w:jc w:val="both"/>
        <w:rPr>
          <w:rFonts w:ascii="Calibri" w:hAnsi="Calibri" w:cs="Arial"/>
          <w:b/>
          <w:color w:val="1F497D" w:themeColor="text2"/>
        </w:rPr>
      </w:pPr>
      <w:r w:rsidRPr="001222F4">
        <w:rPr>
          <w:rFonts w:ascii="Calibri" w:hAnsi="Calibri" w:cs="Arial"/>
          <w:b/>
          <w:color w:val="1F497D" w:themeColor="text2"/>
          <w:u w:val="single"/>
        </w:rPr>
        <w:t>Government</w:t>
      </w:r>
    </w:p>
    <w:p w14:paraId="0B465BAA" w14:textId="77777777" w:rsidR="005C68CA" w:rsidRPr="001222F4" w:rsidRDefault="005C68CA" w:rsidP="005C68CA">
      <w:pPr>
        <w:jc w:val="both"/>
        <w:rPr>
          <w:rFonts w:ascii="Calibri" w:hAnsi="Calibri" w:cs="Arial"/>
        </w:rPr>
      </w:pPr>
    </w:p>
    <w:p w14:paraId="12827F5E" w14:textId="6C9B84C3" w:rsidR="000F023A" w:rsidRPr="001222F4" w:rsidRDefault="005C68CA" w:rsidP="00B314E1">
      <w:pPr>
        <w:spacing w:line="360" w:lineRule="auto"/>
        <w:jc w:val="both"/>
        <w:rPr>
          <w:rFonts w:ascii="Calibri" w:hAnsi="Calibri" w:cs="Arial"/>
        </w:rPr>
      </w:pPr>
      <w:r w:rsidRPr="001222F4">
        <w:rPr>
          <w:rFonts w:ascii="Calibri" w:hAnsi="Calibri" w:cs="Arial"/>
        </w:rPr>
        <w:t xml:space="preserve">The commitment to a </w:t>
      </w:r>
      <w:r w:rsidR="004415F6" w:rsidRPr="001222F4">
        <w:rPr>
          <w:rFonts w:ascii="Calibri" w:hAnsi="Calibri" w:cs="Arial"/>
        </w:rPr>
        <w:t>NAP</w:t>
      </w:r>
      <w:r w:rsidR="00490269" w:rsidRPr="001222F4">
        <w:rPr>
          <w:rFonts w:ascii="Calibri" w:hAnsi="Calibri" w:cs="Arial"/>
        </w:rPr>
        <w:t xml:space="preserve"> sits alongside recently </w:t>
      </w:r>
      <w:r w:rsidRPr="001222F4">
        <w:rPr>
          <w:rFonts w:ascii="Calibri" w:hAnsi="Calibri" w:cs="Arial"/>
        </w:rPr>
        <w:t xml:space="preserve">introduced governmental measures aimed at raising the </w:t>
      </w:r>
      <w:r w:rsidR="00490269" w:rsidRPr="001222F4">
        <w:rPr>
          <w:rFonts w:ascii="Calibri" w:hAnsi="Calibri" w:cs="Arial"/>
        </w:rPr>
        <w:t>women’s profile</w:t>
      </w:r>
      <w:r w:rsidRPr="001222F4">
        <w:rPr>
          <w:rFonts w:ascii="Calibri" w:hAnsi="Calibri" w:cs="Arial"/>
        </w:rPr>
        <w:t xml:space="preserve"> in Myanmar society and safeguarding women from violence. In October 2013 the Government launched the </w:t>
      </w:r>
      <w:r w:rsidRPr="001222F4">
        <w:rPr>
          <w:rFonts w:ascii="Calibri" w:hAnsi="Calibri" w:cs="Arial"/>
          <w:b/>
          <w:color w:val="4F81BD" w:themeColor="accent1"/>
        </w:rPr>
        <w:t>National Strategic Action Plan for the Advancement of Women</w:t>
      </w:r>
      <w:r w:rsidRPr="001222F4">
        <w:rPr>
          <w:rFonts w:ascii="Calibri" w:hAnsi="Calibri" w:cs="Arial"/>
        </w:rPr>
        <w:t xml:space="preserve"> (NSPAW)</w:t>
      </w:r>
      <w:r w:rsidR="00773F80" w:rsidRPr="001222F4">
        <w:rPr>
          <w:rFonts w:ascii="Calibri" w:hAnsi="Calibri" w:cs="Arial"/>
        </w:rPr>
        <w:t xml:space="preserve"> a comprehensive ten-year plan</w:t>
      </w:r>
      <w:r w:rsidRPr="001222F4">
        <w:rPr>
          <w:rFonts w:ascii="Calibri" w:hAnsi="Calibri" w:cs="Arial"/>
        </w:rPr>
        <w:t xml:space="preserve"> based on the principles of CEDAW and the 12 Priority Areas of the </w:t>
      </w:r>
      <w:r w:rsidR="00490269" w:rsidRPr="001222F4">
        <w:rPr>
          <w:rFonts w:ascii="Calibri" w:hAnsi="Calibri" w:cs="Arial"/>
        </w:rPr>
        <w:t>BPfA</w:t>
      </w:r>
      <w:r w:rsidR="00907142" w:rsidRPr="001222F4">
        <w:rPr>
          <w:rFonts w:ascii="Calibri" w:hAnsi="Calibri" w:cs="Arial"/>
        </w:rPr>
        <w:t xml:space="preserve"> (the latter of </w:t>
      </w:r>
      <w:r w:rsidR="00E17B6E" w:rsidRPr="001222F4">
        <w:rPr>
          <w:rFonts w:ascii="Calibri" w:hAnsi="Calibri" w:cs="Arial"/>
        </w:rPr>
        <w:t>which include</w:t>
      </w:r>
      <w:r w:rsidR="000F023A" w:rsidRPr="001222F4">
        <w:rPr>
          <w:rFonts w:ascii="Calibri" w:hAnsi="Calibri" w:cs="Arial"/>
        </w:rPr>
        <w:t xml:space="preserve"> priorities on</w:t>
      </w:r>
      <w:r w:rsidR="00E17B6E" w:rsidRPr="001222F4">
        <w:rPr>
          <w:rFonts w:ascii="Calibri" w:hAnsi="Calibri" w:cs="Arial"/>
        </w:rPr>
        <w:t xml:space="preserve"> women and armed confl</w:t>
      </w:r>
      <w:r w:rsidR="00907142" w:rsidRPr="001222F4">
        <w:rPr>
          <w:rFonts w:ascii="Calibri" w:hAnsi="Calibri" w:cs="Arial"/>
        </w:rPr>
        <w:t xml:space="preserve">ict and violence against women; </w:t>
      </w:r>
      <w:r w:rsidR="00E17B6E" w:rsidRPr="001222F4">
        <w:rPr>
          <w:rFonts w:ascii="Calibri" w:hAnsi="Calibri" w:cs="Arial"/>
        </w:rPr>
        <w:t>see Section 1)</w:t>
      </w:r>
      <w:r w:rsidRPr="001222F4">
        <w:rPr>
          <w:rFonts w:ascii="Calibri" w:hAnsi="Calibri" w:cs="Arial"/>
        </w:rPr>
        <w:t xml:space="preserve">. </w:t>
      </w:r>
      <w:r w:rsidR="00490269" w:rsidRPr="001222F4">
        <w:rPr>
          <w:rFonts w:ascii="Calibri" w:hAnsi="Calibri" w:cs="Arial"/>
        </w:rPr>
        <w:t xml:space="preserve">Both CEDAW and the BPfA are key elements of the legal framework </w:t>
      </w:r>
      <w:r w:rsidR="007A174D" w:rsidRPr="001222F4">
        <w:rPr>
          <w:rFonts w:ascii="Calibri" w:hAnsi="Calibri" w:cs="Arial"/>
        </w:rPr>
        <w:t xml:space="preserve">that </w:t>
      </w:r>
      <w:r w:rsidR="00773F80" w:rsidRPr="001222F4">
        <w:rPr>
          <w:rFonts w:ascii="Calibri" w:hAnsi="Calibri" w:cs="Arial"/>
        </w:rPr>
        <w:t xml:space="preserve">outline </w:t>
      </w:r>
      <w:r w:rsidR="00490269" w:rsidRPr="001222F4">
        <w:rPr>
          <w:rFonts w:ascii="Calibri" w:hAnsi="Calibri" w:cs="Arial"/>
        </w:rPr>
        <w:t xml:space="preserve">Myanmar’s </w:t>
      </w:r>
      <w:r w:rsidR="007A174D" w:rsidRPr="001222F4">
        <w:rPr>
          <w:rFonts w:ascii="Calibri" w:hAnsi="Calibri" w:cs="Arial"/>
        </w:rPr>
        <w:t xml:space="preserve">international </w:t>
      </w:r>
      <w:r w:rsidR="00490269" w:rsidRPr="001222F4">
        <w:rPr>
          <w:rFonts w:ascii="Calibri" w:hAnsi="Calibri" w:cs="Arial"/>
        </w:rPr>
        <w:t>obligations</w:t>
      </w:r>
      <w:r w:rsidR="007A174D" w:rsidRPr="001222F4">
        <w:rPr>
          <w:rFonts w:ascii="Calibri" w:hAnsi="Calibri" w:cs="Arial"/>
        </w:rPr>
        <w:t xml:space="preserve"> and commitments</w:t>
      </w:r>
      <w:r w:rsidR="00490269" w:rsidRPr="001222F4">
        <w:rPr>
          <w:rFonts w:ascii="Calibri" w:hAnsi="Calibri" w:cs="Arial"/>
        </w:rPr>
        <w:t xml:space="preserve"> in relation to women, peace and security. By drawing on </w:t>
      </w:r>
      <w:r w:rsidR="00E17B6E" w:rsidRPr="001222F4">
        <w:rPr>
          <w:rFonts w:ascii="Calibri" w:hAnsi="Calibri" w:cs="Arial"/>
        </w:rPr>
        <w:t xml:space="preserve">CEDAW and the BPfA, the Government has </w:t>
      </w:r>
      <w:r w:rsidR="00667032" w:rsidRPr="001222F4">
        <w:rPr>
          <w:rFonts w:ascii="Calibri" w:hAnsi="Calibri" w:cs="Arial"/>
        </w:rPr>
        <w:t xml:space="preserve">positioned </w:t>
      </w:r>
      <w:r w:rsidR="00907142" w:rsidRPr="001222F4">
        <w:rPr>
          <w:rFonts w:ascii="Calibri" w:hAnsi="Calibri" w:cs="Arial"/>
        </w:rPr>
        <w:t xml:space="preserve">the NSPAW as an overarching document on gender equality to complement </w:t>
      </w:r>
      <w:r w:rsidR="00667032" w:rsidRPr="001222F4">
        <w:rPr>
          <w:rFonts w:ascii="Calibri" w:hAnsi="Calibri" w:cs="Arial"/>
        </w:rPr>
        <w:t xml:space="preserve">the </w:t>
      </w:r>
      <w:r w:rsidR="007A174D" w:rsidRPr="001222F4">
        <w:rPr>
          <w:rFonts w:ascii="Calibri" w:hAnsi="Calibri" w:cs="Arial"/>
        </w:rPr>
        <w:t xml:space="preserve">forthcoming NAP. </w:t>
      </w:r>
      <w:r w:rsidR="009419B2" w:rsidRPr="001222F4">
        <w:rPr>
          <w:rFonts w:ascii="Calibri" w:hAnsi="Calibri" w:cs="Arial"/>
        </w:rPr>
        <w:t xml:space="preserve"> </w:t>
      </w:r>
      <w:r w:rsidR="00490269" w:rsidRPr="001222F4">
        <w:rPr>
          <w:rFonts w:ascii="Calibri" w:hAnsi="Calibri" w:cs="Arial"/>
        </w:rPr>
        <w:t xml:space="preserve"> </w:t>
      </w:r>
    </w:p>
    <w:p w14:paraId="1052F7C3" w14:textId="77777777" w:rsidR="000F023A" w:rsidRPr="001222F4" w:rsidRDefault="000F023A" w:rsidP="005C68CA">
      <w:pPr>
        <w:jc w:val="both"/>
        <w:rPr>
          <w:rFonts w:ascii="Calibri" w:hAnsi="Calibri" w:cs="Arial"/>
        </w:rPr>
      </w:pPr>
    </w:p>
    <w:p w14:paraId="1EE73423" w14:textId="2469EB03" w:rsidR="006C17A9" w:rsidRPr="001222F4" w:rsidRDefault="00E17B6E" w:rsidP="00B314E1">
      <w:pPr>
        <w:spacing w:line="360" w:lineRule="auto"/>
        <w:jc w:val="both"/>
        <w:rPr>
          <w:rFonts w:ascii="Calibri" w:hAnsi="Calibri" w:cs="Arial"/>
        </w:rPr>
      </w:pPr>
      <w:r w:rsidRPr="001222F4">
        <w:rPr>
          <w:rFonts w:ascii="Calibri" w:hAnsi="Calibri" w:cs="Arial"/>
        </w:rPr>
        <w:t>The NSPAW</w:t>
      </w:r>
      <w:r w:rsidR="005C68CA" w:rsidRPr="001222F4">
        <w:rPr>
          <w:rFonts w:ascii="Calibri" w:hAnsi="Calibri" w:cs="Arial"/>
        </w:rPr>
        <w:t xml:space="preserve"> recommends practical ways to address barriers to women’s development, including in the areas of access to education, political leadership, civil service employment, health care and gender-based violence prevention. </w:t>
      </w:r>
      <w:r w:rsidRPr="001222F4">
        <w:rPr>
          <w:rFonts w:ascii="Calibri" w:hAnsi="Calibri" w:cs="Arial"/>
        </w:rPr>
        <w:t>The G</w:t>
      </w:r>
      <w:r w:rsidR="005C68CA" w:rsidRPr="001222F4">
        <w:rPr>
          <w:rFonts w:ascii="Calibri" w:hAnsi="Calibri" w:cs="Arial"/>
        </w:rPr>
        <w:t xml:space="preserve">overnment, in collaboration with </w:t>
      </w:r>
      <w:r w:rsidRPr="001222F4">
        <w:rPr>
          <w:rFonts w:ascii="Calibri" w:hAnsi="Calibri" w:cs="Arial"/>
        </w:rPr>
        <w:t>NGOs</w:t>
      </w:r>
      <w:r w:rsidR="005C68CA" w:rsidRPr="001222F4">
        <w:rPr>
          <w:rFonts w:ascii="Calibri" w:hAnsi="Calibri" w:cs="Arial"/>
        </w:rPr>
        <w:t>, is responsible for implementation. Although the precise leve</w:t>
      </w:r>
      <w:r w:rsidR="000F023A" w:rsidRPr="001222F4">
        <w:rPr>
          <w:rFonts w:ascii="Calibri" w:hAnsi="Calibri" w:cs="Arial"/>
        </w:rPr>
        <w:t>l of implementation is uncertain,</w:t>
      </w:r>
      <w:r w:rsidR="005C68CA" w:rsidRPr="001222F4">
        <w:rPr>
          <w:rStyle w:val="FootnoteReference"/>
          <w:rFonts w:ascii="Calibri" w:hAnsi="Calibri" w:cs="Arial"/>
        </w:rPr>
        <w:footnoteReference w:id="200"/>
      </w:r>
      <w:r w:rsidR="005C68CA" w:rsidRPr="001222F4">
        <w:rPr>
          <w:rFonts w:ascii="Calibri" w:hAnsi="Calibri" w:cs="Arial"/>
        </w:rPr>
        <w:t xml:space="preserve"> </w:t>
      </w:r>
      <w:r w:rsidR="00773F80" w:rsidRPr="001222F4">
        <w:rPr>
          <w:rFonts w:ascii="Calibri" w:hAnsi="Calibri" w:cs="Arial"/>
        </w:rPr>
        <w:t>the NSPAW represents</w:t>
      </w:r>
      <w:r w:rsidR="005C68CA" w:rsidRPr="001222F4">
        <w:rPr>
          <w:rFonts w:ascii="Calibri" w:hAnsi="Calibri" w:cs="Arial"/>
        </w:rPr>
        <w:t xml:space="preserve"> a significant step towards enhancing </w:t>
      </w:r>
      <w:r w:rsidRPr="001222F4">
        <w:rPr>
          <w:rFonts w:ascii="Calibri" w:hAnsi="Calibri" w:cs="Arial"/>
        </w:rPr>
        <w:t>women’s rights in</w:t>
      </w:r>
      <w:r w:rsidR="005C68CA" w:rsidRPr="001222F4">
        <w:rPr>
          <w:rFonts w:ascii="Calibri" w:hAnsi="Calibri" w:cs="Arial"/>
        </w:rPr>
        <w:t xml:space="preserve"> Myanmar. </w:t>
      </w:r>
      <w:r w:rsidR="006C17A9" w:rsidRPr="001222F4">
        <w:rPr>
          <w:rFonts w:ascii="Calibri" w:hAnsi="Calibri" w:cs="Arial"/>
        </w:rPr>
        <w:t xml:space="preserve">The NSPAW also </w:t>
      </w:r>
      <w:r w:rsidR="004074B8" w:rsidRPr="001222F4">
        <w:rPr>
          <w:rFonts w:ascii="Calibri" w:hAnsi="Calibri" w:cs="Arial"/>
        </w:rPr>
        <w:t xml:space="preserve">signals </w:t>
      </w:r>
      <w:r w:rsidR="006C17A9" w:rsidRPr="001222F4">
        <w:rPr>
          <w:rFonts w:ascii="Calibri" w:hAnsi="Calibri" w:cs="Arial"/>
        </w:rPr>
        <w:t xml:space="preserve">a </w:t>
      </w:r>
      <w:r w:rsidR="006C17A9" w:rsidRPr="001222F4">
        <w:rPr>
          <w:rFonts w:ascii="Calibri" w:hAnsi="Calibri" w:cs="Arial"/>
          <w:b/>
          <w:color w:val="4F81BD" w:themeColor="accent1"/>
        </w:rPr>
        <w:t>renewed commitment</w:t>
      </w:r>
      <w:r w:rsidR="004415F6" w:rsidRPr="001222F4">
        <w:rPr>
          <w:rFonts w:ascii="Calibri" w:hAnsi="Calibri" w:cs="Arial"/>
          <w:b/>
          <w:color w:val="4F81BD" w:themeColor="accent1"/>
        </w:rPr>
        <w:t xml:space="preserve"> by the Government</w:t>
      </w:r>
      <w:r w:rsidR="006C17A9" w:rsidRPr="001222F4">
        <w:rPr>
          <w:rFonts w:ascii="Calibri" w:hAnsi="Calibri" w:cs="Arial"/>
          <w:b/>
          <w:color w:val="4F81BD" w:themeColor="accent1"/>
        </w:rPr>
        <w:t xml:space="preserve"> to </w:t>
      </w:r>
      <w:r w:rsidR="003228DE" w:rsidRPr="001222F4">
        <w:rPr>
          <w:rFonts w:ascii="Calibri" w:hAnsi="Calibri" w:cs="Arial"/>
          <w:b/>
          <w:color w:val="4F81BD" w:themeColor="accent1"/>
        </w:rPr>
        <w:t>CEDAW</w:t>
      </w:r>
      <w:r w:rsidR="006C17A9" w:rsidRPr="001222F4">
        <w:rPr>
          <w:rFonts w:ascii="Calibri" w:hAnsi="Calibri" w:cs="Arial"/>
        </w:rPr>
        <w:t>. Although Myanmar acceded to the Convention on 22 July 1997, it has only sporadically reported to the CEDAW Committee, in 2000 and 2008 (</w:t>
      </w:r>
      <w:r w:rsidR="001B69CA" w:rsidRPr="001222F4">
        <w:rPr>
          <w:rFonts w:ascii="Calibri" w:hAnsi="Calibri" w:cs="Arial"/>
        </w:rPr>
        <w:t xml:space="preserve">states </w:t>
      </w:r>
      <w:r w:rsidR="006C17A9" w:rsidRPr="001222F4">
        <w:rPr>
          <w:rFonts w:ascii="Calibri" w:hAnsi="Calibri" w:cs="Arial"/>
        </w:rPr>
        <w:t xml:space="preserve">are required to report </w:t>
      </w:r>
      <w:r w:rsidR="004074B8" w:rsidRPr="001222F4">
        <w:rPr>
          <w:rFonts w:ascii="Calibri" w:hAnsi="Calibri" w:cs="Arial"/>
        </w:rPr>
        <w:t xml:space="preserve">to the Committee </w:t>
      </w:r>
      <w:r w:rsidR="006C17A9" w:rsidRPr="001222F4">
        <w:rPr>
          <w:rFonts w:ascii="Calibri" w:hAnsi="Calibri" w:cs="Arial"/>
        </w:rPr>
        <w:t xml:space="preserve">every four years).  </w:t>
      </w:r>
    </w:p>
    <w:p w14:paraId="5B17CB7B" w14:textId="77777777" w:rsidR="006C17A9" w:rsidRPr="001222F4" w:rsidRDefault="006C17A9" w:rsidP="005C68CA">
      <w:pPr>
        <w:jc w:val="both"/>
        <w:rPr>
          <w:rFonts w:ascii="Calibri" w:hAnsi="Calibri" w:cs="Arial"/>
        </w:rPr>
      </w:pPr>
    </w:p>
    <w:p w14:paraId="1B39A513" w14:textId="28411AC8" w:rsidR="005C68CA" w:rsidRPr="001222F4" w:rsidRDefault="00E17B6E" w:rsidP="005C68CA">
      <w:pPr>
        <w:jc w:val="both"/>
        <w:rPr>
          <w:rFonts w:ascii="Calibri" w:hAnsi="Calibri" w:cs="Arial"/>
          <w:b/>
          <w:color w:val="1F497D" w:themeColor="text2"/>
        </w:rPr>
      </w:pPr>
      <w:r w:rsidRPr="001222F4">
        <w:rPr>
          <w:rFonts w:ascii="Calibri" w:hAnsi="Calibri" w:cs="Arial"/>
          <w:b/>
          <w:color w:val="1F497D" w:themeColor="text2"/>
          <w:u w:val="single"/>
        </w:rPr>
        <w:t xml:space="preserve">Development Agencies and </w:t>
      </w:r>
      <w:r w:rsidR="005C68CA" w:rsidRPr="001222F4">
        <w:rPr>
          <w:rFonts w:ascii="Calibri" w:hAnsi="Calibri" w:cs="Arial"/>
          <w:b/>
          <w:color w:val="1F497D" w:themeColor="text2"/>
          <w:u w:val="single"/>
        </w:rPr>
        <w:t>Civil Society</w:t>
      </w:r>
    </w:p>
    <w:p w14:paraId="0D7E95CF" w14:textId="77777777" w:rsidR="005C68CA" w:rsidRPr="001222F4" w:rsidRDefault="005C68CA" w:rsidP="005C68CA">
      <w:pPr>
        <w:jc w:val="both"/>
        <w:rPr>
          <w:rFonts w:ascii="Calibri" w:hAnsi="Calibri" w:cs="Arial"/>
        </w:rPr>
      </w:pPr>
    </w:p>
    <w:p w14:paraId="4C45D9C0" w14:textId="06E8D49A" w:rsidR="005C68CA" w:rsidRPr="001222F4" w:rsidRDefault="005C68CA" w:rsidP="00B314E1">
      <w:pPr>
        <w:spacing w:line="360" w:lineRule="auto"/>
        <w:jc w:val="both"/>
        <w:rPr>
          <w:rFonts w:ascii="Calibri" w:hAnsi="Calibri" w:cs="Arial"/>
        </w:rPr>
      </w:pPr>
      <w:r w:rsidRPr="001222F4">
        <w:rPr>
          <w:rFonts w:ascii="Calibri" w:hAnsi="Calibri" w:cs="Arial"/>
        </w:rPr>
        <w:t xml:space="preserve">Alongside </w:t>
      </w:r>
      <w:r w:rsidR="00542373" w:rsidRPr="001222F4">
        <w:rPr>
          <w:rFonts w:ascii="Calibri" w:hAnsi="Calibri" w:cs="Arial"/>
        </w:rPr>
        <w:t xml:space="preserve">government </w:t>
      </w:r>
      <w:r w:rsidRPr="001222F4">
        <w:rPr>
          <w:rFonts w:ascii="Calibri" w:hAnsi="Calibri" w:cs="Arial"/>
        </w:rPr>
        <w:t xml:space="preserve">efforts </w:t>
      </w:r>
      <w:r w:rsidR="00907142" w:rsidRPr="001222F4">
        <w:rPr>
          <w:rFonts w:ascii="Calibri" w:hAnsi="Calibri" w:cs="Arial"/>
        </w:rPr>
        <w:t>on</w:t>
      </w:r>
      <w:r w:rsidRPr="001222F4">
        <w:rPr>
          <w:rFonts w:ascii="Calibri" w:hAnsi="Calibri" w:cs="Arial"/>
        </w:rPr>
        <w:t xml:space="preserve"> the implementation of the NSPAW, </w:t>
      </w:r>
      <w:r w:rsidR="00907142" w:rsidRPr="001222F4">
        <w:rPr>
          <w:rFonts w:ascii="Calibri" w:hAnsi="Calibri" w:cs="Arial"/>
        </w:rPr>
        <w:t>development agencies</w:t>
      </w:r>
      <w:r w:rsidR="00BF5667" w:rsidRPr="001222F4">
        <w:rPr>
          <w:rFonts w:ascii="Calibri" w:hAnsi="Calibri" w:cs="Arial"/>
        </w:rPr>
        <w:t xml:space="preserve"> and</w:t>
      </w:r>
      <w:r w:rsidRPr="001222F4">
        <w:rPr>
          <w:rFonts w:ascii="Calibri" w:hAnsi="Calibri" w:cs="Arial"/>
        </w:rPr>
        <w:t xml:space="preserve"> </w:t>
      </w:r>
      <w:r w:rsidR="00BF5667" w:rsidRPr="001222F4">
        <w:rPr>
          <w:rFonts w:ascii="Calibri" w:hAnsi="Calibri" w:cs="Arial"/>
        </w:rPr>
        <w:t>international and local</w:t>
      </w:r>
      <w:r w:rsidR="00773F80" w:rsidRPr="001222F4">
        <w:rPr>
          <w:rFonts w:ascii="Calibri" w:hAnsi="Calibri" w:cs="Arial"/>
        </w:rPr>
        <w:t xml:space="preserve"> NGOs</w:t>
      </w:r>
      <w:r w:rsidR="00BF5667" w:rsidRPr="001222F4">
        <w:rPr>
          <w:rFonts w:ascii="Calibri" w:hAnsi="Calibri" w:cs="Arial"/>
        </w:rPr>
        <w:t>, especially women’s organizations,</w:t>
      </w:r>
      <w:r w:rsidRPr="001222F4">
        <w:rPr>
          <w:rFonts w:ascii="Calibri" w:hAnsi="Calibri" w:cs="Arial"/>
        </w:rPr>
        <w:t xml:space="preserve"> </w:t>
      </w:r>
      <w:r w:rsidR="004112D1" w:rsidRPr="001222F4">
        <w:rPr>
          <w:rFonts w:ascii="Calibri" w:hAnsi="Calibri" w:cs="Arial"/>
        </w:rPr>
        <w:t>are promoting</w:t>
      </w:r>
      <w:r w:rsidR="00BF5667" w:rsidRPr="001222F4">
        <w:rPr>
          <w:rFonts w:ascii="Calibri" w:hAnsi="Calibri" w:cs="Arial"/>
        </w:rPr>
        <w:t xml:space="preserve"> women’s rights. </w:t>
      </w:r>
      <w:r w:rsidR="00876CC8" w:rsidRPr="001222F4">
        <w:rPr>
          <w:rFonts w:ascii="Calibri" w:hAnsi="Calibri" w:cs="Arial"/>
        </w:rPr>
        <w:t xml:space="preserve">In the </w:t>
      </w:r>
      <w:r w:rsidR="00876CC8" w:rsidRPr="001222F4">
        <w:rPr>
          <w:rFonts w:ascii="Calibri" w:hAnsi="Calibri" w:cs="Arial"/>
          <w:b/>
          <w:color w:val="4F81BD" w:themeColor="accent1"/>
        </w:rPr>
        <w:t>absence of a NAP, these actors are drawing on</w:t>
      </w:r>
      <w:r w:rsidR="003228DE" w:rsidRPr="001222F4">
        <w:rPr>
          <w:rFonts w:ascii="Calibri" w:hAnsi="Calibri" w:cs="Arial"/>
          <w:b/>
          <w:color w:val="4F81BD" w:themeColor="accent1"/>
        </w:rPr>
        <w:t xml:space="preserve"> an integrated understanding of</w:t>
      </w:r>
      <w:r w:rsidR="00876CC8" w:rsidRPr="001222F4">
        <w:rPr>
          <w:rFonts w:ascii="Calibri" w:hAnsi="Calibri" w:cs="Arial"/>
          <w:b/>
          <w:color w:val="4F81BD" w:themeColor="accent1"/>
        </w:rPr>
        <w:t xml:space="preserve"> </w:t>
      </w:r>
      <w:r w:rsidR="003228DE" w:rsidRPr="001222F4">
        <w:rPr>
          <w:rFonts w:ascii="Calibri" w:hAnsi="Calibri" w:cs="Arial"/>
          <w:b/>
          <w:color w:val="4F81BD" w:themeColor="accent1"/>
        </w:rPr>
        <w:t xml:space="preserve">SCR 1325 and </w:t>
      </w:r>
      <w:r w:rsidR="001222F4">
        <w:rPr>
          <w:rFonts w:ascii="Calibri" w:hAnsi="Calibri" w:cs="Arial"/>
          <w:b/>
          <w:color w:val="4F81BD" w:themeColor="accent1"/>
        </w:rPr>
        <w:t>the legal framework</w:t>
      </w:r>
      <w:r w:rsidR="00876CC8" w:rsidRPr="001222F4">
        <w:rPr>
          <w:rFonts w:ascii="Calibri" w:hAnsi="Calibri" w:cs="Arial"/>
          <w:b/>
          <w:color w:val="4F81BD" w:themeColor="accent1"/>
        </w:rPr>
        <w:t xml:space="preserve"> </w:t>
      </w:r>
      <w:r w:rsidR="003228DE" w:rsidRPr="001222F4">
        <w:rPr>
          <w:rFonts w:ascii="Calibri" w:hAnsi="Calibri" w:cs="Arial"/>
          <w:b/>
          <w:color w:val="4F81BD" w:themeColor="accent1"/>
        </w:rPr>
        <w:t xml:space="preserve">that reflects Myanmar’s obligations under </w:t>
      </w:r>
      <w:r w:rsidR="001222F4">
        <w:rPr>
          <w:rFonts w:ascii="Calibri" w:hAnsi="Calibri" w:cs="Arial"/>
          <w:b/>
          <w:color w:val="4F81BD" w:themeColor="accent1"/>
        </w:rPr>
        <w:t>international law</w:t>
      </w:r>
      <w:r w:rsidR="003228DE" w:rsidRPr="001222F4">
        <w:rPr>
          <w:rFonts w:ascii="Calibri" w:hAnsi="Calibri" w:cs="Arial"/>
        </w:rPr>
        <w:t>.</w:t>
      </w:r>
    </w:p>
    <w:p w14:paraId="6B9716A8" w14:textId="77777777" w:rsidR="00876CC8" w:rsidRPr="001222F4" w:rsidRDefault="00876CC8" w:rsidP="005C68CA">
      <w:pPr>
        <w:jc w:val="both"/>
        <w:rPr>
          <w:rFonts w:ascii="Calibri" w:hAnsi="Calibri" w:cs="Arial"/>
        </w:rPr>
      </w:pPr>
    </w:p>
    <w:p w14:paraId="01BA989A" w14:textId="21C1F642" w:rsidR="005C68CA" w:rsidRPr="001222F4" w:rsidRDefault="000B6510" w:rsidP="00B314E1">
      <w:pPr>
        <w:spacing w:line="360" w:lineRule="auto"/>
        <w:jc w:val="both"/>
        <w:rPr>
          <w:rFonts w:ascii="Calibri" w:hAnsi="Calibri" w:cs="Arial"/>
        </w:rPr>
      </w:pPr>
      <w:r w:rsidRPr="001222F4">
        <w:rPr>
          <w:rFonts w:ascii="Calibri" w:hAnsi="Calibri" w:cs="Arial"/>
        </w:rPr>
        <w:lastRenderedPageBreak/>
        <w:t xml:space="preserve">Development </w:t>
      </w:r>
      <w:r w:rsidR="008C37EF" w:rsidRPr="001222F4">
        <w:rPr>
          <w:rFonts w:ascii="Calibri" w:hAnsi="Calibri" w:cs="Arial"/>
        </w:rPr>
        <w:t>agencies</w:t>
      </w:r>
      <w:r w:rsidRPr="001222F4">
        <w:rPr>
          <w:rFonts w:ascii="Calibri" w:hAnsi="Calibri" w:cs="Arial"/>
        </w:rPr>
        <w:t xml:space="preserve"> and </w:t>
      </w:r>
      <w:r w:rsidR="005C68CA" w:rsidRPr="001222F4">
        <w:rPr>
          <w:rFonts w:ascii="Calibri" w:hAnsi="Calibri" w:cs="Arial"/>
        </w:rPr>
        <w:t xml:space="preserve">Myanmar-based NGOs are </w:t>
      </w:r>
      <w:r w:rsidRPr="001222F4">
        <w:rPr>
          <w:rFonts w:ascii="Calibri" w:hAnsi="Calibri" w:cs="Arial"/>
        </w:rPr>
        <w:t xml:space="preserve">building government </w:t>
      </w:r>
      <w:r w:rsidR="005C68CA" w:rsidRPr="001222F4">
        <w:rPr>
          <w:rFonts w:ascii="Calibri" w:hAnsi="Calibri" w:cs="Arial"/>
        </w:rPr>
        <w:t xml:space="preserve">and community support for </w:t>
      </w:r>
      <w:r w:rsidR="005C68CA" w:rsidRPr="001222F4">
        <w:rPr>
          <w:rFonts w:ascii="Calibri" w:hAnsi="Calibri" w:cs="Arial"/>
          <w:b/>
          <w:color w:val="4F81BD" w:themeColor="accent1"/>
        </w:rPr>
        <w:t>women</w:t>
      </w:r>
      <w:r w:rsidR="003228DE" w:rsidRPr="001222F4">
        <w:rPr>
          <w:rFonts w:ascii="Calibri" w:hAnsi="Calibri" w:cs="Arial"/>
          <w:b/>
          <w:color w:val="4F81BD" w:themeColor="accent1"/>
        </w:rPr>
        <w:t>’</w:t>
      </w:r>
      <w:r w:rsidRPr="001222F4">
        <w:rPr>
          <w:rFonts w:ascii="Calibri" w:hAnsi="Calibri" w:cs="Arial"/>
          <w:b/>
          <w:color w:val="4F81BD" w:themeColor="accent1"/>
        </w:rPr>
        <w:t>s par</w:t>
      </w:r>
      <w:r w:rsidR="003228DE" w:rsidRPr="001222F4">
        <w:rPr>
          <w:rFonts w:ascii="Calibri" w:hAnsi="Calibri" w:cs="Arial"/>
          <w:b/>
          <w:color w:val="4F81BD" w:themeColor="accent1"/>
        </w:rPr>
        <w:t>ticipation</w:t>
      </w:r>
      <w:r w:rsidR="005C68CA" w:rsidRPr="001222F4">
        <w:rPr>
          <w:rFonts w:ascii="Calibri" w:hAnsi="Calibri" w:cs="Arial"/>
          <w:b/>
          <w:color w:val="4F81BD" w:themeColor="accent1"/>
        </w:rPr>
        <w:t xml:space="preserve"> in peacebuilding</w:t>
      </w:r>
      <w:r w:rsidRPr="001222F4">
        <w:rPr>
          <w:rFonts w:ascii="Calibri" w:hAnsi="Calibri" w:cs="Arial"/>
        </w:rPr>
        <w:t xml:space="preserve">, in line with the legal framework. CARE Myanmar </w:t>
      </w:r>
      <w:r w:rsidR="005C68CA" w:rsidRPr="001222F4">
        <w:rPr>
          <w:rFonts w:ascii="Calibri" w:hAnsi="Calibri" w:cs="Arial"/>
        </w:rPr>
        <w:t>recently concluded a project focus</w:t>
      </w:r>
      <w:r w:rsidR="00907142" w:rsidRPr="001222F4">
        <w:rPr>
          <w:rFonts w:ascii="Calibri" w:hAnsi="Calibri" w:cs="Arial"/>
        </w:rPr>
        <w:t>sing on ‘</w:t>
      </w:r>
      <w:r w:rsidR="005C68CA" w:rsidRPr="001222F4">
        <w:rPr>
          <w:rFonts w:ascii="Calibri" w:hAnsi="Calibri" w:cs="Arial"/>
        </w:rPr>
        <w:t>Strengthening the Implemen</w:t>
      </w:r>
      <w:r w:rsidR="00907142" w:rsidRPr="001222F4">
        <w:rPr>
          <w:rFonts w:ascii="Calibri" w:hAnsi="Calibri" w:cs="Arial"/>
        </w:rPr>
        <w:t>tation of UNSCR 1325 in Myanmar’</w:t>
      </w:r>
      <w:r w:rsidR="005C68CA" w:rsidRPr="001222F4">
        <w:rPr>
          <w:rFonts w:ascii="Calibri" w:hAnsi="Calibri" w:cs="Arial"/>
        </w:rPr>
        <w:t xml:space="preserve"> in 44 communities in Kayah State. Women in these communities received training in the areas of gender and human rights, gender-based violence and legal awarene</w:t>
      </w:r>
      <w:r w:rsidR="00876CC8" w:rsidRPr="001222F4">
        <w:rPr>
          <w:rFonts w:ascii="Calibri" w:hAnsi="Calibri" w:cs="Arial"/>
        </w:rPr>
        <w:t xml:space="preserve">ss and education on CEDAW and </w:t>
      </w:r>
      <w:r w:rsidR="005C68CA" w:rsidRPr="001222F4">
        <w:rPr>
          <w:rFonts w:ascii="Calibri" w:hAnsi="Calibri" w:cs="Arial"/>
        </w:rPr>
        <w:t>SCR 1325.</w:t>
      </w:r>
      <w:r w:rsidR="005C68CA" w:rsidRPr="001222F4">
        <w:rPr>
          <w:rStyle w:val="FootnoteReference"/>
          <w:rFonts w:ascii="Calibri" w:hAnsi="Calibri" w:cs="Arial"/>
        </w:rPr>
        <w:footnoteReference w:id="201"/>
      </w:r>
      <w:r w:rsidR="005C68CA" w:rsidRPr="001222F4">
        <w:rPr>
          <w:rFonts w:ascii="Calibri" w:hAnsi="Calibri" w:cs="Arial"/>
        </w:rPr>
        <w:t xml:space="preserve">  </w:t>
      </w:r>
      <w:r w:rsidRPr="001222F4">
        <w:rPr>
          <w:rFonts w:ascii="Calibri" w:hAnsi="Calibri" w:cs="Arial"/>
        </w:rPr>
        <w:t>UN Women is building the capacity of local women and men to access the peace table, with international partners Swiss Peace, ATHENA and national NGOs including Shalom Foundation and the Gender Equality Network. Negotiators from Chin, Kachin, Kaya</w:t>
      </w:r>
      <w:r w:rsidR="00806673">
        <w:rPr>
          <w:rFonts w:ascii="Calibri" w:hAnsi="Calibri" w:cs="Arial"/>
        </w:rPr>
        <w:t>h</w:t>
      </w:r>
      <w:r w:rsidRPr="001222F4">
        <w:rPr>
          <w:rFonts w:ascii="Calibri" w:hAnsi="Calibri" w:cs="Arial"/>
        </w:rPr>
        <w:t>, Karen, Mon, Shan and Rakhine States have been trained since October 2012 to be part of a critical mass of gender-responsive peace builders who can influence the peace negotiations.</w:t>
      </w:r>
      <w:r w:rsidRPr="001222F4">
        <w:rPr>
          <w:rStyle w:val="FootnoteReference"/>
          <w:rFonts w:ascii="Calibri" w:hAnsi="Calibri" w:cs="Arial"/>
        </w:rPr>
        <w:footnoteReference w:id="202"/>
      </w:r>
      <w:r w:rsidRPr="001222F4">
        <w:rPr>
          <w:rFonts w:ascii="Calibri" w:hAnsi="Calibri" w:cs="Arial"/>
        </w:rPr>
        <w:t xml:space="preserve"> </w:t>
      </w:r>
    </w:p>
    <w:p w14:paraId="6E7CF42E" w14:textId="77777777" w:rsidR="005C68CA" w:rsidRPr="001222F4" w:rsidRDefault="005C68CA" w:rsidP="005C68CA">
      <w:pPr>
        <w:jc w:val="both"/>
        <w:rPr>
          <w:rFonts w:ascii="Calibri" w:hAnsi="Calibri" w:cs="Arial"/>
        </w:rPr>
      </w:pPr>
    </w:p>
    <w:p w14:paraId="50ECF276" w14:textId="43455590" w:rsidR="005C68CA" w:rsidRPr="001222F4" w:rsidRDefault="0037437B" w:rsidP="00530F89">
      <w:pPr>
        <w:spacing w:line="360" w:lineRule="auto"/>
        <w:jc w:val="both"/>
        <w:rPr>
          <w:rFonts w:ascii="Calibri" w:hAnsi="Calibri" w:cs="Arial"/>
        </w:rPr>
      </w:pPr>
      <w:r w:rsidRPr="001222F4">
        <w:rPr>
          <w:rFonts w:ascii="Calibri" w:hAnsi="Calibri" w:cs="Arial"/>
        </w:rPr>
        <w:t>Myanmar’s vibrant civil society engagement on women, peace and security is evident in growing</w:t>
      </w:r>
      <w:r w:rsidR="008E1C19" w:rsidRPr="001222F4">
        <w:rPr>
          <w:rFonts w:ascii="Calibri" w:hAnsi="Calibri" w:cs="Arial"/>
        </w:rPr>
        <w:t xml:space="preserve"> </w:t>
      </w:r>
      <w:r w:rsidR="008E1C19" w:rsidRPr="001222F4">
        <w:rPr>
          <w:rFonts w:ascii="Calibri" w:hAnsi="Calibri" w:cs="Arial"/>
          <w:b/>
          <w:color w:val="4F81BD" w:themeColor="accent1"/>
        </w:rPr>
        <w:t>national and regional collaboration</w:t>
      </w:r>
      <w:r w:rsidR="008E1C19" w:rsidRPr="001222F4">
        <w:rPr>
          <w:rFonts w:ascii="Calibri" w:hAnsi="Calibri" w:cs="Arial"/>
        </w:rPr>
        <w:t xml:space="preserve">. </w:t>
      </w:r>
      <w:r w:rsidR="005C68CA" w:rsidRPr="001222F4">
        <w:rPr>
          <w:rFonts w:ascii="Calibri" w:hAnsi="Calibri" w:cs="Arial"/>
        </w:rPr>
        <w:t>In January 2013</w:t>
      </w:r>
      <w:r w:rsidR="008E1C19" w:rsidRPr="001222F4">
        <w:rPr>
          <w:rFonts w:ascii="Calibri" w:hAnsi="Calibri" w:cs="Arial"/>
        </w:rPr>
        <w:t>,</w:t>
      </w:r>
      <w:r w:rsidR="005C68CA" w:rsidRPr="001222F4">
        <w:rPr>
          <w:rFonts w:ascii="Calibri" w:hAnsi="Calibri" w:cs="Arial"/>
        </w:rPr>
        <w:t xml:space="preserve"> the Women Peace Initiative (Win-Peace) a Burmese network of 38 women’s organisations was founded. Its mission is to foster collaborative work in conflict prevention, peace making, peacebuilding and post-conflict reco</w:t>
      </w:r>
      <w:r w:rsidR="008E1C19" w:rsidRPr="001222F4">
        <w:rPr>
          <w:rFonts w:ascii="Calibri" w:hAnsi="Calibri" w:cs="Arial"/>
        </w:rPr>
        <w:t>nstruction. In September 2013</w:t>
      </w:r>
      <w:r w:rsidR="00907142" w:rsidRPr="001222F4">
        <w:rPr>
          <w:rFonts w:ascii="Calibri" w:hAnsi="Calibri" w:cs="Arial"/>
        </w:rPr>
        <w:t>,</w:t>
      </w:r>
      <w:r w:rsidR="008E1C19" w:rsidRPr="001222F4">
        <w:rPr>
          <w:rFonts w:ascii="Calibri" w:hAnsi="Calibri" w:cs="Arial"/>
        </w:rPr>
        <w:t xml:space="preserve"> Win-Peace</w:t>
      </w:r>
      <w:r w:rsidR="005C68CA" w:rsidRPr="001222F4">
        <w:rPr>
          <w:rFonts w:ascii="Calibri" w:hAnsi="Calibri" w:cs="Arial"/>
        </w:rPr>
        <w:t xml:space="preserve"> facilitated an excha</w:t>
      </w:r>
      <w:r w:rsidR="00907142" w:rsidRPr="001222F4">
        <w:rPr>
          <w:rFonts w:ascii="Calibri" w:hAnsi="Calibri" w:cs="Arial"/>
        </w:rPr>
        <w:t>nge programme in the Philippines</w:t>
      </w:r>
      <w:r w:rsidR="005C68CA" w:rsidRPr="001222F4">
        <w:rPr>
          <w:rFonts w:ascii="Calibri" w:hAnsi="Calibri" w:cs="Arial"/>
        </w:rPr>
        <w:t xml:space="preserve"> at which Myanmar and Filipino women peacebuilders shared their experiences.</w:t>
      </w:r>
      <w:r w:rsidR="005C68CA" w:rsidRPr="001222F4">
        <w:rPr>
          <w:rStyle w:val="FootnoteReference"/>
          <w:rFonts w:ascii="Calibri" w:hAnsi="Calibri" w:cs="Arial"/>
        </w:rPr>
        <w:footnoteReference w:id="203"/>
      </w:r>
      <w:r w:rsidR="005C68CA" w:rsidRPr="001222F4">
        <w:rPr>
          <w:rFonts w:ascii="Calibri" w:hAnsi="Calibri" w:cs="Arial"/>
        </w:rPr>
        <w:t xml:space="preserve"> </w:t>
      </w:r>
      <w:r w:rsidR="000B6510" w:rsidRPr="001222F4">
        <w:rPr>
          <w:rFonts w:ascii="Calibri" w:hAnsi="Calibri" w:cs="Arial"/>
        </w:rPr>
        <w:t>In</w:t>
      </w:r>
      <w:r w:rsidR="005C68CA" w:rsidRPr="001222F4">
        <w:rPr>
          <w:rFonts w:ascii="Calibri" w:hAnsi="Calibri" w:cs="Arial"/>
        </w:rPr>
        <w:t xml:space="preserve"> November 2013</w:t>
      </w:r>
      <w:r w:rsidR="008E1C19" w:rsidRPr="001222F4">
        <w:rPr>
          <w:rFonts w:ascii="Calibri" w:hAnsi="Calibri" w:cs="Arial"/>
        </w:rPr>
        <w:t>,</w:t>
      </w:r>
      <w:r w:rsidR="005C68CA" w:rsidRPr="001222F4">
        <w:rPr>
          <w:rFonts w:ascii="Calibri" w:hAnsi="Calibri" w:cs="Arial"/>
        </w:rPr>
        <w:t xml:space="preserve"> Columbia University partnered with Burmese women’s groups, including the Gender Equality Network and the Women’s Organisations Network, to organise a day of dialogue on “Peace, Security and Development in Myanmar.” Attended by 300 people, the dialogue focused on </w:t>
      </w:r>
      <w:r w:rsidRPr="001222F4">
        <w:rPr>
          <w:rFonts w:ascii="Calibri" w:hAnsi="Calibri" w:cs="Arial"/>
        </w:rPr>
        <w:t>women’s needs</w:t>
      </w:r>
      <w:r w:rsidR="005C68CA" w:rsidRPr="001222F4">
        <w:rPr>
          <w:rFonts w:ascii="Calibri" w:hAnsi="Calibri" w:cs="Arial"/>
        </w:rPr>
        <w:t xml:space="preserve"> in relation to political dialogue, economic development and humanitarian action.</w:t>
      </w:r>
      <w:r w:rsidR="005C68CA" w:rsidRPr="001222F4">
        <w:rPr>
          <w:rStyle w:val="FootnoteReference"/>
          <w:rFonts w:ascii="Calibri" w:hAnsi="Calibri" w:cs="Arial"/>
        </w:rPr>
        <w:footnoteReference w:id="204"/>
      </w:r>
      <w:r w:rsidR="005C68CA" w:rsidRPr="001222F4">
        <w:rPr>
          <w:rFonts w:ascii="Calibri" w:hAnsi="Calibri" w:cs="Arial"/>
        </w:rPr>
        <w:t xml:space="preserve"> </w:t>
      </w:r>
    </w:p>
    <w:p w14:paraId="2D1E7EFF" w14:textId="77777777" w:rsidR="005C68CA" w:rsidRPr="001222F4" w:rsidRDefault="005C68CA" w:rsidP="005C68CA">
      <w:pPr>
        <w:jc w:val="both"/>
        <w:rPr>
          <w:rFonts w:ascii="Calibri" w:hAnsi="Calibri" w:cs="Arial"/>
        </w:rPr>
      </w:pPr>
    </w:p>
    <w:p w14:paraId="00E25655" w14:textId="77777777" w:rsidR="00EF7C2D" w:rsidRPr="001222F4" w:rsidRDefault="00D93AA8" w:rsidP="00530F89">
      <w:pPr>
        <w:spacing w:line="360" w:lineRule="auto"/>
        <w:jc w:val="both"/>
        <w:rPr>
          <w:rFonts w:ascii="Calibri" w:hAnsi="Calibri" w:cs="Arial"/>
        </w:rPr>
      </w:pPr>
      <w:r w:rsidRPr="001222F4">
        <w:rPr>
          <w:rFonts w:ascii="Calibri" w:hAnsi="Calibri" w:cs="Arial"/>
        </w:rPr>
        <w:t xml:space="preserve">Addressing </w:t>
      </w:r>
      <w:r w:rsidRPr="001222F4">
        <w:rPr>
          <w:rFonts w:ascii="Calibri" w:hAnsi="Calibri" w:cs="Arial"/>
          <w:b/>
          <w:color w:val="4F81BD" w:themeColor="accent1"/>
        </w:rPr>
        <w:t>sexual and gender-based violence (SGBV)</w:t>
      </w:r>
      <w:r w:rsidR="00FF5AA1" w:rsidRPr="001222F4">
        <w:rPr>
          <w:rFonts w:ascii="Calibri" w:hAnsi="Calibri" w:cs="Arial"/>
        </w:rPr>
        <w:t xml:space="preserve"> has been another focus of NGOs,</w:t>
      </w:r>
      <w:r w:rsidR="005C68CA" w:rsidRPr="001222F4">
        <w:rPr>
          <w:rFonts w:ascii="Calibri" w:hAnsi="Calibri" w:cs="Arial"/>
        </w:rPr>
        <w:t xml:space="preserve"> raising </w:t>
      </w:r>
      <w:r w:rsidR="00C273F1" w:rsidRPr="001222F4">
        <w:rPr>
          <w:rFonts w:ascii="Calibri" w:hAnsi="Calibri" w:cs="Arial"/>
        </w:rPr>
        <w:t xml:space="preserve">women’s </w:t>
      </w:r>
      <w:r w:rsidR="005C68CA" w:rsidRPr="001222F4">
        <w:rPr>
          <w:rFonts w:ascii="Calibri" w:hAnsi="Calibri" w:cs="Arial"/>
        </w:rPr>
        <w:t>awareness of</w:t>
      </w:r>
      <w:r w:rsidR="008E1C19" w:rsidRPr="001222F4">
        <w:rPr>
          <w:rFonts w:ascii="Calibri" w:hAnsi="Calibri" w:cs="Arial"/>
        </w:rPr>
        <w:t xml:space="preserve"> </w:t>
      </w:r>
      <w:r w:rsidR="00FF5AA1" w:rsidRPr="001222F4">
        <w:rPr>
          <w:rFonts w:ascii="Calibri" w:hAnsi="Calibri" w:cs="Arial"/>
        </w:rPr>
        <w:t xml:space="preserve">their rights </w:t>
      </w:r>
      <w:r w:rsidR="006C1167" w:rsidRPr="001222F4">
        <w:rPr>
          <w:rFonts w:ascii="Calibri" w:hAnsi="Calibri" w:cs="Arial"/>
        </w:rPr>
        <w:t xml:space="preserve">as victims and survivors. </w:t>
      </w:r>
      <w:r w:rsidR="005C68CA" w:rsidRPr="001222F4">
        <w:rPr>
          <w:rFonts w:ascii="Calibri" w:hAnsi="Calibri" w:cs="Arial"/>
        </w:rPr>
        <w:t xml:space="preserve">Action Aid </w:t>
      </w:r>
      <w:r w:rsidR="008E1C19" w:rsidRPr="001222F4">
        <w:rPr>
          <w:rFonts w:ascii="Calibri" w:hAnsi="Calibri" w:cs="Arial"/>
        </w:rPr>
        <w:t>is</w:t>
      </w:r>
      <w:r w:rsidR="005C68CA" w:rsidRPr="001222F4">
        <w:rPr>
          <w:rFonts w:ascii="Calibri" w:hAnsi="Calibri" w:cs="Arial"/>
        </w:rPr>
        <w:t xml:space="preserve"> assisting victims of domestic violence in Myanmar. Recent work has included training community paraleg</w:t>
      </w:r>
      <w:r w:rsidRPr="001222F4">
        <w:rPr>
          <w:rFonts w:ascii="Calibri" w:hAnsi="Calibri" w:cs="Arial"/>
        </w:rPr>
        <w:t xml:space="preserve">als on documenting evidence of </w:t>
      </w:r>
      <w:r w:rsidR="005C68CA" w:rsidRPr="001222F4">
        <w:rPr>
          <w:rFonts w:ascii="Calibri" w:hAnsi="Calibri" w:cs="Arial"/>
        </w:rPr>
        <w:t>violence and, in partnership with Legal Clinic Myanmar, providing women</w:t>
      </w:r>
      <w:r w:rsidRPr="001222F4">
        <w:rPr>
          <w:rFonts w:ascii="Calibri" w:hAnsi="Calibri" w:cs="Arial"/>
        </w:rPr>
        <w:t xml:space="preserve"> victims and survivors</w:t>
      </w:r>
      <w:r w:rsidR="005C68CA" w:rsidRPr="001222F4">
        <w:rPr>
          <w:rFonts w:ascii="Calibri" w:hAnsi="Calibri" w:cs="Arial"/>
        </w:rPr>
        <w:t xml:space="preserve"> with free legal advice on possible action against perpetrators.</w:t>
      </w:r>
      <w:r w:rsidR="005C68CA" w:rsidRPr="001222F4">
        <w:rPr>
          <w:rStyle w:val="FootnoteReference"/>
          <w:rFonts w:ascii="Calibri" w:hAnsi="Calibri" w:cs="Arial"/>
        </w:rPr>
        <w:footnoteReference w:id="205"/>
      </w:r>
      <w:r w:rsidR="005C68CA" w:rsidRPr="001222F4">
        <w:rPr>
          <w:rFonts w:ascii="Calibri" w:hAnsi="Calibri" w:cs="Arial"/>
        </w:rPr>
        <w:t xml:space="preserve"> </w:t>
      </w:r>
    </w:p>
    <w:p w14:paraId="2C48EBF8" w14:textId="77777777" w:rsidR="00EF7C2D" w:rsidRPr="001222F4" w:rsidRDefault="00EF7C2D" w:rsidP="005C68CA">
      <w:pPr>
        <w:jc w:val="both"/>
        <w:rPr>
          <w:rFonts w:ascii="Calibri" w:hAnsi="Calibri" w:cs="Arial"/>
        </w:rPr>
      </w:pPr>
    </w:p>
    <w:p w14:paraId="564BC19F" w14:textId="72A53F2B" w:rsidR="00434E8E" w:rsidRPr="001222F4" w:rsidRDefault="00FF5AA1" w:rsidP="00530F89">
      <w:pPr>
        <w:spacing w:line="360" w:lineRule="auto"/>
        <w:jc w:val="both"/>
        <w:rPr>
          <w:rFonts w:ascii="Calibri" w:hAnsi="Calibri" w:cs="Arial"/>
        </w:rPr>
      </w:pPr>
      <w:r w:rsidRPr="001222F4">
        <w:rPr>
          <w:rFonts w:ascii="Calibri" w:hAnsi="Calibri" w:cs="Arial"/>
        </w:rPr>
        <w:lastRenderedPageBreak/>
        <w:t xml:space="preserve">The CEDAW Committee </w:t>
      </w:r>
      <w:r w:rsidR="00D93AA8" w:rsidRPr="001222F4">
        <w:rPr>
          <w:rFonts w:ascii="Calibri" w:hAnsi="Calibri" w:cs="Arial"/>
        </w:rPr>
        <w:t>urged the Government to address</w:t>
      </w:r>
      <w:r w:rsidR="008E2EA9" w:rsidRPr="001222F4">
        <w:rPr>
          <w:rFonts w:ascii="Calibri" w:hAnsi="Calibri" w:cs="Arial"/>
        </w:rPr>
        <w:t xml:space="preserve"> </w:t>
      </w:r>
      <w:r w:rsidR="00EF7C2D" w:rsidRPr="001222F4">
        <w:rPr>
          <w:rFonts w:ascii="Calibri" w:hAnsi="Calibri" w:cs="Arial"/>
        </w:rPr>
        <w:t>SGBV</w:t>
      </w:r>
      <w:r w:rsidR="008E2EA9" w:rsidRPr="001222F4">
        <w:rPr>
          <w:rFonts w:ascii="Calibri" w:hAnsi="Calibri" w:cs="Arial"/>
        </w:rPr>
        <w:t xml:space="preserve"> in its </w:t>
      </w:r>
      <w:r w:rsidR="00434E8E" w:rsidRPr="001222F4">
        <w:rPr>
          <w:rFonts w:ascii="Calibri" w:hAnsi="Calibri" w:cs="Arial"/>
        </w:rPr>
        <w:t xml:space="preserve">Concluding Observations on Myanmar’s 2008 CEDAW report. The Committee </w:t>
      </w:r>
      <w:r w:rsidR="00D93AA8" w:rsidRPr="001222F4">
        <w:rPr>
          <w:rFonts w:ascii="Calibri" w:hAnsi="Calibri" w:cs="Arial"/>
        </w:rPr>
        <w:t>recommended the elimination</w:t>
      </w:r>
      <w:r w:rsidR="00434E8E" w:rsidRPr="001222F4">
        <w:rPr>
          <w:rFonts w:ascii="Calibri" w:hAnsi="Calibri" w:cs="Arial"/>
        </w:rPr>
        <w:t xml:space="preserve"> </w:t>
      </w:r>
      <w:r w:rsidR="00D93AA8" w:rsidRPr="001222F4">
        <w:rPr>
          <w:rFonts w:ascii="Calibri" w:hAnsi="Calibri" w:cs="Arial"/>
        </w:rPr>
        <w:t>of</w:t>
      </w:r>
      <w:r w:rsidR="00434E8E" w:rsidRPr="001222F4">
        <w:rPr>
          <w:rFonts w:ascii="Calibri" w:hAnsi="Calibri" w:cs="Arial"/>
        </w:rPr>
        <w:t xml:space="preserve"> widespread </w:t>
      </w:r>
      <w:r w:rsidR="006C1167" w:rsidRPr="001222F4">
        <w:rPr>
          <w:rFonts w:ascii="Calibri" w:hAnsi="Calibri" w:cs="Arial"/>
        </w:rPr>
        <w:t xml:space="preserve">conflict-related </w:t>
      </w:r>
      <w:r w:rsidR="00D93AA8" w:rsidRPr="001222F4">
        <w:rPr>
          <w:rFonts w:ascii="Calibri" w:hAnsi="Calibri" w:cs="Arial"/>
        </w:rPr>
        <w:t>SGBV</w:t>
      </w:r>
      <w:r w:rsidR="006C1167" w:rsidRPr="001222F4">
        <w:rPr>
          <w:rFonts w:ascii="Calibri" w:hAnsi="Calibri" w:cs="Arial"/>
        </w:rPr>
        <w:t xml:space="preserve"> </w:t>
      </w:r>
      <w:r w:rsidR="00434E8E" w:rsidRPr="001222F4">
        <w:rPr>
          <w:rFonts w:ascii="Calibri" w:hAnsi="Calibri" w:cs="Arial"/>
        </w:rPr>
        <w:t xml:space="preserve">against women and girls, </w:t>
      </w:r>
      <w:r w:rsidR="004415F6" w:rsidRPr="001222F4">
        <w:rPr>
          <w:rFonts w:ascii="Calibri" w:hAnsi="Calibri" w:cs="Arial"/>
        </w:rPr>
        <w:t>which was endemic against</w:t>
      </w:r>
      <w:r w:rsidR="00434E8E" w:rsidRPr="001222F4">
        <w:rPr>
          <w:rFonts w:ascii="Calibri" w:hAnsi="Calibri" w:cs="Arial"/>
        </w:rPr>
        <w:t xml:space="preserve"> ethnic m</w:t>
      </w:r>
      <w:r w:rsidR="0037437B" w:rsidRPr="001222F4">
        <w:rPr>
          <w:rFonts w:ascii="Calibri" w:hAnsi="Calibri" w:cs="Arial"/>
        </w:rPr>
        <w:t>inorities in conflict areas. To achieve this, the</w:t>
      </w:r>
      <w:r w:rsidR="00434E8E" w:rsidRPr="001222F4">
        <w:rPr>
          <w:rFonts w:ascii="Calibri" w:hAnsi="Calibri" w:cs="Arial"/>
        </w:rPr>
        <w:t xml:space="preserve"> Committee recommended that Myanmar adopt a NAP to fully implement SCRs 1325 and 1820, in line with Articles 2, 4(1), 5, 7 and 8 of CEDAW (which </w:t>
      </w:r>
      <w:r w:rsidR="006C1167" w:rsidRPr="001222F4">
        <w:rPr>
          <w:rFonts w:ascii="Calibri" w:hAnsi="Calibri" w:cs="Arial"/>
        </w:rPr>
        <w:t xml:space="preserve">cover </w:t>
      </w:r>
      <w:r w:rsidR="00434E8E" w:rsidRPr="001222F4">
        <w:rPr>
          <w:rFonts w:ascii="Calibri" w:hAnsi="Calibri" w:cs="Arial"/>
        </w:rPr>
        <w:t>states obligations</w:t>
      </w:r>
      <w:r w:rsidR="006C1167" w:rsidRPr="001222F4">
        <w:rPr>
          <w:rFonts w:ascii="Calibri" w:hAnsi="Calibri" w:cs="Arial"/>
        </w:rPr>
        <w:t xml:space="preserve">’ </w:t>
      </w:r>
      <w:r w:rsidR="00EF7C2D" w:rsidRPr="001222F4">
        <w:rPr>
          <w:rFonts w:ascii="Calibri" w:hAnsi="Calibri" w:cs="Arial"/>
        </w:rPr>
        <w:t xml:space="preserve">to </w:t>
      </w:r>
      <w:r w:rsidR="006C1167" w:rsidRPr="001222F4">
        <w:rPr>
          <w:rFonts w:ascii="Calibri" w:hAnsi="Calibri" w:cs="Arial"/>
        </w:rPr>
        <w:t>ensure:</w:t>
      </w:r>
      <w:r w:rsidR="00434E8E" w:rsidRPr="001222F4">
        <w:rPr>
          <w:rFonts w:ascii="Calibri" w:hAnsi="Calibri" w:cs="Arial"/>
        </w:rPr>
        <w:t xml:space="preserve"> positive steps to eliminate discrimination against women; temporary special measures to eliminate discrimination; measure</w:t>
      </w:r>
      <w:r w:rsidR="006C1167" w:rsidRPr="001222F4">
        <w:rPr>
          <w:rFonts w:ascii="Calibri" w:hAnsi="Calibri" w:cs="Arial"/>
        </w:rPr>
        <w:t>s</w:t>
      </w:r>
      <w:r w:rsidR="00434E8E" w:rsidRPr="001222F4">
        <w:rPr>
          <w:rFonts w:ascii="Calibri" w:hAnsi="Calibri" w:cs="Arial"/>
        </w:rPr>
        <w:t xml:space="preserve"> to eliminate sex role prejudice and stereotyping; women’s national political participation; and women’s </w:t>
      </w:r>
      <w:r w:rsidR="004415F6" w:rsidRPr="001222F4">
        <w:rPr>
          <w:rFonts w:ascii="Calibri" w:hAnsi="Calibri" w:cs="Arial"/>
        </w:rPr>
        <w:t xml:space="preserve">political </w:t>
      </w:r>
      <w:r w:rsidR="00434E8E" w:rsidRPr="001222F4">
        <w:rPr>
          <w:rFonts w:ascii="Calibri" w:hAnsi="Calibri" w:cs="Arial"/>
        </w:rPr>
        <w:t>participation at the int</w:t>
      </w:r>
      <w:r w:rsidR="0037437B" w:rsidRPr="001222F4">
        <w:rPr>
          <w:rFonts w:ascii="Calibri" w:hAnsi="Calibri" w:cs="Arial"/>
        </w:rPr>
        <w:t>ernational level, respectively)</w:t>
      </w:r>
      <w:r w:rsidR="006C1167" w:rsidRPr="001222F4">
        <w:rPr>
          <w:rFonts w:ascii="Calibri" w:hAnsi="Calibri" w:cs="Arial"/>
        </w:rPr>
        <w:t>.</w:t>
      </w:r>
      <w:r w:rsidR="006C1167" w:rsidRPr="001222F4">
        <w:rPr>
          <w:rStyle w:val="FootnoteReference"/>
          <w:rFonts w:ascii="Calibri" w:hAnsi="Calibri" w:cs="Arial"/>
        </w:rPr>
        <w:footnoteReference w:id="206"/>
      </w:r>
      <w:r w:rsidR="00A71CF6" w:rsidRPr="001222F4">
        <w:rPr>
          <w:rFonts w:ascii="Calibri" w:hAnsi="Calibri" w:cs="Arial"/>
        </w:rPr>
        <w:t xml:space="preserve"> By indicating that the NAP should incorporate both the </w:t>
      </w:r>
      <w:r w:rsidR="00D93AA8" w:rsidRPr="001222F4">
        <w:rPr>
          <w:rFonts w:ascii="Calibri" w:hAnsi="Calibri" w:cs="Arial"/>
        </w:rPr>
        <w:t>SCRs</w:t>
      </w:r>
      <w:r w:rsidR="00A71CF6" w:rsidRPr="001222F4">
        <w:rPr>
          <w:rFonts w:ascii="Calibri" w:hAnsi="Calibri" w:cs="Arial"/>
        </w:rPr>
        <w:t xml:space="preserve"> and CEDAW, the Committee</w:t>
      </w:r>
      <w:r w:rsidR="004415F6" w:rsidRPr="001222F4">
        <w:rPr>
          <w:rFonts w:ascii="Calibri" w:hAnsi="Calibri" w:cs="Arial"/>
        </w:rPr>
        <w:t xml:space="preserve"> supported an integ</w:t>
      </w:r>
      <w:r w:rsidR="00D93AA8" w:rsidRPr="001222F4">
        <w:rPr>
          <w:rFonts w:ascii="Calibri" w:hAnsi="Calibri" w:cs="Arial"/>
        </w:rPr>
        <w:t>rated understanding of SCR 1325</w:t>
      </w:r>
      <w:r w:rsidR="004415F6" w:rsidRPr="001222F4">
        <w:rPr>
          <w:rFonts w:ascii="Calibri" w:hAnsi="Calibri" w:cs="Arial"/>
        </w:rPr>
        <w:t xml:space="preserve"> as part of the wider legal framework</w:t>
      </w:r>
      <w:r w:rsidR="00D93AA8" w:rsidRPr="001222F4">
        <w:rPr>
          <w:rFonts w:ascii="Calibri" w:hAnsi="Calibri" w:cs="Arial"/>
        </w:rPr>
        <w:t xml:space="preserve"> on women, peace and security</w:t>
      </w:r>
      <w:r w:rsidR="002D4622">
        <w:rPr>
          <w:rFonts w:ascii="Calibri" w:hAnsi="Calibri" w:cs="Arial"/>
        </w:rPr>
        <w:t xml:space="preserve"> (s</w:t>
      </w:r>
      <w:r w:rsidR="004415F6" w:rsidRPr="001222F4">
        <w:rPr>
          <w:rFonts w:ascii="Calibri" w:hAnsi="Calibri" w:cs="Arial"/>
        </w:rPr>
        <w:t>ee Section 1).</w:t>
      </w:r>
      <w:r w:rsidR="00A71CF6" w:rsidRPr="001222F4">
        <w:rPr>
          <w:rFonts w:ascii="Calibri" w:hAnsi="Calibri" w:cs="Arial"/>
        </w:rPr>
        <w:t xml:space="preserve"> </w:t>
      </w:r>
    </w:p>
    <w:p w14:paraId="0093140F" w14:textId="4B1D3833" w:rsidR="005C68CA" w:rsidRPr="001222F4" w:rsidRDefault="005C68CA" w:rsidP="005C68CA">
      <w:pPr>
        <w:jc w:val="both"/>
        <w:rPr>
          <w:rFonts w:ascii="Calibri" w:hAnsi="Calibri" w:cs="Arial"/>
        </w:rPr>
      </w:pPr>
    </w:p>
    <w:p w14:paraId="660CCF1A" w14:textId="0BFC6891" w:rsidR="00E17B6E" w:rsidRPr="001222F4" w:rsidRDefault="00E17B6E" w:rsidP="007F364C">
      <w:pPr>
        <w:pStyle w:val="ListParagraph"/>
        <w:numPr>
          <w:ilvl w:val="0"/>
          <w:numId w:val="11"/>
        </w:numPr>
        <w:jc w:val="both"/>
        <w:rPr>
          <w:rFonts w:ascii="Calibri" w:hAnsi="Calibri" w:cs="Arial"/>
          <w:b/>
          <w:color w:val="1F497D" w:themeColor="text2"/>
        </w:rPr>
      </w:pPr>
      <w:r w:rsidRPr="001222F4">
        <w:rPr>
          <w:rFonts w:ascii="Calibri" w:hAnsi="Calibri" w:cs="Arial"/>
          <w:b/>
          <w:color w:val="1F497D" w:themeColor="text2"/>
        </w:rPr>
        <w:t xml:space="preserve">Conclusion </w:t>
      </w:r>
    </w:p>
    <w:p w14:paraId="25754264" w14:textId="77777777" w:rsidR="005C68CA" w:rsidRPr="001222F4" w:rsidRDefault="005C68CA" w:rsidP="005C68CA">
      <w:pPr>
        <w:rPr>
          <w:rFonts w:ascii="Calibri" w:hAnsi="Calibri" w:cs="Arial"/>
        </w:rPr>
      </w:pPr>
    </w:p>
    <w:p w14:paraId="1E80BFFC" w14:textId="5F67DAFE" w:rsidR="005C68CA" w:rsidRPr="001222F4" w:rsidRDefault="004415F6" w:rsidP="00530F89">
      <w:pPr>
        <w:spacing w:line="360" w:lineRule="auto"/>
        <w:jc w:val="both"/>
        <w:rPr>
          <w:rFonts w:ascii="Calibri" w:hAnsi="Calibri" w:cs="Arial"/>
        </w:rPr>
      </w:pPr>
      <w:r w:rsidRPr="001222F4">
        <w:rPr>
          <w:rFonts w:ascii="Calibri" w:hAnsi="Calibri" w:cs="Arial"/>
        </w:rPr>
        <w:t xml:space="preserve">Myanmar is still journeying towards a NAP, </w:t>
      </w:r>
      <w:r w:rsidR="00EF7C2D" w:rsidRPr="001222F4">
        <w:rPr>
          <w:rFonts w:ascii="Calibri" w:hAnsi="Calibri" w:cs="Arial"/>
        </w:rPr>
        <w:t>against a backdrop transition</w:t>
      </w:r>
      <w:r w:rsidR="00BE1A86">
        <w:rPr>
          <w:rFonts w:ascii="Calibri" w:hAnsi="Calibri" w:cs="Arial"/>
        </w:rPr>
        <w:t>ing</w:t>
      </w:r>
      <w:r w:rsidR="00EF7C2D" w:rsidRPr="001222F4">
        <w:rPr>
          <w:rFonts w:ascii="Calibri" w:hAnsi="Calibri" w:cs="Arial"/>
        </w:rPr>
        <w:t xml:space="preserve"> to</w:t>
      </w:r>
      <w:r w:rsidR="008C37EF" w:rsidRPr="001222F4">
        <w:rPr>
          <w:rFonts w:ascii="Calibri" w:hAnsi="Calibri" w:cs="Arial"/>
        </w:rPr>
        <w:t xml:space="preserve"> </w:t>
      </w:r>
      <w:r w:rsidRPr="001222F4">
        <w:rPr>
          <w:rFonts w:ascii="Calibri" w:hAnsi="Calibri" w:cs="Arial"/>
        </w:rPr>
        <w:t xml:space="preserve">democracy. </w:t>
      </w:r>
      <w:r w:rsidR="00697558" w:rsidRPr="001222F4">
        <w:rPr>
          <w:rFonts w:ascii="Calibri" w:hAnsi="Calibri" w:cs="Arial"/>
        </w:rPr>
        <w:t>A major milestone on this journey has been</w:t>
      </w:r>
      <w:r w:rsidRPr="001222F4">
        <w:rPr>
          <w:rFonts w:ascii="Calibri" w:hAnsi="Calibri" w:cs="Arial"/>
        </w:rPr>
        <w:t xml:space="preserve"> the development of </w:t>
      </w:r>
      <w:r w:rsidR="00CB2ADD" w:rsidRPr="001222F4">
        <w:rPr>
          <w:rFonts w:ascii="Calibri" w:hAnsi="Calibri" w:cs="Arial"/>
        </w:rPr>
        <w:t>the NSPAW</w:t>
      </w:r>
      <w:r w:rsidRPr="001222F4">
        <w:rPr>
          <w:rFonts w:ascii="Calibri" w:hAnsi="Calibri" w:cs="Arial"/>
        </w:rPr>
        <w:t xml:space="preserve"> to address women’s empowerment and development in the country. The NSPAW </w:t>
      </w:r>
      <w:r w:rsidR="00EF7C2D" w:rsidRPr="001222F4">
        <w:rPr>
          <w:rFonts w:ascii="Calibri" w:hAnsi="Calibri" w:cs="Arial"/>
        </w:rPr>
        <w:t>will</w:t>
      </w:r>
      <w:r w:rsidR="00D93AA8" w:rsidRPr="001222F4">
        <w:rPr>
          <w:rFonts w:ascii="Calibri" w:hAnsi="Calibri" w:cs="Arial"/>
        </w:rPr>
        <w:t xml:space="preserve"> provide the overarching context</w:t>
      </w:r>
      <w:r w:rsidR="00CB2ADD" w:rsidRPr="001222F4">
        <w:rPr>
          <w:rFonts w:ascii="Calibri" w:hAnsi="Calibri" w:cs="Arial"/>
        </w:rPr>
        <w:t xml:space="preserve"> to</w:t>
      </w:r>
      <w:r w:rsidRPr="001222F4">
        <w:rPr>
          <w:rFonts w:ascii="Calibri" w:hAnsi="Calibri" w:cs="Arial"/>
        </w:rPr>
        <w:t xml:space="preserve"> complement a NAP </w:t>
      </w:r>
      <w:r w:rsidR="00CB2ADD" w:rsidRPr="001222F4">
        <w:rPr>
          <w:rFonts w:ascii="Calibri" w:hAnsi="Calibri" w:cs="Arial"/>
        </w:rPr>
        <w:t>on</w:t>
      </w:r>
      <w:r w:rsidRPr="001222F4">
        <w:rPr>
          <w:rFonts w:ascii="Calibri" w:hAnsi="Calibri" w:cs="Arial"/>
        </w:rPr>
        <w:t xml:space="preserve"> the specific conflict-related </w:t>
      </w:r>
      <w:r w:rsidR="008C37EF" w:rsidRPr="001222F4">
        <w:rPr>
          <w:rFonts w:ascii="Calibri" w:hAnsi="Calibri" w:cs="Arial"/>
        </w:rPr>
        <w:t>concerns of</w:t>
      </w:r>
      <w:r w:rsidRPr="001222F4">
        <w:rPr>
          <w:rFonts w:ascii="Calibri" w:hAnsi="Calibri" w:cs="Arial"/>
        </w:rPr>
        <w:t xml:space="preserve"> women and girls in Myanmar. The Government’s </w:t>
      </w:r>
      <w:r w:rsidR="008C37EF" w:rsidRPr="001222F4">
        <w:rPr>
          <w:rFonts w:ascii="Calibri" w:hAnsi="Calibri" w:cs="Arial"/>
        </w:rPr>
        <w:t xml:space="preserve">renewed commitment to its </w:t>
      </w:r>
      <w:r w:rsidRPr="001222F4">
        <w:rPr>
          <w:rFonts w:ascii="Calibri" w:hAnsi="Calibri" w:cs="Arial"/>
        </w:rPr>
        <w:t>CEDAW</w:t>
      </w:r>
      <w:r w:rsidR="008C37EF" w:rsidRPr="001222F4">
        <w:rPr>
          <w:rFonts w:ascii="Calibri" w:hAnsi="Calibri" w:cs="Arial"/>
        </w:rPr>
        <w:t xml:space="preserve"> obligations</w:t>
      </w:r>
      <w:r w:rsidRPr="001222F4">
        <w:rPr>
          <w:rFonts w:ascii="Calibri" w:hAnsi="Calibri" w:cs="Arial"/>
        </w:rPr>
        <w:t xml:space="preserve"> via the NSPAW should be harnessed to create a NAP </w:t>
      </w:r>
      <w:r w:rsidR="008C37EF" w:rsidRPr="001222F4">
        <w:rPr>
          <w:rFonts w:ascii="Calibri" w:hAnsi="Calibri" w:cs="Arial"/>
        </w:rPr>
        <w:t>that</w:t>
      </w:r>
      <w:r w:rsidRPr="001222F4">
        <w:rPr>
          <w:rFonts w:ascii="Calibri" w:hAnsi="Calibri" w:cs="Arial"/>
        </w:rPr>
        <w:t xml:space="preserve">, in line with the CEDAW Committee’s recommendations, </w:t>
      </w:r>
      <w:r w:rsidR="008C37EF" w:rsidRPr="001222F4">
        <w:rPr>
          <w:rFonts w:ascii="Calibri" w:hAnsi="Calibri" w:cs="Arial"/>
        </w:rPr>
        <w:t xml:space="preserve">supports an understanding of SCR 1325 as grounded in the wider legal framework. </w:t>
      </w:r>
      <w:r w:rsidR="00D93AA8" w:rsidRPr="001222F4">
        <w:rPr>
          <w:rFonts w:ascii="Calibri" w:hAnsi="Calibri" w:cs="Arial"/>
        </w:rPr>
        <w:t xml:space="preserve">The work of </w:t>
      </w:r>
      <w:r w:rsidR="008C37EF" w:rsidRPr="001222F4">
        <w:rPr>
          <w:rFonts w:ascii="Calibri" w:hAnsi="Calibri" w:cs="Arial"/>
        </w:rPr>
        <w:t xml:space="preserve">Myanmar’s </w:t>
      </w:r>
      <w:r w:rsidR="00D93AA8" w:rsidRPr="001222F4">
        <w:rPr>
          <w:rFonts w:ascii="Calibri" w:hAnsi="Calibri" w:cs="Arial"/>
        </w:rPr>
        <w:t>active</w:t>
      </w:r>
      <w:r w:rsidR="008C37EF" w:rsidRPr="001222F4">
        <w:rPr>
          <w:rFonts w:ascii="Calibri" w:hAnsi="Calibri" w:cs="Arial"/>
        </w:rPr>
        <w:t xml:space="preserve"> civil society</w:t>
      </w:r>
      <w:r w:rsidR="00D93AA8" w:rsidRPr="001222F4">
        <w:rPr>
          <w:rFonts w:ascii="Calibri" w:hAnsi="Calibri" w:cs="Arial"/>
        </w:rPr>
        <w:t xml:space="preserve"> organizations</w:t>
      </w:r>
      <w:r w:rsidR="00EF7C2D" w:rsidRPr="001222F4">
        <w:rPr>
          <w:rFonts w:ascii="Calibri" w:hAnsi="Calibri" w:cs="Arial"/>
        </w:rPr>
        <w:t xml:space="preserve"> and </w:t>
      </w:r>
      <w:r w:rsidR="008C37EF" w:rsidRPr="001222F4">
        <w:rPr>
          <w:rFonts w:ascii="Calibri" w:hAnsi="Calibri" w:cs="Arial"/>
        </w:rPr>
        <w:t>developme</w:t>
      </w:r>
      <w:r w:rsidR="00EF7C2D" w:rsidRPr="001222F4">
        <w:rPr>
          <w:rFonts w:ascii="Calibri" w:hAnsi="Calibri" w:cs="Arial"/>
        </w:rPr>
        <w:t>nt agencies, provide</w:t>
      </w:r>
      <w:r w:rsidR="008C37EF" w:rsidRPr="001222F4">
        <w:rPr>
          <w:rFonts w:ascii="Calibri" w:hAnsi="Calibri" w:cs="Arial"/>
        </w:rPr>
        <w:t xml:space="preserve"> </w:t>
      </w:r>
      <w:r w:rsidR="00E7296F" w:rsidRPr="001222F4">
        <w:rPr>
          <w:rFonts w:ascii="Calibri" w:hAnsi="Calibri" w:cs="Arial"/>
        </w:rPr>
        <w:t>many good practices</w:t>
      </w:r>
      <w:r w:rsidR="008C37EF" w:rsidRPr="001222F4">
        <w:rPr>
          <w:rFonts w:ascii="Calibri" w:hAnsi="Calibri" w:cs="Arial"/>
        </w:rPr>
        <w:t xml:space="preserve"> for the Government to</w:t>
      </w:r>
      <w:r w:rsidR="00E7296F" w:rsidRPr="001222F4">
        <w:rPr>
          <w:rFonts w:ascii="Calibri" w:hAnsi="Calibri" w:cs="Arial"/>
        </w:rPr>
        <w:t xml:space="preserve"> incorporate as it</w:t>
      </w:r>
      <w:r w:rsidR="008C37EF" w:rsidRPr="001222F4">
        <w:rPr>
          <w:rFonts w:ascii="Calibri" w:hAnsi="Calibri" w:cs="Arial"/>
        </w:rPr>
        <w:t xml:space="preserve"> finalize</w:t>
      </w:r>
      <w:r w:rsidR="00E7296F" w:rsidRPr="001222F4">
        <w:rPr>
          <w:rFonts w:ascii="Calibri" w:hAnsi="Calibri" w:cs="Arial"/>
        </w:rPr>
        <w:t>s</w:t>
      </w:r>
      <w:r w:rsidR="008C37EF" w:rsidRPr="001222F4">
        <w:rPr>
          <w:rFonts w:ascii="Calibri" w:hAnsi="Calibri" w:cs="Arial"/>
        </w:rPr>
        <w:t xml:space="preserve"> a NAP</w:t>
      </w:r>
      <w:r w:rsidR="00D93AA8" w:rsidRPr="001222F4">
        <w:rPr>
          <w:rFonts w:ascii="Calibri" w:hAnsi="Calibri" w:cs="Arial"/>
        </w:rPr>
        <w:t>.</w:t>
      </w:r>
      <w:r w:rsidR="008C37EF" w:rsidRPr="001222F4">
        <w:rPr>
          <w:rFonts w:ascii="Calibri" w:hAnsi="Calibri" w:cs="Arial"/>
        </w:rPr>
        <w:t xml:space="preserve"> </w:t>
      </w:r>
    </w:p>
    <w:p w14:paraId="17F35AC2" w14:textId="635CFBF6" w:rsidR="000E78A5" w:rsidRPr="003330F3" w:rsidRDefault="004112D1" w:rsidP="000E78A5">
      <w:pPr>
        <w:pStyle w:val="Heading3"/>
        <w:keepLines/>
        <w:spacing w:before="20" w:after="0"/>
        <w:jc w:val="center"/>
        <w:rPr>
          <w:b w:val="0"/>
          <w:color w:val="1F497D" w:themeColor="text2"/>
          <w:spacing w:val="14"/>
          <w:sz w:val="32"/>
          <w:szCs w:val="32"/>
          <w:u w:val="single"/>
          <w:lang w:val="en-GB"/>
        </w:rPr>
      </w:pPr>
      <w:r>
        <w:rPr>
          <w:rFonts w:ascii="Calibri" w:hAnsi="Calibri" w:cs="Arial"/>
        </w:rPr>
        <w:br w:type="page"/>
      </w:r>
      <w:bookmarkStart w:id="15" w:name="_Toc416867093"/>
      <w:r w:rsidR="000E78A5">
        <w:rPr>
          <w:b w:val="0"/>
          <w:color w:val="1F497D" w:themeColor="text2"/>
          <w:spacing w:val="14"/>
          <w:sz w:val="32"/>
          <w:szCs w:val="32"/>
          <w:u w:val="single"/>
          <w:lang w:val="en-GB"/>
        </w:rPr>
        <w:lastRenderedPageBreak/>
        <w:t>EUROPE</w:t>
      </w:r>
      <w:bookmarkEnd w:id="15"/>
    </w:p>
    <w:p w14:paraId="6DED86C9" w14:textId="77777777" w:rsidR="000E78A5" w:rsidRDefault="000E78A5" w:rsidP="000E78A5">
      <w:pPr>
        <w:jc w:val="both"/>
        <w:rPr>
          <w:rFonts w:ascii="Calibri" w:hAnsi="Calibri"/>
          <w:b/>
        </w:rPr>
      </w:pPr>
    </w:p>
    <w:p w14:paraId="2905A35A" w14:textId="4A5DDEBC" w:rsidR="000E78A5" w:rsidRPr="000E78A5" w:rsidRDefault="000E78A5" w:rsidP="000E78A5">
      <w:pPr>
        <w:pStyle w:val="Heading3"/>
        <w:keepLines/>
        <w:spacing w:before="20" w:after="0"/>
        <w:jc w:val="center"/>
        <w:rPr>
          <w:b w:val="0"/>
          <w:color w:val="1F497D" w:themeColor="text2"/>
          <w:spacing w:val="14"/>
          <w:sz w:val="32"/>
          <w:szCs w:val="32"/>
          <w:lang w:val="en-GB"/>
        </w:rPr>
      </w:pPr>
      <w:bookmarkStart w:id="16" w:name="_Toc416867094"/>
      <w:r>
        <w:rPr>
          <w:b w:val="0"/>
          <w:color w:val="1F497D" w:themeColor="text2"/>
          <w:spacing w:val="14"/>
          <w:sz w:val="32"/>
          <w:szCs w:val="32"/>
          <w:lang w:val="en-GB"/>
        </w:rPr>
        <w:t>BOSNIA AND HERZEGOVINA – AN OLD NAP FEATURING FRAGMENTATION, A NEW NAP THAT DRAWS ON THE LEGAL FRAMEWORK</w:t>
      </w:r>
      <w:bookmarkEnd w:id="16"/>
    </w:p>
    <w:p w14:paraId="5E8FC7C0" w14:textId="77777777" w:rsidR="000E78A5" w:rsidRPr="000E78A5" w:rsidRDefault="000E78A5" w:rsidP="000E78A5">
      <w:pPr>
        <w:rPr>
          <w:sz w:val="32"/>
          <w:szCs w:val="32"/>
        </w:rPr>
      </w:pPr>
    </w:p>
    <w:p w14:paraId="6F94805F" w14:textId="76FCDD52" w:rsidR="005C68CA" w:rsidRPr="000B2E6D" w:rsidRDefault="005076AE" w:rsidP="007F364C">
      <w:pPr>
        <w:pStyle w:val="ListParagraph"/>
        <w:numPr>
          <w:ilvl w:val="0"/>
          <w:numId w:val="12"/>
        </w:numPr>
        <w:jc w:val="both"/>
        <w:rPr>
          <w:rFonts w:ascii="Calibri" w:hAnsi="Calibri"/>
          <w:b/>
          <w:color w:val="1F497D" w:themeColor="text2"/>
        </w:rPr>
      </w:pPr>
      <w:r w:rsidRPr="000B2E6D">
        <w:rPr>
          <w:rFonts w:ascii="Calibri" w:hAnsi="Calibri" w:cs="Arial"/>
          <w:b/>
          <w:color w:val="1F497D" w:themeColor="text2"/>
        </w:rPr>
        <w:t>An Overview of</w:t>
      </w:r>
      <w:r w:rsidR="005C68CA" w:rsidRPr="000B2E6D">
        <w:rPr>
          <w:rFonts w:ascii="Calibri" w:hAnsi="Calibri" w:cs="Arial"/>
          <w:b/>
          <w:color w:val="1F497D" w:themeColor="text2"/>
        </w:rPr>
        <w:t xml:space="preserve"> Conflict in Bosnia and Herzegovina </w:t>
      </w:r>
    </w:p>
    <w:p w14:paraId="2F0DB7C5" w14:textId="77777777" w:rsidR="005C68CA" w:rsidRPr="000B2E6D" w:rsidRDefault="005C68CA" w:rsidP="005C68CA">
      <w:pPr>
        <w:jc w:val="both"/>
        <w:rPr>
          <w:rFonts w:ascii="Calibri" w:hAnsi="Calibri"/>
        </w:rPr>
      </w:pPr>
    </w:p>
    <w:p w14:paraId="3C4FD2C3" w14:textId="6A3CCEC9" w:rsidR="005C68CA" w:rsidRPr="000B2E6D" w:rsidRDefault="005C68CA" w:rsidP="00530F89">
      <w:pPr>
        <w:spacing w:line="360" w:lineRule="auto"/>
        <w:jc w:val="both"/>
        <w:rPr>
          <w:rFonts w:ascii="Calibri" w:hAnsi="Calibri"/>
        </w:rPr>
      </w:pPr>
      <w:r w:rsidRPr="000B2E6D">
        <w:rPr>
          <w:rFonts w:ascii="Calibri" w:hAnsi="Calibri"/>
        </w:rPr>
        <w:t>Bosnia and Herzegovina</w:t>
      </w:r>
      <w:r w:rsidR="00E241BA" w:rsidRPr="000B2E6D">
        <w:rPr>
          <w:rFonts w:ascii="Calibri" w:hAnsi="Calibri"/>
        </w:rPr>
        <w:t xml:space="preserve"> (BiH)</w:t>
      </w:r>
      <w:r w:rsidRPr="000B2E6D">
        <w:rPr>
          <w:rFonts w:ascii="Calibri" w:hAnsi="Calibri"/>
        </w:rPr>
        <w:t xml:space="preserve"> </w:t>
      </w:r>
      <w:r w:rsidR="005966CE" w:rsidRPr="000B2E6D">
        <w:rPr>
          <w:rFonts w:ascii="Calibri" w:hAnsi="Calibri"/>
        </w:rPr>
        <w:t>is a post-conflict country that is</w:t>
      </w:r>
      <w:r w:rsidR="00F93C5E" w:rsidRPr="000B2E6D">
        <w:rPr>
          <w:rFonts w:ascii="Calibri" w:hAnsi="Calibri"/>
        </w:rPr>
        <w:t xml:space="preserve"> in a fragile state</w:t>
      </w:r>
      <w:r w:rsidRPr="000B2E6D">
        <w:rPr>
          <w:rFonts w:ascii="Calibri" w:hAnsi="Calibri"/>
        </w:rPr>
        <w:t>.</w:t>
      </w:r>
      <w:r w:rsidRPr="000B2E6D">
        <w:rPr>
          <w:rStyle w:val="FootnoteReference"/>
          <w:rFonts w:ascii="Calibri" w:hAnsi="Calibri"/>
        </w:rPr>
        <w:footnoteReference w:id="207"/>
      </w:r>
      <w:r w:rsidRPr="000B2E6D">
        <w:rPr>
          <w:rFonts w:ascii="Calibri" w:hAnsi="Calibri"/>
        </w:rPr>
        <w:t xml:space="preserve"> The </w:t>
      </w:r>
      <w:r w:rsidR="00AE57C8" w:rsidRPr="000B2E6D">
        <w:rPr>
          <w:rFonts w:ascii="Calibri" w:hAnsi="Calibri"/>
        </w:rPr>
        <w:t xml:space="preserve">Balkans War </w:t>
      </w:r>
      <w:r w:rsidR="00F93C5E" w:rsidRPr="000B2E6D">
        <w:rPr>
          <w:rFonts w:ascii="Calibri" w:hAnsi="Calibri"/>
        </w:rPr>
        <w:t>resulted in</w:t>
      </w:r>
      <w:r w:rsidRPr="000B2E6D">
        <w:rPr>
          <w:rFonts w:ascii="Calibri" w:hAnsi="Calibri"/>
        </w:rPr>
        <w:t xml:space="preserve"> </w:t>
      </w:r>
      <w:r w:rsidR="00F93C5E" w:rsidRPr="000B2E6D">
        <w:rPr>
          <w:rFonts w:ascii="Calibri" w:hAnsi="Calibri"/>
        </w:rPr>
        <w:t>high civilian</w:t>
      </w:r>
      <w:r w:rsidRPr="000B2E6D">
        <w:rPr>
          <w:rFonts w:ascii="Calibri" w:hAnsi="Calibri"/>
        </w:rPr>
        <w:t xml:space="preserve"> casualties</w:t>
      </w:r>
      <w:r w:rsidR="00F93C5E" w:rsidRPr="000B2E6D">
        <w:rPr>
          <w:rFonts w:ascii="Calibri" w:hAnsi="Calibri"/>
        </w:rPr>
        <w:t xml:space="preserve"> and widespread violence</w:t>
      </w:r>
      <w:r w:rsidRPr="000B2E6D">
        <w:rPr>
          <w:rFonts w:ascii="Calibri" w:hAnsi="Calibri"/>
        </w:rPr>
        <w:t xml:space="preserve">, especially among women and children. </w:t>
      </w:r>
      <w:r w:rsidR="00F93C5E" w:rsidRPr="000B2E6D">
        <w:rPr>
          <w:rFonts w:ascii="Calibri" w:hAnsi="Calibri"/>
        </w:rPr>
        <w:t>The</w:t>
      </w:r>
      <w:r w:rsidRPr="000B2E6D">
        <w:rPr>
          <w:rFonts w:ascii="Calibri" w:hAnsi="Calibri"/>
        </w:rPr>
        <w:t xml:space="preserve"> conflict </w:t>
      </w:r>
      <w:r w:rsidR="009F3AF0" w:rsidRPr="000B2E6D">
        <w:rPr>
          <w:rFonts w:ascii="Calibri" w:hAnsi="Calibri"/>
        </w:rPr>
        <w:t>was notorious</w:t>
      </w:r>
      <w:r w:rsidRPr="000B2E6D">
        <w:rPr>
          <w:rFonts w:ascii="Calibri" w:hAnsi="Calibri"/>
        </w:rPr>
        <w:t xml:space="preserve"> for </w:t>
      </w:r>
      <w:r w:rsidR="00F93C5E" w:rsidRPr="000B2E6D">
        <w:rPr>
          <w:rFonts w:ascii="Calibri" w:hAnsi="Calibri"/>
        </w:rPr>
        <w:t>its endemic sexual and gender-based violence (SGBV</w:t>
      </w:r>
      <w:r w:rsidR="005966CE" w:rsidRPr="000B2E6D">
        <w:rPr>
          <w:rFonts w:ascii="Calibri" w:hAnsi="Calibri"/>
        </w:rPr>
        <w:t>)</w:t>
      </w:r>
      <w:r w:rsidR="00BD7226" w:rsidRPr="000B2E6D">
        <w:rPr>
          <w:rFonts w:ascii="Calibri" w:hAnsi="Calibri"/>
        </w:rPr>
        <w:t xml:space="preserve"> </w:t>
      </w:r>
      <w:r w:rsidR="005966CE" w:rsidRPr="000B2E6D">
        <w:rPr>
          <w:rFonts w:ascii="Calibri" w:hAnsi="Calibri"/>
        </w:rPr>
        <w:t>most notably</w:t>
      </w:r>
      <w:r w:rsidR="00F93C5E" w:rsidRPr="000B2E6D">
        <w:rPr>
          <w:rFonts w:ascii="Calibri" w:hAnsi="Calibri"/>
        </w:rPr>
        <w:t xml:space="preserve"> the </w:t>
      </w:r>
      <w:r w:rsidR="005966CE" w:rsidRPr="000B2E6D">
        <w:rPr>
          <w:rFonts w:ascii="Calibri" w:hAnsi="Calibri"/>
        </w:rPr>
        <w:t xml:space="preserve">creation </w:t>
      </w:r>
      <w:r w:rsidR="00F93C5E" w:rsidRPr="000B2E6D">
        <w:rPr>
          <w:rFonts w:ascii="Calibri" w:hAnsi="Calibri"/>
        </w:rPr>
        <w:t>of</w:t>
      </w:r>
      <w:r w:rsidRPr="000B2E6D">
        <w:rPr>
          <w:rFonts w:ascii="Calibri" w:hAnsi="Calibri"/>
        </w:rPr>
        <w:t xml:space="preserve"> rape camps</w:t>
      </w:r>
      <w:r w:rsidR="005966CE" w:rsidRPr="000B2E6D">
        <w:rPr>
          <w:rFonts w:ascii="Calibri" w:hAnsi="Calibri"/>
        </w:rPr>
        <w:t xml:space="preserve"> to facilitate the use</w:t>
      </w:r>
      <w:r w:rsidR="00BD7226" w:rsidRPr="000B2E6D">
        <w:rPr>
          <w:rFonts w:ascii="Calibri" w:hAnsi="Calibri"/>
        </w:rPr>
        <w:t xml:space="preserve"> rape and SGBV as a weapon of war, and the</w:t>
      </w:r>
      <w:r w:rsidR="006B02AF" w:rsidRPr="000B2E6D">
        <w:rPr>
          <w:rFonts w:ascii="Calibri" w:hAnsi="Calibri"/>
        </w:rPr>
        <w:t xml:space="preserve"> involvement of UN </w:t>
      </w:r>
      <w:r w:rsidR="005966CE" w:rsidRPr="000B2E6D">
        <w:rPr>
          <w:rFonts w:ascii="Calibri" w:hAnsi="Calibri"/>
        </w:rPr>
        <w:t>personnel</w:t>
      </w:r>
      <w:r w:rsidR="006B02AF" w:rsidRPr="000B2E6D">
        <w:rPr>
          <w:rFonts w:ascii="Calibri" w:hAnsi="Calibri"/>
        </w:rPr>
        <w:t xml:space="preserve"> in trafficking and SGBV</w:t>
      </w:r>
      <w:r w:rsidRPr="000B2E6D">
        <w:rPr>
          <w:rFonts w:ascii="Calibri" w:hAnsi="Calibri"/>
        </w:rPr>
        <w:t>.</w:t>
      </w:r>
      <w:r w:rsidR="00BD7226" w:rsidRPr="000B2E6D">
        <w:rPr>
          <w:rStyle w:val="FootnoteReference"/>
          <w:rFonts w:ascii="Calibri" w:hAnsi="Calibri"/>
        </w:rPr>
        <w:footnoteReference w:id="208"/>
      </w:r>
      <w:r w:rsidRPr="000B2E6D">
        <w:rPr>
          <w:rFonts w:ascii="Calibri" w:hAnsi="Calibri"/>
        </w:rPr>
        <w:t xml:space="preserve"> </w:t>
      </w:r>
      <w:r w:rsidR="00F93C5E" w:rsidRPr="000B2E6D">
        <w:rPr>
          <w:rFonts w:ascii="Calibri" w:hAnsi="Calibri"/>
        </w:rPr>
        <w:t>The</w:t>
      </w:r>
      <w:r w:rsidRPr="000B2E6D">
        <w:rPr>
          <w:rFonts w:ascii="Calibri" w:hAnsi="Calibri"/>
        </w:rPr>
        <w:t xml:space="preserve"> Dayton Peace agreement</w:t>
      </w:r>
      <w:r w:rsidR="00F93C5E" w:rsidRPr="000B2E6D">
        <w:rPr>
          <w:rFonts w:ascii="Calibri" w:hAnsi="Calibri"/>
        </w:rPr>
        <w:t xml:space="preserve"> of 1995</w:t>
      </w:r>
      <w:r w:rsidRPr="000B2E6D">
        <w:rPr>
          <w:rFonts w:ascii="Calibri" w:hAnsi="Calibri"/>
        </w:rPr>
        <w:t xml:space="preserve"> created a state with two </w:t>
      </w:r>
      <w:r w:rsidR="00F93C5E" w:rsidRPr="000B2E6D">
        <w:rPr>
          <w:rFonts w:ascii="Calibri" w:hAnsi="Calibri"/>
        </w:rPr>
        <w:t>e</w:t>
      </w:r>
      <w:r w:rsidRPr="000B2E6D">
        <w:rPr>
          <w:rFonts w:ascii="Calibri" w:hAnsi="Calibri"/>
        </w:rPr>
        <w:t xml:space="preserve">ntities and one district. The entities each have </w:t>
      </w:r>
      <w:r w:rsidR="00F93C5E" w:rsidRPr="000B2E6D">
        <w:rPr>
          <w:rFonts w:ascii="Calibri" w:hAnsi="Calibri"/>
        </w:rPr>
        <w:t>a</w:t>
      </w:r>
      <w:r w:rsidRPr="000B2E6D">
        <w:rPr>
          <w:rFonts w:ascii="Calibri" w:hAnsi="Calibri"/>
        </w:rPr>
        <w:t xml:space="preserve"> legislature, executive and judiciary. Although these are technically subordinate to the state-level constitution, in practice there is a very high level of deference shown by the state-level government. </w:t>
      </w:r>
      <w:r w:rsidR="001677EE" w:rsidRPr="000B2E6D">
        <w:rPr>
          <w:rFonts w:ascii="Calibri" w:hAnsi="Calibri"/>
        </w:rPr>
        <w:t>This has resulted in the fragmented state response to addressing women’s rights in post-conflict BiH, discussed below.</w:t>
      </w:r>
    </w:p>
    <w:p w14:paraId="79ADCAF2" w14:textId="77777777" w:rsidR="005C68CA" w:rsidRPr="000B2E6D" w:rsidRDefault="005C68CA" w:rsidP="005C68CA">
      <w:pPr>
        <w:jc w:val="both"/>
        <w:rPr>
          <w:rFonts w:ascii="Calibri" w:hAnsi="Calibri"/>
        </w:rPr>
      </w:pPr>
    </w:p>
    <w:p w14:paraId="1B4FA5F8" w14:textId="14FD4E81" w:rsidR="005C68CA" w:rsidRPr="000B2E6D" w:rsidRDefault="005C68CA" w:rsidP="007F364C">
      <w:pPr>
        <w:pStyle w:val="ListParagraph"/>
        <w:numPr>
          <w:ilvl w:val="0"/>
          <w:numId w:val="12"/>
        </w:numPr>
        <w:jc w:val="both"/>
        <w:rPr>
          <w:rFonts w:ascii="Calibri" w:hAnsi="Calibri"/>
          <w:b/>
          <w:color w:val="1F497D" w:themeColor="text2"/>
        </w:rPr>
      </w:pPr>
      <w:r w:rsidRPr="000B2E6D">
        <w:rPr>
          <w:rFonts w:ascii="Calibri" w:hAnsi="Calibri"/>
          <w:b/>
          <w:color w:val="1F497D" w:themeColor="text2"/>
        </w:rPr>
        <w:t>Bosnia and Herzegovina’s National Action Plan</w:t>
      </w:r>
      <w:r w:rsidR="006B02AF" w:rsidRPr="000B2E6D">
        <w:rPr>
          <w:rFonts w:ascii="Calibri" w:hAnsi="Calibri"/>
          <w:b/>
          <w:color w:val="1F497D" w:themeColor="text2"/>
        </w:rPr>
        <w:t xml:space="preserve"> 1</w:t>
      </w:r>
      <w:r w:rsidR="00A55FED" w:rsidRPr="000B2E6D">
        <w:rPr>
          <w:rFonts w:ascii="Calibri" w:hAnsi="Calibri"/>
          <w:b/>
          <w:color w:val="1F497D" w:themeColor="text2"/>
        </w:rPr>
        <w:t xml:space="preserve"> (2010-13)</w:t>
      </w:r>
      <w:r w:rsidR="006B02AF" w:rsidRPr="000B2E6D">
        <w:rPr>
          <w:rFonts w:ascii="Calibri" w:hAnsi="Calibri"/>
          <w:b/>
          <w:color w:val="1F497D" w:themeColor="text2"/>
        </w:rPr>
        <w:t xml:space="preserve"> and 2 (2014-17)</w:t>
      </w:r>
    </w:p>
    <w:p w14:paraId="599EDEE7" w14:textId="77777777" w:rsidR="005C68CA" w:rsidRPr="000B2E6D" w:rsidRDefault="005C68CA" w:rsidP="005C68CA">
      <w:pPr>
        <w:jc w:val="both"/>
        <w:rPr>
          <w:rFonts w:ascii="Calibri" w:hAnsi="Calibri"/>
          <w:b/>
          <w:u w:val="single"/>
        </w:rPr>
      </w:pPr>
    </w:p>
    <w:p w14:paraId="1BBE6B77" w14:textId="65AE5ED7" w:rsidR="000A1EA1" w:rsidRPr="000B2E6D" w:rsidRDefault="000A1EA1" w:rsidP="005C68CA">
      <w:pPr>
        <w:jc w:val="both"/>
        <w:rPr>
          <w:rFonts w:ascii="Calibri" w:hAnsi="Calibri"/>
          <w:b/>
          <w:color w:val="1F497D" w:themeColor="text2"/>
          <w:u w:val="single"/>
        </w:rPr>
      </w:pPr>
      <w:r w:rsidRPr="000B2E6D">
        <w:rPr>
          <w:rFonts w:ascii="Calibri" w:hAnsi="Calibri"/>
          <w:b/>
          <w:color w:val="1F497D" w:themeColor="text2"/>
          <w:u w:val="single"/>
        </w:rPr>
        <w:t>First NAP (2010-13)</w:t>
      </w:r>
    </w:p>
    <w:p w14:paraId="732D787D" w14:textId="77777777" w:rsidR="000A1EA1" w:rsidRPr="000B2E6D" w:rsidRDefault="000A1EA1" w:rsidP="005C68CA">
      <w:pPr>
        <w:jc w:val="both"/>
        <w:rPr>
          <w:rFonts w:ascii="Calibri" w:hAnsi="Calibri"/>
          <w:b/>
          <w:u w:val="single"/>
        </w:rPr>
      </w:pPr>
    </w:p>
    <w:p w14:paraId="23233882" w14:textId="0BB473F0" w:rsidR="00464F1A" w:rsidRPr="000B2E6D" w:rsidRDefault="00E54487" w:rsidP="00530F89">
      <w:pPr>
        <w:spacing w:line="360" w:lineRule="auto"/>
        <w:jc w:val="both"/>
        <w:rPr>
          <w:rFonts w:ascii="Calibri" w:hAnsi="Calibri"/>
        </w:rPr>
      </w:pPr>
      <w:r w:rsidRPr="000B2E6D">
        <w:rPr>
          <w:rFonts w:ascii="Calibri" w:hAnsi="Calibri"/>
        </w:rPr>
        <w:t>The Gender Equality Agency and the Ministry of Human Rights and Refugees adopted the</w:t>
      </w:r>
      <w:r w:rsidR="00CB2ADD" w:rsidRPr="000B2E6D">
        <w:rPr>
          <w:rFonts w:ascii="Calibri" w:hAnsi="Calibri"/>
        </w:rPr>
        <w:t xml:space="preserve"> first</w:t>
      </w:r>
      <w:r w:rsidR="006B02AF" w:rsidRPr="000B2E6D">
        <w:rPr>
          <w:rFonts w:ascii="Calibri" w:hAnsi="Calibri"/>
        </w:rPr>
        <w:t xml:space="preserve"> </w:t>
      </w:r>
      <w:r w:rsidR="005C68CA" w:rsidRPr="000B2E6D">
        <w:rPr>
          <w:rFonts w:ascii="Calibri" w:hAnsi="Calibri"/>
        </w:rPr>
        <w:t>National Action Plan</w:t>
      </w:r>
      <w:r w:rsidR="00A55FED" w:rsidRPr="000B2E6D">
        <w:rPr>
          <w:rFonts w:ascii="Calibri" w:hAnsi="Calibri"/>
        </w:rPr>
        <w:t xml:space="preserve"> (NAP)</w:t>
      </w:r>
      <w:r w:rsidR="005C68CA" w:rsidRPr="000B2E6D">
        <w:rPr>
          <w:rFonts w:ascii="Calibri" w:hAnsi="Calibri"/>
        </w:rPr>
        <w:t xml:space="preserve"> </w:t>
      </w:r>
      <w:r w:rsidR="00464F1A" w:rsidRPr="000B2E6D">
        <w:rPr>
          <w:rFonts w:ascii="Calibri" w:hAnsi="Calibri"/>
        </w:rPr>
        <w:t xml:space="preserve">in </w:t>
      </w:r>
      <w:r w:rsidR="00806673" w:rsidRPr="000B2E6D">
        <w:rPr>
          <w:rFonts w:ascii="Calibri" w:hAnsi="Calibri"/>
        </w:rPr>
        <w:t>2010</w:t>
      </w:r>
      <w:r w:rsidR="00464F1A" w:rsidRPr="000B2E6D">
        <w:rPr>
          <w:rFonts w:ascii="Calibri" w:hAnsi="Calibri"/>
        </w:rPr>
        <w:t xml:space="preserve"> </w:t>
      </w:r>
      <w:r w:rsidRPr="000B2E6D">
        <w:rPr>
          <w:rFonts w:ascii="Calibri" w:hAnsi="Calibri"/>
        </w:rPr>
        <w:t>and a</w:t>
      </w:r>
      <w:r w:rsidR="00464F1A" w:rsidRPr="000B2E6D">
        <w:rPr>
          <w:rFonts w:ascii="Calibri" w:hAnsi="Calibri"/>
        </w:rPr>
        <w:t xml:space="preserve"> new NAP</w:t>
      </w:r>
      <w:r w:rsidR="006B02AF" w:rsidRPr="000B2E6D">
        <w:rPr>
          <w:rFonts w:ascii="Calibri" w:hAnsi="Calibri"/>
        </w:rPr>
        <w:t xml:space="preserve"> </w:t>
      </w:r>
      <w:r w:rsidR="006C491F" w:rsidRPr="000B2E6D">
        <w:rPr>
          <w:rFonts w:ascii="Calibri" w:hAnsi="Calibri"/>
        </w:rPr>
        <w:t xml:space="preserve">in 2014. </w:t>
      </w:r>
      <w:r w:rsidR="006B02AF" w:rsidRPr="000B2E6D">
        <w:rPr>
          <w:rFonts w:ascii="Calibri" w:hAnsi="Calibri"/>
        </w:rPr>
        <w:t>The first NAP had</w:t>
      </w:r>
      <w:r w:rsidR="006C491F" w:rsidRPr="000B2E6D">
        <w:rPr>
          <w:rFonts w:ascii="Calibri" w:hAnsi="Calibri"/>
        </w:rPr>
        <w:t xml:space="preserve"> f</w:t>
      </w:r>
      <w:r w:rsidR="005C68CA" w:rsidRPr="000B2E6D">
        <w:rPr>
          <w:rFonts w:ascii="Calibri" w:hAnsi="Calibri"/>
        </w:rPr>
        <w:t xml:space="preserve">ive focus areas: </w:t>
      </w:r>
      <w:r w:rsidR="00F608FB" w:rsidRPr="000B2E6D">
        <w:rPr>
          <w:rFonts w:ascii="Calibri" w:hAnsi="Calibri"/>
        </w:rPr>
        <w:t>W</w:t>
      </w:r>
      <w:r w:rsidR="00464F1A" w:rsidRPr="000B2E6D">
        <w:rPr>
          <w:rFonts w:ascii="Calibri" w:hAnsi="Calibri"/>
        </w:rPr>
        <w:t>omen’s p</w:t>
      </w:r>
      <w:r w:rsidR="005C68CA" w:rsidRPr="000B2E6D">
        <w:rPr>
          <w:rFonts w:ascii="Calibri" w:hAnsi="Calibri"/>
        </w:rPr>
        <w:t>ar</w:t>
      </w:r>
      <w:r w:rsidR="006C491F" w:rsidRPr="000B2E6D">
        <w:rPr>
          <w:rFonts w:ascii="Calibri" w:hAnsi="Calibri"/>
        </w:rPr>
        <w:t xml:space="preserve">ticipation </w:t>
      </w:r>
      <w:r w:rsidR="00464F1A" w:rsidRPr="000B2E6D">
        <w:rPr>
          <w:rFonts w:ascii="Calibri" w:hAnsi="Calibri"/>
        </w:rPr>
        <w:t>in p</w:t>
      </w:r>
      <w:r w:rsidR="006C491F" w:rsidRPr="000B2E6D">
        <w:rPr>
          <w:rFonts w:ascii="Calibri" w:hAnsi="Calibri"/>
        </w:rPr>
        <w:t>olitics;</w:t>
      </w:r>
      <w:r w:rsidR="005C68CA" w:rsidRPr="000B2E6D">
        <w:rPr>
          <w:rFonts w:ascii="Calibri" w:hAnsi="Calibri"/>
        </w:rPr>
        <w:t xml:space="preserve"> (2)</w:t>
      </w:r>
      <w:r w:rsidR="006C491F" w:rsidRPr="000B2E6D">
        <w:rPr>
          <w:rFonts w:ascii="Calibri" w:hAnsi="Calibri"/>
        </w:rPr>
        <w:t xml:space="preserve"> </w:t>
      </w:r>
      <w:r w:rsidR="00F608FB" w:rsidRPr="000B2E6D">
        <w:rPr>
          <w:rFonts w:ascii="Calibri" w:hAnsi="Calibri"/>
        </w:rPr>
        <w:t>M</w:t>
      </w:r>
      <w:r w:rsidR="006C491F" w:rsidRPr="000B2E6D">
        <w:rPr>
          <w:rFonts w:ascii="Calibri" w:hAnsi="Calibri"/>
        </w:rPr>
        <w:t xml:space="preserve">ilitary and </w:t>
      </w:r>
      <w:r w:rsidR="00F608FB" w:rsidRPr="000B2E6D">
        <w:rPr>
          <w:rFonts w:ascii="Calibri" w:hAnsi="Calibri"/>
        </w:rPr>
        <w:t>police structures; (3) P</w:t>
      </w:r>
      <w:r w:rsidR="006C491F" w:rsidRPr="000B2E6D">
        <w:rPr>
          <w:rFonts w:ascii="Calibri" w:hAnsi="Calibri"/>
        </w:rPr>
        <w:t>eacekeeping;</w:t>
      </w:r>
      <w:r w:rsidR="005C68CA" w:rsidRPr="000B2E6D">
        <w:rPr>
          <w:rFonts w:ascii="Calibri" w:hAnsi="Calibri"/>
        </w:rPr>
        <w:t xml:space="preserve"> (4) </w:t>
      </w:r>
      <w:r w:rsidR="00F608FB" w:rsidRPr="000B2E6D">
        <w:rPr>
          <w:rFonts w:ascii="Calibri" w:hAnsi="Calibri"/>
        </w:rPr>
        <w:t>T</w:t>
      </w:r>
      <w:r w:rsidR="005C68CA" w:rsidRPr="000B2E6D">
        <w:rPr>
          <w:rFonts w:ascii="Calibri" w:hAnsi="Calibri"/>
        </w:rPr>
        <w:t>rafficking</w:t>
      </w:r>
      <w:r w:rsidR="006C491F" w:rsidRPr="000B2E6D">
        <w:rPr>
          <w:rFonts w:ascii="Calibri" w:hAnsi="Calibri"/>
        </w:rPr>
        <w:t>;</w:t>
      </w:r>
      <w:r w:rsidR="00F608FB" w:rsidRPr="000B2E6D">
        <w:rPr>
          <w:rFonts w:ascii="Calibri" w:hAnsi="Calibri"/>
        </w:rPr>
        <w:t xml:space="preserve"> and (5) S</w:t>
      </w:r>
      <w:r w:rsidR="00464F1A" w:rsidRPr="000B2E6D">
        <w:rPr>
          <w:rFonts w:ascii="Calibri" w:hAnsi="Calibri"/>
        </w:rPr>
        <w:t>urvivors of wartime sexual vi</w:t>
      </w:r>
      <w:r w:rsidR="005C68CA" w:rsidRPr="000B2E6D">
        <w:rPr>
          <w:rFonts w:ascii="Calibri" w:hAnsi="Calibri"/>
        </w:rPr>
        <w:t xml:space="preserve">olence. </w:t>
      </w:r>
    </w:p>
    <w:p w14:paraId="1F884C94" w14:textId="77777777" w:rsidR="00464F1A" w:rsidRPr="000B2E6D" w:rsidRDefault="00464F1A" w:rsidP="00CB2ADD">
      <w:pPr>
        <w:jc w:val="both"/>
        <w:rPr>
          <w:rFonts w:ascii="Calibri" w:hAnsi="Calibri"/>
        </w:rPr>
      </w:pPr>
    </w:p>
    <w:p w14:paraId="5F8912E7" w14:textId="6D794847" w:rsidR="000A1EA1" w:rsidRPr="000B2E6D" w:rsidRDefault="000A1EA1" w:rsidP="000A1EA1">
      <w:pPr>
        <w:jc w:val="both"/>
        <w:rPr>
          <w:rFonts w:ascii="Calibri" w:hAnsi="Calibri"/>
          <w:b/>
          <w:color w:val="1F497D" w:themeColor="text2"/>
          <w:u w:val="single"/>
        </w:rPr>
      </w:pPr>
      <w:r w:rsidRPr="000B2E6D">
        <w:rPr>
          <w:rFonts w:ascii="Calibri" w:hAnsi="Calibri"/>
          <w:b/>
          <w:color w:val="1F497D" w:themeColor="text2"/>
          <w:u w:val="single"/>
        </w:rPr>
        <w:t>Second NAP (2014-17)</w:t>
      </w:r>
    </w:p>
    <w:p w14:paraId="6810974B" w14:textId="77777777" w:rsidR="000A1EA1" w:rsidRPr="000B2E6D" w:rsidRDefault="000A1EA1" w:rsidP="00CB2ADD">
      <w:pPr>
        <w:jc w:val="both"/>
        <w:rPr>
          <w:rFonts w:ascii="Calibri" w:hAnsi="Calibri"/>
        </w:rPr>
      </w:pPr>
    </w:p>
    <w:p w14:paraId="7A1A8CD0" w14:textId="77777777" w:rsidR="00EC1751" w:rsidRPr="000B2E6D" w:rsidRDefault="00EC1751" w:rsidP="00530F89">
      <w:pPr>
        <w:spacing w:line="360" w:lineRule="auto"/>
        <w:jc w:val="both"/>
        <w:rPr>
          <w:rFonts w:ascii="Calibri" w:hAnsi="Calibri"/>
        </w:rPr>
      </w:pPr>
      <w:r w:rsidRPr="000B2E6D">
        <w:rPr>
          <w:rFonts w:ascii="Calibri" w:hAnsi="Calibri"/>
        </w:rPr>
        <w:t xml:space="preserve">The current NAP’s three priorities are the three “Ps” of the SCR 1325’s pillars: (1) Equal participation; (2) Prevention; and (3) Protection.  The new NAP is notable for: sparking cross-regional cooperation among former enemies; inclusive drafting process led by the Gender Equality Agency involving a coordination </w:t>
      </w:r>
      <w:r w:rsidRPr="000B2E6D">
        <w:rPr>
          <w:rFonts w:ascii="Calibri" w:hAnsi="Calibri"/>
        </w:rPr>
        <w:lastRenderedPageBreak/>
        <w:t>board of 14 ministries and agencies and civil society; and significant monitoring and evaluation elements that consider lessons learned from the first NAP.</w:t>
      </w:r>
      <w:r w:rsidRPr="000B2E6D">
        <w:rPr>
          <w:rStyle w:val="FootnoteReference"/>
          <w:rFonts w:ascii="Calibri" w:hAnsi="Calibri"/>
        </w:rPr>
        <w:footnoteReference w:id="209"/>
      </w:r>
      <w:r w:rsidRPr="000B2E6D">
        <w:rPr>
          <w:rFonts w:ascii="Calibri" w:hAnsi="Calibri"/>
        </w:rPr>
        <w:t xml:space="preserve">  </w:t>
      </w:r>
    </w:p>
    <w:p w14:paraId="32BC3A6F" w14:textId="77777777" w:rsidR="00EC1751" w:rsidRPr="000B2E6D" w:rsidRDefault="00EC1751" w:rsidP="00CB2ADD">
      <w:pPr>
        <w:jc w:val="both"/>
        <w:rPr>
          <w:rFonts w:ascii="Calibri" w:hAnsi="Calibri"/>
        </w:rPr>
      </w:pPr>
    </w:p>
    <w:p w14:paraId="7B2D61BB" w14:textId="1B49F286" w:rsidR="00CB2ADD" w:rsidRPr="000B2E6D" w:rsidRDefault="00D93AA8" w:rsidP="00530F89">
      <w:pPr>
        <w:spacing w:line="360" w:lineRule="auto"/>
        <w:jc w:val="both"/>
        <w:rPr>
          <w:rFonts w:ascii="Calibri" w:hAnsi="Calibri"/>
        </w:rPr>
      </w:pPr>
      <w:r w:rsidRPr="000B2E6D">
        <w:rPr>
          <w:rFonts w:ascii="Calibri" w:hAnsi="Calibri"/>
        </w:rPr>
        <w:t xml:space="preserve">The </w:t>
      </w:r>
      <w:r w:rsidR="00E37292" w:rsidRPr="000B2E6D">
        <w:rPr>
          <w:rFonts w:ascii="Calibri" w:hAnsi="Calibri"/>
        </w:rPr>
        <w:t xml:space="preserve">new </w:t>
      </w:r>
      <w:r w:rsidRPr="000B2E6D">
        <w:rPr>
          <w:rFonts w:ascii="Calibri" w:hAnsi="Calibri"/>
        </w:rPr>
        <w:t xml:space="preserve">NAP </w:t>
      </w:r>
      <w:r w:rsidR="00DC5DE2" w:rsidRPr="000B2E6D">
        <w:rPr>
          <w:rFonts w:ascii="Calibri" w:hAnsi="Calibri"/>
        </w:rPr>
        <w:t>focuses</w:t>
      </w:r>
      <w:r w:rsidRPr="000B2E6D">
        <w:rPr>
          <w:rFonts w:ascii="Calibri" w:hAnsi="Calibri"/>
        </w:rPr>
        <w:t xml:space="preserve"> on lessons learned</w:t>
      </w:r>
      <w:r w:rsidR="00DC5DE2" w:rsidRPr="000B2E6D">
        <w:rPr>
          <w:rFonts w:ascii="Calibri" w:hAnsi="Calibri"/>
        </w:rPr>
        <w:t>. It</w:t>
      </w:r>
      <w:r w:rsidR="00EA481B" w:rsidRPr="000B2E6D">
        <w:rPr>
          <w:rFonts w:ascii="Calibri" w:hAnsi="Calibri"/>
        </w:rPr>
        <w:t xml:space="preserve"> is the only </w:t>
      </w:r>
      <w:r w:rsidR="00E54487" w:rsidRPr="000B2E6D">
        <w:rPr>
          <w:rFonts w:ascii="Calibri" w:hAnsi="Calibri"/>
        </w:rPr>
        <w:t>case study</w:t>
      </w:r>
      <w:r w:rsidR="00EA481B" w:rsidRPr="000B2E6D">
        <w:rPr>
          <w:rFonts w:ascii="Calibri" w:hAnsi="Calibri"/>
        </w:rPr>
        <w:t xml:space="preserve"> t</w:t>
      </w:r>
      <w:r w:rsidR="00E37292" w:rsidRPr="000B2E6D">
        <w:rPr>
          <w:rFonts w:ascii="Calibri" w:hAnsi="Calibri"/>
        </w:rPr>
        <w:t>o</w:t>
      </w:r>
      <w:r w:rsidR="00393698" w:rsidRPr="000B2E6D">
        <w:rPr>
          <w:rFonts w:ascii="Calibri" w:hAnsi="Calibri"/>
        </w:rPr>
        <w:t xml:space="preserve"> specifically</w:t>
      </w:r>
      <w:r w:rsidR="00AC1ED9" w:rsidRPr="000B2E6D">
        <w:rPr>
          <w:rFonts w:ascii="Calibri" w:hAnsi="Calibri"/>
        </w:rPr>
        <w:t xml:space="preserve"> </w:t>
      </w:r>
      <w:r w:rsidR="00EA481B" w:rsidRPr="000B2E6D">
        <w:rPr>
          <w:rFonts w:ascii="Calibri" w:hAnsi="Calibri"/>
        </w:rPr>
        <w:t>incorporate</w:t>
      </w:r>
      <w:r w:rsidR="00AC1ED9" w:rsidRPr="000B2E6D">
        <w:rPr>
          <w:rFonts w:ascii="Calibri" w:hAnsi="Calibri"/>
        </w:rPr>
        <w:t xml:space="preserve"> the CEDAW Committee’s r</w:t>
      </w:r>
      <w:r w:rsidR="00EA481B" w:rsidRPr="000B2E6D">
        <w:rPr>
          <w:rFonts w:ascii="Calibri" w:hAnsi="Calibri"/>
        </w:rPr>
        <w:t>ecommendations</w:t>
      </w:r>
      <w:r w:rsidR="00AC1ED9" w:rsidRPr="000B2E6D">
        <w:rPr>
          <w:rFonts w:ascii="Calibri" w:hAnsi="Calibri"/>
        </w:rPr>
        <w:t xml:space="preserve">, and the wider international legal framework on </w:t>
      </w:r>
      <w:r w:rsidR="00DC5DE2" w:rsidRPr="000B2E6D">
        <w:rPr>
          <w:rFonts w:ascii="Calibri" w:hAnsi="Calibri"/>
        </w:rPr>
        <w:t>WPS</w:t>
      </w:r>
      <w:r w:rsidR="00AC1ED9" w:rsidRPr="000B2E6D">
        <w:rPr>
          <w:rFonts w:ascii="Calibri" w:hAnsi="Calibri"/>
        </w:rPr>
        <w:t xml:space="preserve">. </w:t>
      </w:r>
      <w:r w:rsidR="00E54487" w:rsidRPr="000B2E6D">
        <w:rPr>
          <w:rFonts w:ascii="Calibri" w:hAnsi="Calibri"/>
        </w:rPr>
        <w:t>The NAP</w:t>
      </w:r>
      <w:r w:rsidR="00AC1ED9" w:rsidRPr="000B2E6D">
        <w:rPr>
          <w:rFonts w:ascii="Calibri" w:hAnsi="Calibri"/>
        </w:rPr>
        <w:t xml:space="preserve"> explicitly </w:t>
      </w:r>
      <w:r w:rsidR="00DC5DE2" w:rsidRPr="000B2E6D">
        <w:rPr>
          <w:rFonts w:ascii="Calibri" w:hAnsi="Calibri"/>
        </w:rPr>
        <w:t xml:space="preserve">includes </w:t>
      </w:r>
      <w:r w:rsidR="00AC1ED9" w:rsidRPr="000B2E6D">
        <w:rPr>
          <w:rFonts w:ascii="Calibri" w:hAnsi="Calibri"/>
        </w:rPr>
        <w:t xml:space="preserve">the international and domestic legal frameworks on </w:t>
      </w:r>
      <w:r w:rsidR="00DC5DE2" w:rsidRPr="000B2E6D">
        <w:rPr>
          <w:rFonts w:ascii="Calibri" w:hAnsi="Calibri"/>
        </w:rPr>
        <w:t>WPS</w:t>
      </w:r>
      <w:r w:rsidR="00AC1ED9" w:rsidRPr="000B2E6D">
        <w:rPr>
          <w:rFonts w:ascii="Calibri" w:hAnsi="Calibri"/>
        </w:rPr>
        <w:t xml:space="preserve"> </w:t>
      </w:r>
      <w:r w:rsidR="00C70E8B" w:rsidRPr="000B2E6D">
        <w:rPr>
          <w:rFonts w:ascii="Calibri" w:hAnsi="Calibri"/>
        </w:rPr>
        <w:t xml:space="preserve">that </w:t>
      </w:r>
      <w:r w:rsidR="00AC1ED9" w:rsidRPr="000B2E6D">
        <w:rPr>
          <w:rFonts w:ascii="Calibri" w:hAnsi="Calibri"/>
        </w:rPr>
        <w:t xml:space="preserve">underpin its protections. </w:t>
      </w:r>
      <w:r w:rsidR="00C70E8B" w:rsidRPr="000B2E6D">
        <w:rPr>
          <w:rFonts w:ascii="Calibri" w:hAnsi="Calibri"/>
        </w:rPr>
        <w:t>The</w:t>
      </w:r>
      <w:r w:rsidR="00E7296F" w:rsidRPr="000B2E6D">
        <w:rPr>
          <w:rFonts w:ascii="Calibri" w:hAnsi="Calibri"/>
        </w:rPr>
        <w:t xml:space="preserve"> </w:t>
      </w:r>
      <w:r w:rsidR="00E37292" w:rsidRPr="000B2E6D">
        <w:rPr>
          <w:rFonts w:ascii="Calibri" w:hAnsi="Calibri"/>
        </w:rPr>
        <w:t>NAP incorporates the CEDAW Committee’s Concluding Observations on the state reports of BiH on women in post-conflict situations, trafficking and women’s participation in public and political life.</w:t>
      </w:r>
      <w:r w:rsidR="00E54487" w:rsidRPr="000B2E6D">
        <w:rPr>
          <w:rStyle w:val="FootnoteReference"/>
          <w:rFonts w:ascii="Calibri" w:hAnsi="Calibri"/>
        </w:rPr>
        <w:footnoteReference w:id="210"/>
      </w:r>
      <w:r w:rsidR="00EA481B" w:rsidRPr="000B2E6D">
        <w:rPr>
          <w:rFonts w:ascii="Calibri" w:hAnsi="Calibri"/>
        </w:rPr>
        <w:t xml:space="preserve"> While it is too early to assess the implementation of </w:t>
      </w:r>
      <w:r w:rsidR="00EC1751" w:rsidRPr="000B2E6D">
        <w:rPr>
          <w:rFonts w:ascii="Calibri" w:hAnsi="Calibri"/>
        </w:rPr>
        <w:t>this</w:t>
      </w:r>
      <w:r w:rsidR="00EA481B" w:rsidRPr="000B2E6D">
        <w:rPr>
          <w:rFonts w:ascii="Calibri" w:hAnsi="Calibri"/>
        </w:rPr>
        <w:t xml:space="preserve"> NAP, </w:t>
      </w:r>
      <w:r w:rsidR="00E54487" w:rsidRPr="000B2E6D">
        <w:rPr>
          <w:rFonts w:ascii="Calibri" w:hAnsi="Calibri"/>
        </w:rPr>
        <w:t xml:space="preserve">by including </w:t>
      </w:r>
      <w:r w:rsidR="00B84CCF" w:rsidRPr="000B2E6D">
        <w:rPr>
          <w:rFonts w:ascii="Calibri" w:hAnsi="Calibri"/>
        </w:rPr>
        <w:t xml:space="preserve">the CEDAW Committee’s recommendations, BiH is tackling </w:t>
      </w:r>
      <w:r w:rsidR="00DC5DE2" w:rsidRPr="000B2E6D">
        <w:rPr>
          <w:rFonts w:ascii="Calibri" w:hAnsi="Calibri"/>
        </w:rPr>
        <w:t xml:space="preserve">its post-conflict </w:t>
      </w:r>
      <w:r w:rsidR="00B84CCF" w:rsidRPr="000B2E6D">
        <w:rPr>
          <w:rFonts w:ascii="Calibri" w:hAnsi="Calibri"/>
        </w:rPr>
        <w:t xml:space="preserve">issues </w:t>
      </w:r>
      <w:r w:rsidR="00EC1751" w:rsidRPr="000B2E6D">
        <w:rPr>
          <w:rFonts w:ascii="Calibri" w:hAnsi="Calibri"/>
        </w:rPr>
        <w:t>in direct response to its</w:t>
      </w:r>
      <w:r w:rsidR="00DC5DE2" w:rsidRPr="000B2E6D">
        <w:rPr>
          <w:rFonts w:ascii="Calibri" w:hAnsi="Calibri"/>
        </w:rPr>
        <w:t xml:space="preserve"> international obligations</w:t>
      </w:r>
      <w:r w:rsidR="00B84CCF" w:rsidRPr="000B2E6D">
        <w:rPr>
          <w:rFonts w:ascii="Calibri" w:hAnsi="Calibri"/>
        </w:rPr>
        <w:t xml:space="preserve">. These include a comprehensive approach to improve the status and position of women victims of war, including addressing the stigma </w:t>
      </w:r>
      <w:r w:rsidR="00EC1751" w:rsidRPr="000B2E6D">
        <w:rPr>
          <w:rFonts w:ascii="Calibri" w:hAnsi="Calibri"/>
        </w:rPr>
        <w:t>of</w:t>
      </w:r>
      <w:r w:rsidR="00B84CCF" w:rsidRPr="000B2E6D">
        <w:rPr>
          <w:rFonts w:ascii="Calibri" w:hAnsi="Calibri"/>
        </w:rPr>
        <w:t xml:space="preserve"> SGBV, and measures to support </w:t>
      </w:r>
      <w:r w:rsidR="00EC1751" w:rsidRPr="000B2E6D">
        <w:rPr>
          <w:rFonts w:ascii="Calibri" w:hAnsi="Calibri"/>
        </w:rPr>
        <w:t>victim</w:t>
      </w:r>
      <w:r w:rsidR="00B84CCF" w:rsidRPr="000B2E6D">
        <w:rPr>
          <w:rFonts w:ascii="Calibri" w:hAnsi="Calibri"/>
        </w:rPr>
        <w:t xml:space="preserve"> rehabilitation and ensure equal access to services no matter where </w:t>
      </w:r>
      <w:r w:rsidR="00EC1751" w:rsidRPr="000B2E6D">
        <w:rPr>
          <w:rFonts w:ascii="Calibri" w:hAnsi="Calibri"/>
        </w:rPr>
        <w:t>victims</w:t>
      </w:r>
      <w:r w:rsidR="00B84CCF" w:rsidRPr="000B2E6D">
        <w:rPr>
          <w:rFonts w:ascii="Calibri" w:hAnsi="Calibri"/>
        </w:rPr>
        <w:t xml:space="preserve"> live.</w:t>
      </w:r>
      <w:r w:rsidR="00B84CCF" w:rsidRPr="000B2E6D">
        <w:rPr>
          <w:rStyle w:val="FootnoteReference"/>
          <w:rFonts w:ascii="Calibri" w:hAnsi="Calibri"/>
        </w:rPr>
        <w:footnoteReference w:id="211"/>
      </w:r>
    </w:p>
    <w:p w14:paraId="52EAB3AC" w14:textId="77777777" w:rsidR="005C68CA" w:rsidRPr="000B2E6D" w:rsidRDefault="005C68CA" w:rsidP="005C68CA">
      <w:pPr>
        <w:jc w:val="both"/>
        <w:rPr>
          <w:rFonts w:ascii="Calibri" w:hAnsi="Calibri"/>
          <w:b/>
        </w:rPr>
      </w:pPr>
    </w:p>
    <w:p w14:paraId="10FBA0A8" w14:textId="02BB46D6" w:rsidR="005C68CA" w:rsidRPr="000B2E6D" w:rsidRDefault="005C68CA" w:rsidP="007F364C">
      <w:pPr>
        <w:pStyle w:val="ListParagraph"/>
        <w:numPr>
          <w:ilvl w:val="0"/>
          <w:numId w:val="12"/>
        </w:numPr>
        <w:jc w:val="both"/>
        <w:rPr>
          <w:rFonts w:ascii="Calibri" w:hAnsi="Calibri"/>
          <w:b/>
          <w:color w:val="1F497D" w:themeColor="text2"/>
        </w:rPr>
      </w:pPr>
      <w:r w:rsidRPr="000B2E6D">
        <w:rPr>
          <w:rFonts w:ascii="Calibri" w:hAnsi="Calibri"/>
          <w:b/>
          <w:color w:val="1F497D" w:themeColor="text2"/>
        </w:rPr>
        <w:t xml:space="preserve">Implementation of the </w:t>
      </w:r>
      <w:r w:rsidR="00247D34" w:rsidRPr="000B2E6D">
        <w:rPr>
          <w:rFonts w:ascii="Calibri" w:hAnsi="Calibri"/>
          <w:b/>
          <w:color w:val="1F497D" w:themeColor="text2"/>
        </w:rPr>
        <w:t xml:space="preserve">First </w:t>
      </w:r>
      <w:r w:rsidRPr="000B2E6D">
        <w:rPr>
          <w:rFonts w:ascii="Calibri" w:hAnsi="Calibri"/>
          <w:b/>
          <w:color w:val="1F497D" w:themeColor="text2"/>
        </w:rPr>
        <w:t>NAP by the Government, Development Agencies and Civil Society</w:t>
      </w:r>
    </w:p>
    <w:p w14:paraId="204F1856" w14:textId="77777777" w:rsidR="005C68CA" w:rsidRPr="000B2E6D" w:rsidRDefault="005C68CA" w:rsidP="005C68CA">
      <w:pPr>
        <w:jc w:val="both"/>
        <w:rPr>
          <w:rFonts w:ascii="Calibri" w:hAnsi="Calibri"/>
          <w:u w:val="single"/>
        </w:rPr>
      </w:pPr>
    </w:p>
    <w:p w14:paraId="156563C7" w14:textId="63361E38" w:rsidR="005C68CA" w:rsidRPr="000B2E6D" w:rsidRDefault="000F406A" w:rsidP="005C68CA">
      <w:pPr>
        <w:jc w:val="both"/>
        <w:rPr>
          <w:rFonts w:ascii="Calibri" w:hAnsi="Calibri"/>
          <w:b/>
          <w:color w:val="1F497D" w:themeColor="text2"/>
          <w:u w:val="single"/>
        </w:rPr>
      </w:pPr>
      <w:r w:rsidRPr="000B2E6D">
        <w:rPr>
          <w:rFonts w:ascii="Calibri" w:hAnsi="Calibri"/>
          <w:b/>
          <w:color w:val="1F497D" w:themeColor="text2"/>
          <w:u w:val="single"/>
        </w:rPr>
        <w:t xml:space="preserve">Government </w:t>
      </w:r>
    </w:p>
    <w:p w14:paraId="6DB1762C" w14:textId="77777777" w:rsidR="005C68CA" w:rsidRPr="000B2E6D" w:rsidRDefault="005C68CA" w:rsidP="005C68CA">
      <w:pPr>
        <w:jc w:val="both"/>
        <w:rPr>
          <w:rFonts w:ascii="Calibri" w:hAnsi="Calibri"/>
          <w:u w:val="single"/>
        </w:rPr>
      </w:pPr>
    </w:p>
    <w:p w14:paraId="315075FF" w14:textId="1545A042" w:rsidR="00C00356" w:rsidRPr="000B2E6D" w:rsidRDefault="00B97296" w:rsidP="00530F89">
      <w:pPr>
        <w:spacing w:line="360" w:lineRule="auto"/>
        <w:jc w:val="both"/>
        <w:rPr>
          <w:rFonts w:ascii="Calibri" w:hAnsi="Calibri"/>
        </w:rPr>
      </w:pPr>
      <w:r w:rsidRPr="000B2E6D">
        <w:rPr>
          <w:rFonts w:ascii="Calibri" w:hAnsi="Calibri"/>
        </w:rPr>
        <w:t xml:space="preserve">Several </w:t>
      </w:r>
      <w:r w:rsidRPr="000B2E6D">
        <w:rPr>
          <w:rFonts w:ascii="Calibri" w:hAnsi="Calibri"/>
          <w:b/>
          <w:color w:val="4F81BD" w:themeColor="accent1"/>
        </w:rPr>
        <w:t>constitutional</w:t>
      </w:r>
      <w:r w:rsidRPr="000B2E6D">
        <w:rPr>
          <w:rFonts w:ascii="Calibri" w:hAnsi="Calibri"/>
        </w:rPr>
        <w:t xml:space="preserve"> and </w:t>
      </w:r>
      <w:r w:rsidRPr="000B2E6D">
        <w:rPr>
          <w:rFonts w:ascii="Calibri" w:hAnsi="Calibri"/>
          <w:b/>
          <w:color w:val="4F81BD" w:themeColor="accent1"/>
        </w:rPr>
        <w:t xml:space="preserve">legal measures </w:t>
      </w:r>
      <w:r w:rsidR="005C68CA" w:rsidRPr="000B2E6D">
        <w:rPr>
          <w:rFonts w:ascii="Calibri" w:hAnsi="Calibri"/>
        </w:rPr>
        <w:t xml:space="preserve">contribute to the Government’s duty to implement </w:t>
      </w:r>
      <w:r w:rsidR="00B77924" w:rsidRPr="000B2E6D">
        <w:rPr>
          <w:rFonts w:ascii="Calibri" w:hAnsi="Calibri"/>
        </w:rPr>
        <w:t>SCR</w:t>
      </w:r>
      <w:r w:rsidR="005C68CA" w:rsidRPr="000B2E6D">
        <w:rPr>
          <w:rFonts w:ascii="Calibri" w:hAnsi="Calibri"/>
        </w:rPr>
        <w:t xml:space="preserve"> 1325. </w:t>
      </w:r>
      <w:r w:rsidR="00C00356" w:rsidRPr="000B2E6D">
        <w:rPr>
          <w:rFonts w:ascii="Calibri" w:hAnsi="Calibri"/>
        </w:rPr>
        <w:t xml:space="preserve">Despite these measures, there has been limited success in implementing the first NAP. As in the DRC, government initiatives must be understood against a context of </w:t>
      </w:r>
      <w:r w:rsidR="00C00356" w:rsidRPr="000B2E6D">
        <w:rPr>
          <w:rFonts w:ascii="Calibri" w:hAnsi="Calibri"/>
          <w:b/>
          <w:color w:val="4F81BD" w:themeColor="accent1"/>
        </w:rPr>
        <w:t>women’s low levels of political participation</w:t>
      </w:r>
      <w:r w:rsidR="00C00356" w:rsidRPr="000B2E6D">
        <w:rPr>
          <w:rFonts w:ascii="Calibri" w:hAnsi="Calibri"/>
          <w:color w:val="4F81BD" w:themeColor="accent1"/>
        </w:rPr>
        <w:t xml:space="preserve">, </w:t>
      </w:r>
      <w:r w:rsidR="00C00356" w:rsidRPr="000B2E6D">
        <w:rPr>
          <w:rFonts w:ascii="Calibri" w:hAnsi="Calibri"/>
          <w:b/>
          <w:color w:val="4F81BD" w:themeColor="accent1"/>
        </w:rPr>
        <w:t>and a</w:t>
      </w:r>
      <w:r w:rsidR="00C00356" w:rsidRPr="000B2E6D">
        <w:rPr>
          <w:rFonts w:ascii="Calibri" w:hAnsi="Calibri"/>
          <w:color w:val="4F81BD" w:themeColor="accent1"/>
        </w:rPr>
        <w:t xml:space="preserve"> </w:t>
      </w:r>
      <w:r w:rsidR="00C00356" w:rsidRPr="000B2E6D">
        <w:rPr>
          <w:rFonts w:ascii="Calibri" w:hAnsi="Calibri"/>
          <w:b/>
          <w:color w:val="4F81BD" w:themeColor="accent1"/>
        </w:rPr>
        <w:t>lack of access to justice for victims and survivors of SGBV</w:t>
      </w:r>
      <w:r w:rsidR="00C00356" w:rsidRPr="000B2E6D">
        <w:rPr>
          <w:rFonts w:ascii="Calibri" w:hAnsi="Calibri"/>
        </w:rPr>
        <w:t>.</w:t>
      </w:r>
    </w:p>
    <w:p w14:paraId="77D886AD" w14:textId="77777777" w:rsidR="00C00356" w:rsidRPr="000B2E6D" w:rsidRDefault="00C00356" w:rsidP="005C68CA">
      <w:pPr>
        <w:jc w:val="both"/>
        <w:rPr>
          <w:rFonts w:ascii="Calibri" w:hAnsi="Calibri"/>
        </w:rPr>
      </w:pPr>
    </w:p>
    <w:p w14:paraId="4C0F6E9E" w14:textId="450310E3" w:rsidR="005C68CA" w:rsidRPr="000B2E6D" w:rsidRDefault="005C68CA" w:rsidP="00530F89">
      <w:pPr>
        <w:spacing w:line="360" w:lineRule="auto"/>
        <w:jc w:val="both"/>
        <w:rPr>
          <w:rFonts w:ascii="Calibri" w:hAnsi="Calibri"/>
        </w:rPr>
      </w:pPr>
      <w:r w:rsidRPr="000B2E6D">
        <w:rPr>
          <w:rFonts w:ascii="Calibri" w:hAnsi="Calibri"/>
        </w:rPr>
        <w:t>At the</w:t>
      </w:r>
      <w:r w:rsidRPr="000B2E6D">
        <w:rPr>
          <w:rFonts w:ascii="Calibri" w:hAnsi="Calibri"/>
          <w:color w:val="4F81BD" w:themeColor="accent1"/>
        </w:rPr>
        <w:t xml:space="preserve"> </w:t>
      </w:r>
      <w:r w:rsidRPr="000B2E6D">
        <w:rPr>
          <w:rFonts w:ascii="Calibri" w:hAnsi="Calibri"/>
          <w:b/>
          <w:color w:val="4F81BD" w:themeColor="accent1"/>
        </w:rPr>
        <w:t>constitutional</w:t>
      </w:r>
      <w:r w:rsidRPr="000B2E6D">
        <w:rPr>
          <w:rFonts w:ascii="Calibri" w:hAnsi="Calibri"/>
        </w:rPr>
        <w:t xml:space="preserve"> level, there are prov</w:t>
      </w:r>
      <w:r w:rsidR="00B77924" w:rsidRPr="000B2E6D">
        <w:rPr>
          <w:rFonts w:ascii="Calibri" w:hAnsi="Calibri"/>
        </w:rPr>
        <w:t xml:space="preserve">isions </w:t>
      </w:r>
      <w:r w:rsidR="00C70E8B" w:rsidRPr="000B2E6D">
        <w:rPr>
          <w:rFonts w:ascii="Calibri" w:hAnsi="Calibri"/>
        </w:rPr>
        <w:t>on</w:t>
      </w:r>
      <w:r w:rsidR="00B77924" w:rsidRPr="000B2E6D">
        <w:rPr>
          <w:rFonts w:ascii="Calibri" w:hAnsi="Calibri"/>
        </w:rPr>
        <w:t xml:space="preserve"> equality in t</w:t>
      </w:r>
      <w:r w:rsidRPr="000B2E6D">
        <w:rPr>
          <w:rFonts w:ascii="Calibri" w:hAnsi="Calibri"/>
        </w:rPr>
        <w:t>he Constitution</w:t>
      </w:r>
      <w:r w:rsidR="00B77924" w:rsidRPr="000B2E6D">
        <w:rPr>
          <w:rFonts w:ascii="Calibri" w:hAnsi="Calibri"/>
        </w:rPr>
        <w:t>s</w:t>
      </w:r>
      <w:r w:rsidRPr="000B2E6D">
        <w:rPr>
          <w:rFonts w:ascii="Calibri" w:hAnsi="Calibri"/>
        </w:rPr>
        <w:t xml:space="preserve"> of</w:t>
      </w:r>
      <w:r w:rsidR="00B77924" w:rsidRPr="000B2E6D">
        <w:rPr>
          <w:rFonts w:ascii="Calibri" w:hAnsi="Calibri"/>
        </w:rPr>
        <w:t>:</w:t>
      </w:r>
      <w:r w:rsidRPr="000B2E6D">
        <w:rPr>
          <w:rFonts w:ascii="Calibri" w:hAnsi="Calibri"/>
        </w:rPr>
        <w:t xml:space="preserve"> </w:t>
      </w:r>
      <w:r w:rsidR="00E241BA" w:rsidRPr="000B2E6D">
        <w:rPr>
          <w:rFonts w:ascii="Calibri" w:hAnsi="Calibri"/>
        </w:rPr>
        <w:t>BiH</w:t>
      </w:r>
      <w:r w:rsidR="00B77924" w:rsidRPr="000B2E6D">
        <w:rPr>
          <w:rFonts w:ascii="Calibri" w:hAnsi="Calibri"/>
        </w:rPr>
        <w:t>;</w:t>
      </w:r>
      <w:r w:rsidRPr="000B2E6D">
        <w:rPr>
          <w:rFonts w:ascii="Calibri" w:hAnsi="Calibri"/>
        </w:rPr>
        <w:t xml:space="preserve"> the Federation of </w:t>
      </w:r>
      <w:r w:rsidR="00E241BA" w:rsidRPr="000B2E6D">
        <w:rPr>
          <w:rFonts w:ascii="Calibri" w:hAnsi="Calibri"/>
        </w:rPr>
        <w:t>BiH</w:t>
      </w:r>
      <w:r w:rsidR="00B77924" w:rsidRPr="000B2E6D">
        <w:rPr>
          <w:rFonts w:ascii="Calibri" w:hAnsi="Calibri"/>
        </w:rPr>
        <w:t>;</w:t>
      </w:r>
      <w:r w:rsidRPr="000B2E6D">
        <w:rPr>
          <w:rFonts w:ascii="Calibri" w:hAnsi="Calibri"/>
        </w:rPr>
        <w:t xml:space="preserve"> </w:t>
      </w:r>
      <w:r w:rsidR="00B77924" w:rsidRPr="000B2E6D">
        <w:rPr>
          <w:rFonts w:ascii="Calibri" w:hAnsi="Calibri"/>
        </w:rPr>
        <w:t xml:space="preserve">and </w:t>
      </w:r>
      <w:r w:rsidRPr="000B2E6D">
        <w:rPr>
          <w:rFonts w:ascii="Calibri" w:hAnsi="Calibri"/>
        </w:rPr>
        <w:t>the Republika Srpska</w:t>
      </w:r>
      <w:r w:rsidR="00B77924" w:rsidRPr="000B2E6D">
        <w:rPr>
          <w:rFonts w:ascii="Calibri" w:hAnsi="Calibri"/>
        </w:rPr>
        <w:t>;</w:t>
      </w:r>
      <w:r w:rsidR="00DC5DE2" w:rsidRPr="000B2E6D">
        <w:rPr>
          <w:rFonts w:ascii="Calibri" w:hAnsi="Calibri"/>
        </w:rPr>
        <w:t xml:space="preserve"> as well as</w:t>
      </w:r>
      <w:r w:rsidRPr="000B2E6D">
        <w:rPr>
          <w:rFonts w:ascii="Calibri" w:hAnsi="Calibri"/>
        </w:rPr>
        <w:t xml:space="preserve"> the Statute of Brčko District. However, </w:t>
      </w:r>
      <w:r w:rsidR="00C70E8B" w:rsidRPr="000B2E6D">
        <w:rPr>
          <w:rFonts w:ascii="Calibri" w:hAnsi="Calibri"/>
        </w:rPr>
        <w:t>none of these documents</w:t>
      </w:r>
      <w:r w:rsidRPr="000B2E6D">
        <w:rPr>
          <w:rFonts w:ascii="Calibri" w:hAnsi="Calibri"/>
        </w:rPr>
        <w:t xml:space="preserve"> guarantee specific representation of sexes.</w:t>
      </w:r>
      <w:r w:rsidRPr="000B2E6D">
        <w:rPr>
          <w:rStyle w:val="FootnoteReference"/>
          <w:rFonts w:ascii="Calibri" w:hAnsi="Calibri"/>
          <w:lang w:val="hr-HR"/>
        </w:rPr>
        <w:footnoteReference w:id="212"/>
      </w:r>
      <w:r w:rsidRPr="000B2E6D">
        <w:rPr>
          <w:rFonts w:ascii="Calibri" w:hAnsi="Calibri"/>
        </w:rPr>
        <w:t xml:space="preserve"> The Law on Gender Equality requires that members of the less represented gender must make up at least 40% of the</w:t>
      </w:r>
      <w:r w:rsidR="00C70E8B" w:rsidRPr="000B2E6D">
        <w:rPr>
          <w:rFonts w:ascii="Calibri" w:hAnsi="Calibri"/>
        </w:rPr>
        <w:t xml:space="preserve"> members of public bodies (Article </w:t>
      </w:r>
      <w:r w:rsidRPr="000B2E6D">
        <w:rPr>
          <w:rFonts w:ascii="Calibri" w:hAnsi="Calibri"/>
        </w:rPr>
        <w:t xml:space="preserve">20). The Election Law of </w:t>
      </w:r>
      <w:r w:rsidR="00E241BA" w:rsidRPr="000B2E6D">
        <w:rPr>
          <w:rFonts w:ascii="Calibri" w:hAnsi="Calibri"/>
        </w:rPr>
        <w:t>BiH</w:t>
      </w:r>
      <w:r w:rsidRPr="000B2E6D">
        <w:rPr>
          <w:rFonts w:ascii="Calibri" w:hAnsi="Calibri"/>
        </w:rPr>
        <w:t xml:space="preserve"> also requires that there is one member of the less represented sex in the first two candidates on the electoral ballot, two in the first five, and three in the first eight (Art</w:t>
      </w:r>
      <w:r w:rsidR="00C70E8B" w:rsidRPr="000B2E6D">
        <w:rPr>
          <w:rFonts w:ascii="Calibri" w:hAnsi="Calibri"/>
        </w:rPr>
        <w:t>icle</w:t>
      </w:r>
      <w:r w:rsidRPr="000B2E6D">
        <w:rPr>
          <w:rFonts w:ascii="Calibri" w:hAnsi="Calibri"/>
        </w:rPr>
        <w:t xml:space="preserve"> 4.19)</w:t>
      </w:r>
      <w:r w:rsidR="00BD66EF" w:rsidRPr="000B2E6D">
        <w:rPr>
          <w:rFonts w:ascii="Calibri" w:hAnsi="Calibri"/>
        </w:rPr>
        <w:t>. The Election and Gender Equality laws have been harmonized to require women to</w:t>
      </w:r>
      <w:r w:rsidRPr="000B2E6D">
        <w:rPr>
          <w:rFonts w:ascii="Calibri" w:hAnsi="Calibri"/>
        </w:rPr>
        <w:t xml:space="preserve"> constitute at least 40% of the candidates on the list. Other initiatives include the Federation Law on Fundamentals of Social </w:t>
      </w:r>
      <w:r w:rsidRPr="000B2E6D">
        <w:rPr>
          <w:rFonts w:ascii="Calibri" w:hAnsi="Calibri"/>
        </w:rPr>
        <w:lastRenderedPageBreak/>
        <w:t xml:space="preserve">Protection, Protection of Civilian Victims of War and Protection of Families with Children and the Republika Srpska Law on the Protection of Civilian Victims of War. </w:t>
      </w:r>
    </w:p>
    <w:p w14:paraId="07138E53" w14:textId="77777777" w:rsidR="005C68CA" w:rsidRPr="000B2E6D" w:rsidRDefault="005C68CA" w:rsidP="005C68CA">
      <w:pPr>
        <w:jc w:val="both"/>
        <w:rPr>
          <w:rFonts w:ascii="Calibri" w:hAnsi="Calibri"/>
        </w:rPr>
      </w:pPr>
    </w:p>
    <w:p w14:paraId="38A4C406" w14:textId="6E825773" w:rsidR="005C68CA" w:rsidRPr="000B2E6D" w:rsidRDefault="00C00356" w:rsidP="00530F89">
      <w:pPr>
        <w:spacing w:line="360" w:lineRule="auto"/>
        <w:jc w:val="both"/>
        <w:rPr>
          <w:rFonts w:ascii="Calibri" w:hAnsi="Calibri"/>
        </w:rPr>
      </w:pPr>
      <w:r w:rsidRPr="000B2E6D">
        <w:rPr>
          <w:rFonts w:ascii="Calibri" w:hAnsi="Calibri"/>
          <w:b/>
          <w:color w:val="4F81BD" w:themeColor="accent1"/>
        </w:rPr>
        <w:t>W</w:t>
      </w:r>
      <w:r w:rsidR="00B97296" w:rsidRPr="000B2E6D">
        <w:rPr>
          <w:rFonts w:ascii="Calibri" w:hAnsi="Calibri"/>
          <w:b/>
          <w:color w:val="4F81BD" w:themeColor="accent1"/>
        </w:rPr>
        <w:t>omen’s</w:t>
      </w:r>
      <w:r w:rsidR="00C47E1B" w:rsidRPr="000B2E6D">
        <w:rPr>
          <w:rFonts w:ascii="Calibri" w:hAnsi="Calibri"/>
          <w:b/>
          <w:color w:val="4F81BD" w:themeColor="accent1"/>
        </w:rPr>
        <w:t xml:space="preserve"> low level of</w:t>
      </w:r>
      <w:r w:rsidR="00B97296" w:rsidRPr="000B2E6D">
        <w:rPr>
          <w:rFonts w:ascii="Calibri" w:hAnsi="Calibri"/>
          <w:b/>
          <w:color w:val="4F81BD" w:themeColor="accent1"/>
        </w:rPr>
        <w:t xml:space="preserve"> participation in political and public life</w:t>
      </w:r>
      <w:r w:rsidR="00B97296" w:rsidRPr="000B2E6D">
        <w:rPr>
          <w:rFonts w:ascii="Calibri" w:hAnsi="Calibri"/>
        </w:rPr>
        <w:t xml:space="preserve"> </w:t>
      </w:r>
      <w:r w:rsidR="00C47E1B" w:rsidRPr="000B2E6D">
        <w:rPr>
          <w:rFonts w:ascii="Calibri" w:hAnsi="Calibri"/>
        </w:rPr>
        <w:t xml:space="preserve">in BiH </w:t>
      </w:r>
      <w:r w:rsidR="00B97296" w:rsidRPr="000B2E6D">
        <w:rPr>
          <w:rFonts w:ascii="Calibri" w:hAnsi="Calibri"/>
        </w:rPr>
        <w:t xml:space="preserve">echoes the situation in the DRC, where women’s social </w:t>
      </w:r>
      <w:r w:rsidR="00C47E1B" w:rsidRPr="000B2E6D">
        <w:rPr>
          <w:rFonts w:ascii="Calibri" w:hAnsi="Calibri"/>
        </w:rPr>
        <w:t>exclusion</w:t>
      </w:r>
      <w:r w:rsidR="00B97296" w:rsidRPr="000B2E6D">
        <w:rPr>
          <w:rFonts w:ascii="Calibri" w:hAnsi="Calibri"/>
        </w:rPr>
        <w:t xml:space="preserve"> due to conflict-related S</w:t>
      </w:r>
      <w:r w:rsidR="00C47E1B" w:rsidRPr="000B2E6D">
        <w:rPr>
          <w:rFonts w:ascii="Calibri" w:hAnsi="Calibri"/>
        </w:rPr>
        <w:t>GBV compounds</w:t>
      </w:r>
      <w:r w:rsidR="000A1EA1" w:rsidRPr="000B2E6D">
        <w:rPr>
          <w:rFonts w:ascii="Calibri" w:hAnsi="Calibri"/>
        </w:rPr>
        <w:t xml:space="preserve"> their invisibility in politics</w:t>
      </w:r>
      <w:r w:rsidR="00C47E1B" w:rsidRPr="000B2E6D">
        <w:rPr>
          <w:rFonts w:ascii="Calibri" w:hAnsi="Calibri"/>
        </w:rPr>
        <w:t xml:space="preserve">. </w:t>
      </w:r>
      <w:r w:rsidR="005C68CA" w:rsidRPr="000B2E6D">
        <w:rPr>
          <w:rFonts w:ascii="Calibri" w:hAnsi="Calibri"/>
        </w:rPr>
        <w:t xml:space="preserve">Currently women </w:t>
      </w:r>
      <w:r w:rsidR="00C47E1B" w:rsidRPr="000B2E6D">
        <w:rPr>
          <w:rFonts w:ascii="Calibri" w:hAnsi="Calibri"/>
        </w:rPr>
        <w:t>constitute</w:t>
      </w:r>
      <w:r w:rsidR="005C68CA" w:rsidRPr="000B2E6D">
        <w:rPr>
          <w:rFonts w:ascii="Calibri" w:hAnsi="Calibri"/>
        </w:rPr>
        <w:t xml:space="preserve"> only 21.4% of </w:t>
      </w:r>
      <w:r w:rsidR="00C47E1B" w:rsidRPr="000B2E6D">
        <w:rPr>
          <w:rFonts w:ascii="Calibri" w:hAnsi="Calibri"/>
        </w:rPr>
        <w:t>parliamentarians in BiH.</w:t>
      </w:r>
      <w:r w:rsidR="005C68CA" w:rsidRPr="000B2E6D">
        <w:rPr>
          <w:rStyle w:val="FootnoteReference"/>
          <w:rFonts w:ascii="Calibri" w:hAnsi="Calibri"/>
        </w:rPr>
        <w:footnoteReference w:id="213"/>
      </w:r>
      <w:r w:rsidR="00C47E1B" w:rsidRPr="000B2E6D">
        <w:rPr>
          <w:rFonts w:ascii="Calibri" w:hAnsi="Calibri"/>
        </w:rPr>
        <w:t xml:space="preserve"> </w:t>
      </w:r>
      <w:r w:rsidR="005C68CA" w:rsidRPr="000B2E6D">
        <w:rPr>
          <w:rFonts w:ascii="Calibri" w:hAnsi="Calibri"/>
        </w:rPr>
        <w:t xml:space="preserve">Women are also underrepresented in executive bodies. </w:t>
      </w:r>
      <w:r w:rsidR="00C47E1B" w:rsidRPr="000B2E6D">
        <w:rPr>
          <w:rFonts w:ascii="Calibri" w:hAnsi="Calibri"/>
        </w:rPr>
        <w:t>While</w:t>
      </w:r>
      <w:r w:rsidR="005C68CA" w:rsidRPr="000B2E6D">
        <w:rPr>
          <w:rFonts w:ascii="Calibri" w:hAnsi="Calibri"/>
        </w:rPr>
        <w:t xml:space="preserve"> women </w:t>
      </w:r>
      <w:r w:rsidR="00C47E1B" w:rsidRPr="000B2E6D">
        <w:rPr>
          <w:rFonts w:ascii="Calibri" w:hAnsi="Calibri"/>
        </w:rPr>
        <w:t>represents</w:t>
      </w:r>
      <w:r w:rsidR="005C68CA" w:rsidRPr="000B2E6D">
        <w:rPr>
          <w:rFonts w:ascii="Calibri" w:hAnsi="Calibri"/>
        </w:rPr>
        <w:t xml:space="preserve"> around 40% of employees in the Ministry of </w:t>
      </w:r>
      <w:r w:rsidR="00806673" w:rsidRPr="000B2E6D">
        <w:rPr>
          <w:rFonts w:ascii="Calibri" w:hAnsi="Calibri"/>
        </w:rPr>
        <w:t>Defence</w:t>
      </w:r>
      <w:r w:rsidR="005C68CA" w:rsidRPr="000B2E6D">
        <w:rPr>
          <w:rFonts w:ascii="Calibri" w:hAnsi="Calibri"/>
        </w:rPr>
        <w:t>, only one woman holds the position of a deputy minister, and all other key positions are filled by men.</w:t>
      </w:r>
      <w:r w:rsidR="005C68CA" w:rsidRPr="000B2E6D">
        <w:rPr>
          <w:rStyle w:val="FootnoteReference"/>
          <w:rFonts w:ascii="Calibri" w:hAnsi="Calibri"/>
        </w:rPr>
        <w:footnoteReference w:id="214"/>
      </w:r>
      <w:r w:rsidR="005C68CA" w:rsidRPr="000B2E6D">
        <w:rPr>
          <w:rFonts w:ascii="Calibri" w:hAnsi="Calibri"/>
        </w:rPr>
        <w:t xml:space="preserve"> Women </w:t>
      </w:r>
      <w:r w:rsidR="00C47E1B" w:rsidRPr="000B2E6D">
        <w:rPr>
          <w:rFonts w:ascii="Calibri" w:hAnsi="Calibri"/>
        </w:rPr>
        <w:t>occupy</w:t>
      </w:r>
      <w:r w:rsidR="005C68CA" w:rsidRPr="000B2E6D">
        <w:rPr>
          <w:rFonts w:ascii="Calibri" w:hAnsi="Calibri"/>
        </w:rPr>
        <w:t xml:space="preserve"> 26.4% of leadership</w:t>
      </w:r>
      <w:r w:rsidR="0017720C" w:rsidRPr="000B2E6D">
        <w:rPr>
          <w:rFonts w:ascii="Calibri" w:hAnsi="Calibri"/>
        </w:rPr>
        <w:t xml:space="preserve"> </w:t>
      </w:r>
      <w:r w:rsidR="00C47E1B" w:rsidRPr="000B2E6D">
        <w:rPr>
          <w:rFonts w:ascii="Calibri" w:hAnsi="Calibri"/>
        </w:rPr>
        <w:t>positions in the p</w:t>
      </w:r>
      <w:r w:rsidR="005C68CA" w:rsidRPr="000B2E6D">
        <w:rPr>
          <w:rFonts w:ascii="Calibri" w:hAnsi="Calibri"/>
        </w:rPr>
        <w:t>olice force.</w:t>
      </w:r>
      <w:r w:rsidR="005C68CA" w:rsidRPr="000B2E6D">
        <w:rPr>
          <w:rStyle w:val="FootnoteReference"/>
          <w:rFonts w:ascii="Calibri" w:hAnsi="Calibri"/>
        </w:rPr>
        <w:footnoteReference w:id="215"/>
      </w:r>
      <w:r w:rsidR="005C68CA" w:rsidRPr="000B2E6D">
        <w:rPr>
          <w:rFonts w:ascii="Calibri" w:hAnsi="Calibri"/>
        </w:rPr>
        <w:t xml:space="preserve"> Women make up only 5% of the armed forces personnel,</w:t>
      </w:r>
      <w:r w:rsidR="005C68CA" w:rsidRPr="000B2E6D">
        <w:rPr>
          <w:rStyle w:val="FootnoteReference"/>
          <w:rFonts w:ascii="Calibri" w:hAnsi="Calibri"/>
        </w:rPr>
        <w:footnoteReference w:id="216"/>
      </w:r>
      <w:r w:rsidR="005C68CA" w:rsidRPr="000B2E6D">
        <w:rPr>
          <w:rFonts w:ascii="Calibri" w:hAnsi="Calibri"/>
        </w:rPr>
        <w:t xml:space="preserve"> and </w:t>
      </w:r>
      <w:r w:rsidR="00BD66EF" w:rsidRPr="000B2E6D">
        <w:rPr>
          <w:rFonts w:ascii="Calibri" w:hAnsi="Calibri"/>
        </w:rPr>
        <w:t>constituted</w:t>
      </w:r>
      <w:r w:rsidR="005C68CA" w:rsidRPr="000B2E6D">
        <w:rPr>
          <w:rFonts w:ascii="Calibri" w:hAnsi="Calibri"/>
        </w:rPr>
        <w:t xml:space="preserve"> </w:t>
      </w:r>
      <w:r w:rsidR="00BD66EF" w:rsidRPr="000B2E6D">
        <w:rPr>
          <w:rFonts w:ascii="Calibri" w:hAnsi="Calibri"/>
        </w:rPr>
        <w:t xml:space="preserve">just </w:t>
      </w:r>
      <w:r w:rsidR="005C68CA" w:rsidRPr="000B2E6D">
        <w:rPr>
          <w:rFonts w:ascii="Calibri" w:hAnsi="Calibri"/>
        </w:rPr>
        <w:t>1.3%-6% of peacekeeping forces deployed between 2000 and 2010.</w:t>
      </w:r>
      <w:r w:rsidR="005C68CA" w:rsidRPr="000B2E6D">
        <w:rPr>
          <w:rStyle w:val="FootnoteReference"/>
          <w:rFonts w:ascii="Calibri" w:hAnsi="Calibri"/>
        </w:rPr>
        <w:footnoteReference w:id="217"/>
      </w:r>
    </w:p>
    <w:p w14:paraId="2400E8A2" w14:textId="77777777" w:rsidR="005C68CA" w:rsidRPr="000B2E6D" w:rsidRDefault="005C68CA" w:rsidP="005C68CA">
      <w:pPr>
        <w:jc w:val="both"/>
        <w:rPr>
          <w:rFonts w:ascii="Calibri" w:hAnsi="Calibri"/>
        </w:rPr>
      </w:pPr>
    </w:p>
    <w:p w14:paraId="671DC0FD" w14:textId="11C8B1EE" w:rsidR="000B2E6D" w:rsidRDefault="00C00356" w:rsidP="004671D4">
      <w:pPr>
        <w:spacing w:line="360" w:lineRule="auto"/>
        <w:jc w:val="both"/>
        <w:rPr>
          <w:rFonts w:ascii="Calibri" w:hAnsi="Calibri"/>
        </w:rPr>
      </w:pPr>
      <w:r w:rsidRPr="000B2E6D">
        <w:rPr>
          <w:rFonts w:ascii="Calibri" w:hAnsi="Calibri"/>
        </w:rPr>
        <w:t xml:space="preserve">In BiH, victims and survivors of </w:t>
      </w:r>
      <w:r w:rsidRPr="000B2E6D">
        <w:rPr>
          <w:rFonts w:ascii="Calibri" w:hAnsi="Calibri"/>
          <w:b/>
          <w:color w:val="4F81BD" w:themeColor="accent1"/>
        </w:rPr>
        <w:t>SGBV</w:t>
      </w:r>
      <w:r w:rsidRPr="000B2E6D">
        <w:rPr>
          <w:rFonts w:ascii="Calibri" w:hAnsi="Calibri"/>
        </w:rPr>
        <w:t xml:space="preserve"> face discrimination </w:t>
      </w:r>
      <w:r w:rsidR="007D4A82" w:rsidRPr="000B2E6D">
        <w:rPr>
          <w:rFonts w:ascii="Calibri" w:hAnsi="Calibri"/>
        </w:rPr>
        <w:t>due to fragmented and inconsistent government policies</w:t>
      </w:r>
      <w:r w:rsidRPr="000B2E6D">
        <w:rPr>
          <w:rFonts w:ascii="Calibri" w:hAnsi="Calibri"/>
        </w:rPr>
        <w:t xml:space="preserve">, while </w:t>
      </w:r>
      <w:r w:rsidRPr="000B2E6D">
        <w:rPr>
          <w:rFonts w:ascii="Calibri" w:hAnsi="Calibri"/>
          <w:b/>
          <w:color w:val="4F81BD" w:themeColor="accent1"/>
        </w:rPr>
        <w:t>trafficking</w:t>
      </w:r>
      <w:r w:rsidRPr="000B2E6D">
        <w:rPr>
          <w:rFonts w:ascii="Calibri" w:hAnsi="Calibri"/>
          <w:color w:val="4F81BD" w:themeColor="accent1"/>
        </w:rPr>
        <w:t xml:space="preserve"> </w:t>
      </w:r>
      <w:r w:rsidRPr="000B2E6D">
        <w:rPr>
          <w:rFonts w:ascii="Calibri" w:hAnsi="Calibri"/>
        </w:rPr>
        <w:t xml:space="preserve">and </w:t>
      </w:r>
      <w:r w:rsidRPr="000B2E6D">
        <w:rPr>
          <w:rFonts w:ascii="Calibri" w:hAnsi="Calibri"/>
          <w:b/>
          <w:color w:val="4F81BD" w:themeColor="accent1"/>
        </w:rPr>
        <w:t>forced marriage</w:t>
      </w:r>
      <w:r w:rsidR="00681A7E" w:rsidRPr="000B2E6D">
        <w:rPr>
          <w:rFonts w:ascii="Calibri" w:hAnsi="Calibri"/>
          <w:b/>
          <w:color w:val="4F81BD" w:themeColor="accent1"/>
        </w:rPr>
        <w:t>s</w:t>
      </w:r>
      <w:r w:rsidRPr="000B2E6D">
        <w:rPr>
          <w:rFonts w:ascii="Calibri" w:hAnsi="Calibri"/>
          <w:color w:val="4F81BD" w:themeColor="accent1"/>
        </w:rPr>
        <w:t xml:space="preserve"> </w:t>
      </w:r>
      <w:r w:rsidRPr="000B2E6D">
        <w:rPr>
          <w:rFonts w:ascii="Calibri" w:hAnsi="Calibri"/>
        </w:rPr>
        <w:t xml:space="preserve">are </w:t>
      </w:r>
      <w:r w:rsidR="00BD66EF" w:rsidRPr="000B2E6D">
        <w:rPr>
          <w:rFonts w:ascii="Calibri" w:hAnsi="Calibri"/>
        </w:rPr>
        <w:t xml:space="preserve">among </w:t>
      </w:r>
      <w:r w:rsidRPr="000B2E6D">
        <w:rPr>
          <w:rFonts w:ascii="Calibri" w:hAnsi="Calibri"/>
        </w:rPr>
        <w:t xml:space="preserve">persistent gender-based crimes. </w:t>
      </w:r>
      <w:r w:rsidR="00681A7E" w:rsidRPr="000B2E6D">
        <w:rPr>
          <w:rFonts w:ascii="Calibri" w:hAnsi="Calibri"/>
        </w:rPr>
        <w:t>Women and girls affected by SGBV face different levels of protection depending on the entity responsible for providing basic services. In Republika Srpska, survivors do not have an independent victim of war status and must prove 60% of bodily injury to access social services including income support. In the Federation of BiH the 60% threshold does not apply, but discrimination persists regarding the treatment of survivors in terms of rehabilitation and restitution compared to war veterans.</w:t>
      </w:r>
      <w:r w:rsidR="00681A7E" w:rsidRPr="000B2E6D">
        <w:rPr>
          <w:rStyle w:val="FootnoteReference"/>
          <w:rFonts w:ascii="Calibri" w:hAnsi="Calibri"/>
        </w:rPr>
        <w:footnoteReference w:id="218"/>
      </w:r>
      <w:r w:rsidR="00681A7E" w:rsidRPr="000B2E6D">
        <w:rPr>
          <w:rFonts w:ascii="Calibri" w:hAnsi="Calibri"/>
        </w:rPr>
        <w:t xml:space="preserve">  </w:t>
      </w:r>
      <w:r w:rsidR="00E241BA" w:rsidRPr="000B2E6D">
        <w:rPr>
          <w:rFonts w:ascii="Calibri" w:hAnsi="Calibri"/>
        </w:rPr>
        <w:t>BiH</w:t>
      </w:r>
      <w:r w:rsidR="005C68CA" w:rsidRPr="000B2E6D">
        <w:rPr>
          <w:rFonts w:ascii="Calibri" w:hAnsi="Calibri"/>
        </w:rPr>
        <w:t xml:space="preserve"> </w:t>
      </w:r>
      <w:r w:rsidR="00AE57C8" w:rsidRPr="000B2E6D">
        <w:rPr>
          <w:rFonts w:ascii="Calibri" w:hAnsi="Calibri"/>
        </w:rPr>
        <w:t>is</w:t>
      </w:r>
      <w:r w:rsidR="005C68CA" w:rsidRPr="000B2E6D">
        <w:rPr>
          <w:rFonts w:ascii="Calibri" w:hAnsi="Calibri"/>
        </w:rPr>
        <w:t xml:space="preserve"> </w:t>
      </w:r>
      <w:r w:rsidR="00BD66EF" w:rsidRPr="000B2E6D">
        <w:rPr>
          <w:rFonts w:ascii="Calibri" w:hAnsi="Calibri"/>
        </w:rPr>
        <w:t xml:space="preserve">also </w:t>
      </w:r>
      <w:r w:rsidR="005C68CA" w:rsidRPr="000B2E6D">
        <w:rPr>
          <w:rFonts w:ascii="Calibri" w:hAnsi="Calibri"/>
        </w:rPr>
        <w:t>an origin and destination country for trafficking.</w:t>
      </w:r>
      <w:r w:rsidRPr="000B2E6D">
        <w:rPr>
          <w:rStyle w:val="FootnoteReference"/>
          <w:rFonts w:ascii="Calibri" w:hAnsi="Calibri"/>
        </w:rPr>
        <w:footnoteReference w:id="219"/>
      </w:r>
      <w:r w:rsidR="005C68CA" w:rsidRPr="000B2E6D">
        <w:rPr>
          <w:rFonts w:ascii="Calibri" w:hAnsi="Calibri"/>
        </w:rPr>
        <w:t xml:space="preserve"> </w:t>
      </w:r>
      <w:r w:rsidRPr="000B2E6D">
        <w:rPr>
          <w:rFonts w:ascii="Calibri" w:hAnsi="Calibri"/>
        </w:rPr>
        <w:t xml:space="preserve">As noted by the CEDAW Committee and </w:t>
      </w:r>
      <w:r w:rsidR="007D4A82" w:rsidRPr="000B2E6D">
        <w:rPr>
          <w:rFonts w:ascii="Calibri" w:hAnsi="Calibri"/>
        </w:rPr>
        <w:t>affirmed</w:t>
      </w:r>
      <w:r w:rsidRPr="000B2E6D">
        <w:rPr>
          <w:rFonts w:ascii="Calibri" w:hAnsi="Calibri"/>
        </w:rPr>
        <w:t xml:space="preserve"> in the new NAP, BiH</w:t>
      </w:r>
      <w:r w:rsidR="005C68CA" w:rsidRPr="000B2E6D">
        <w:rPr>
          <w:rFonts w:ascii="Calibri" w:hAnsi="Calibri"/>
        </w:rPr>
        <w:t xml:space="preserve"> is </w:t>
      </w:r>
      <w:r w:rsidRPr="000B2E6D">
        <w:rPr>
          <w:rFonts w:ascii="Calibri" w:hAnsi="Calibri"/>
        </w:rPr>
        <w:t>yet to comply</w:t>
      </w:r>
      <w:r w:rsidR="005C68CA" w:rsidRPr="000B2E6D">
        <w:rPr>
          <w:rFonts w:ascii="Calibri" w:hAnsi="Calibri"/>
        </w:rPr>
        <w:t xml:space="preserve"> with its international obligations </w:t>
      </w:r>
      <w:r w:rsidR="007D4A82" w:rsidRPr="000B2E6D">
        <w:rPr>
          <w:rFonts w:ascii="Calibri" w:hAnsi="Calibri"/>
        </w:rPr>
        <w:t>on trafficking. T</w:t>
      </w:r>
      <w:r w:rsidR="005C68CA" w:rsidRPr="000B2E6D">
        <w:rPr>
          <w:rFonts w:ascii="Calibri" w:hAnsi="Calibri"/>
        </w:rPr>
        <w:t xml:space="preserve">here are no statutes criminalizing trafficking, </w:t>
      </w:r>
      <w:r w:rsidR="007D4A82" w:rsidRPr="000B2E6D">
        <w:rPr>
          <w:rFonts w:ascii="Calibri" w:hAnsi="Calibri"/>
        </w:rPr>
        <w:t>which</w:t>
      </w:r>
      <w:r w:rsidRPr="000B2E6D">
        <w:rPr>
          <w:rFonts w:ascii="Calibri" w:hAnsi="Calibri"/>
        </w:rPr>
        <w:t xml:space="preserve"> has been addressed via</w:t>
      </w:r>
      <w:r w:rsidR="005C68CA" w:rsidRPr="000B2E6D">
        <w:rPr>
          <w:rFonts w:ascii="Calibri" w:hAnsi="Calibri"/>
        </w:rPr>
        <w:t xml:space="preserve"> amendment</w:t>
      </w:r>
      <w:r w:rsidRPr="000B2E6D">
        <w:rPr>
          <w:rFonts w:ascii="Calibri" w:hAnsi="Calibri"/>
        </w:rPr>
        <w:t>s</w:t>
      </w:r>
      <w:r w:rsidR="007D4A82" w:rsidRPr="000B2E6D">
        <w:rPr>
          <w:rFonts w:ascii="Calibri" w:hAnsi="Calibri"/>
        </w:rPr>
        <w:t xml:space="preserve"> to anti-prostitution laws, exacerbating the fragmentation of government efforts to address the problem</w:t>
      </w:r>
      <w:r w:rsidRPr="000B2E6D">
        <w:rPr>
          <w:rFonts w:ascii="Calibri" w:hAnsi="Calibri"/>
        </w:rPr>
        <w:t xml:space="preserve">. </w:t>
      </w:r>
      <w:r w:rsidR="00681A7E" w:rsidRPr="000B2E6D">
        <w:rPr>
          <w:rFonts w:ascii="Calibri" w:hAnsi="Calibri"/>
        </w:rPr>
        <w:t>The additional and interrelated problem of forced marriage is becoming more frequent for minors, especially Roma children.</w:t>
      </w:r>
      <w:r w:rsidR="00681A7E" w:rsidRPr="000B2E6D">
        <w:rPr>
          <w:rStyle w:val="FootnoteReference"/>
          <w:rFonts w:ascii="Calibri" w:hAnsi="Calibri"/>
        </w:rPr>
        <w:footnoteReference w:id="220"/>
      </w:r>
    </w:p>
    <w:p w14:paraId="7B8194FB" w14:textId="77777777" w:rsidR="000B2E6D" w:rsidRPr="000B2E6D" w:rsidRDefault="000B2E6D" w:rsidP="005C68CA">
      <w:pPr>
        <w:jc w:val="both"/>
        <w:rPr>
          <w:rFonts w:ascii="Calibri" w:hAnsi="Calibri"/>
        </w:rPr>
      </w:pPr>
    </w:p>
    <w:p w14:paraId="5788D03F" w14:textId="28E08FB4" w:rsidR="005C68CA" w:rsidRPr="000B2E6D" w:rsidRDefault="00681A7E" w:rsidP="005C68CA">
      <w:pPr>
        <w:jc w:val="both"/>
        <w:rPr>
          <w:rFonts w:ascii="Calibri" w:hAnsi="Calibri"/>
          <w:b/>
          <w:color w:val="1F497D" w:themeColor="text2"/>
          <w:u w:val="single"/>
        </w:rPr>
      </w:pPr>
      <w:r w:rsidRPr="000B2E6D">
        <w:rPr>
          <w:rFonts w:ascii="Calibri" w:hAnsi="Calibri"/>
          <w:b/>
          <w:color w:val="1F497D" w:themeColor="text2"/>
          <w:u w:val="single"/>
        </w:rPr>
        <w:t xml:space="preserve">Development Agencies and </w:t>
      </w:r>
      <w:r w:rsidR="005C68CA" w:rsidRPr="000B2E6D">
        <w:rPr>
          <w:rFonts w:ascii="Calibri" w:hAnsi="Calibri"/>
          <w:b/>
          <w:color w:val="1F497D" w:themeColor="text2"/>
          <w:u w:val="single"/>
        </w:rPr>
        <w:t>Civil Society</w:t>
      </w:r>
    </w:p>
    <w:p w14:paraId="47AF4DF2" w14:textId="77777777" w:rsidR="000B2E6D" w:rsidRDefault="000B2E6D" w:rsidP="00530F89">
      <w:pPr>
        <w:spacing w:line="360" w:lineRule="auto"/>
        <w:jc w:val="both"/>
        <w:rPr>
          <w:rFonts w:ascii="Calibri" w:hAnsi="Calibri"/>
        </w:rPr>
      </w:pPr>
    </w:p>
    <w:p w14:paraId="4C9DB26C" w14:textId="751A5826" w:rsidR="006B02AF" w:rsidRPr="000B2E6D" w:rsidRDefault="007D4A82" w:rsidP="00530F89">
      <w:pPr>
        <w:spacing w:line="360" w:lineRule="auto"/>
        <w:jc w:val="both"/>
        <w:rPr>
          <w:rFonts w:ascii="Calibri" w:hAnsi="Calibri"/>
        </w:rPr>
      </w:pPr>
      <w:r w:rsidRPr="000B2E6D">
        <w:rPr>
          <w:rFonts w:ascii="Calibri" w:hAnsi="Calibri"/>
        </w:rPr>
        <w:t xml:space="preserve">Development agencies and civil society are at the </w:t>
      </w:r>
      <w:r w:rsidRPr="000B2E6D">
        <w:rPr>
          <w:rFonts w:ascii="Calibri" w:hAnsi="Calibri"/>
          <w:b/>
          <w:color w:val="4F81BD" w:themeColor="accent1"/>
        </w:rPr>
        <w:t>forefront of tackling conflict-related SGBV</w:t>
      </w:r>
      <w:r w:rsidRPr="000B2E6D">
        <w:rPr>
          <w:rFonts w:ascii="Calibri" w:hAnsi="Calibri"/>
        </w:rPr>
        <w:t xml:space="preserve">. </w:t>
      </w:r>
      <w:r w:rsidR="00944E2A" w:rsidRPr="000B2E6D">
        <w:rPr>
          <w:rFonts w:ascii="Calibri" w:hAnsi="Calibri"/>
        </w:rPr>
        <w:t xml:space="preserve">The Organization for Security and Cooperation in Europe (OSCE) </w:t>
      </w:r>
      <w:r w:rsidR="00830AFB" w:rsidRPr="000B2E6D">
        <w:rPr>
          <w:rFonts w:ascii="Calibri" w:hAnsi="Calibri"/>
        </w:rPr>
        <w:t xml:space="preserve">Mission to BiH </w:t>
      </w:r>
      <w:r w:rsidR="00944E2A" w:rsidRPr="000B2E6D">
        <w:rPr>
          <w:rFonts w:ascii="Calibri" w:hAnsi="Calibri"/>
        </w:rPr>
        <w:t xml:space="preserve">is working with the government </w:t>
      </w:r>
      <w:r w:rsidR="00944E2A" w:rsidRPr="000B2E6D">
        <w:rPr>
          <w:rFonts w:ascii="Calibri" w:hAnsi="Calibri"/>
        </w:rPr>
        <w:lastRenderedPageBreak/>
        <w:t xml:space="preserve">to </w:t>
      </w:r>
      <w:r w:rsidR="0018099D" w:rsidRPr="000B2E6D">
        <w:rPr>
          <w:rFonts w:ascii="Calibri" w:hAnsi="Calibri"/>
        </w:rPr>
        <w:t>provide</w:t>
      </w:r>
      <w:r w:rsidR="00830AFB" w:rsidRPr="000B2E6D">
        <w:rPr>
          <w:rFonts w:ascii="Calibri" w:hAnsi="Calibri"/>
        </w:rPr>
        <w:t xml:space="preserve"> training for peacekeepers, and is monitoring the </w:t>
      </w:r>
      <w:r w:rsidR="0018099D" w:rsidRPr="000B2E6D">
        <w:rPr>
          <w:rFonts w:ascii="Calibri" w:hAnsi="Calibri"/>
        </w:rPr>
        <w:t xml:space="preserve">wartime rape </w:t>
      </w:r>
      <w:r w:rsidR="00830AFB" w:rsidRPr="000B2E6D">
        <w:rPr>
          <w:rFonts w:ascii="Calibri" w:hAnsi="Calibri"/>
        </w:rPr>
        <w:t>prosecutions</w:t>
      </w:r>
      <w:r w:rsidR="0018099D" w:rsidRPr="000B2E6D">
        <w:rPr>
          <w:rFonts w:ascii="Calibri" w:hAnsi="Calibri"/>
        </w:rPr>
        <w:t xml:space="preserve"> and redress</w:t>
      </w:r>
      <w:r w:rsidR="00830AFB" w:rsidRPr="000B2E6D">
        <w:rPr>
          <w:rFonts w:ascii="Calibri" w:hAnsi="Calibri"/>
        </w:rPr>
        <w:t xml:space="preserve"> for victims</w:t>
      </w:r>
      <w:r w:rsidRPr="000B2E6D">
        <w:rPr>
          <w:rFonts w:ascii="Calibri" w:hAnsi="Calibri"/>
        </w:rPr>
        <w:t xml:space="preserve"> and survivors</w:t>
      </w:r>
      <w:r w:rsidR="00830AFB" w:rsidRPr="000B2E6D">
        <w:rPr>
          <w:rFonts w:ascii="Calibri" w:hAnsi="Calibri"/>
        </w:rPr>
        <w:t>.</w:t>
      </w:r>
      <w:r w:rsidR="00830AFB" w:rsidRPr="000B2E6D">
        <w:rPr>
          <w:rStyle w:val="FootnoteReference"/>
          <w:rFonts w:ascii="Calibri" w:hAnsi="Calibri"/>
        </w:rPr>
        <w:footnoteReference w:id="221"/>
      </w:r>
      <w:r w:rsidR="00830AFB" w:rsidRPr="000B2E6D">
        <w:rPr>
          <w:rFonts w:ascii="Calibri" w:hAnsi="Calibri"/>
        </w:rPr>
        <w:t xml:space="preserve"> </w:t>
      </w:r>
      <w:r w:rsidRPr="000B2E6D">
        <w:rPr>
          <w:rFonts w:ascii="Calibri" w:hAnsi="Calibri"/>
        </w:rPr>
        <w:t xml:space="preserve">NGOs </w:t>
      </w:r>
      <w:r w:rsidR="0018099D" w:rsidRPr="000B2E6D">
        <w:rPr>
          <w:rFonts w:ascii="Calibri" w:hAnsi="Calibri"/>
        </w:rPr>
        <w:t xml:space="preserve">are providing </w:t>
      </w:r>
      <w:r w:rsidRPr="000B2E6D">
        <w:rPr>
          <w:rFonts w:ascii="Calibri" w:hAnsi="Calibri"/>
        </w:rPr>
        <w:t>essential services including counselling and other support to victims and survivors SGBV, most notably: Women to Women Sarajevo, Women United Banja Luka, Center for Women – Flame Sarajevo, Women BiH Mostar, Helsinki Citizens Parliament, Local Democracy Foundation, Trial Sarajevo and Medica Zenica.   Of the</w:t>
      </w:r>
      <w:r w:rsidR="00DC5DE2" w:rsidRPr="000B2E6D">
        <w:rPr>
          <w:rFonts w:ascii="Calibri" w:hAnsi="Calibri"/>
        </w:rPr>
        <w:t xml:space="preserve"> more than</w:t>
      </w:r>
      <w:r w:rsidRPr="000B2E6D">
        <w:rPr>
          <w:rFonts w:ascii="Calibri" w:hAnsi="Calibri"/>
        </w:rPr>
        <w:t xml:space="preserve"> 20,000 </w:t>
      </w:r>
      <w:r w:rsidR="006B02AF" w:rsidRPr="000B2E6D">
        <w:rPr>
          <w:rFonts w:ascii="Calibri" w:hAnsi="Calibri"/>
        </w:rPr>
        <w:t xml:space="preserve">survivors of wartime sexual violence in </w:t>
      </w:r>
      <w:r w:rsidRPr="000B2E6D">
        <w:rPr>
          <w:rFonts w:ascii="Calibri" w:hAnsi="Calibri"/>
        </w:rPr>
        <w:t>BiH,</w:t>
      </w:r>
      <w:r w:rsidR="006B02AF" w:rsidRPr="000B2E6D">
        <w:rPr>
          <w:rFonts w:ascii="Calibri" w:hAnsi="Calibri"/>
        </w:rPr>
        <w:t xml:space="preserve"> </w:t>
      </w:r>
      <w:r w:rsidRPr="000B2E6D">
        <w:rPr>
          <w:rFonts w:ascii="Calibri" w:hAnsi="Calibri"/>
        </w:rPr>
        <w:t>many of whom</w:t>
      </w:r>
      <w:r w:rsidR="006B02AF" w:rsidRPr="000B2E6D">
        <w:rPr>
          <w:rFonts w:ascii="Calibri" w:hAnsi="Calibri"/>
        </w:rPr>
        <w:t xml:space="preserve"> face daily discrimination and stigmatization</w:t>
      </w:r>
      <w:r w:rsidRPr="000B2E6D">
        <w:rPr>
          <w:rFonts w:ascii="Calibri" w:hAnsi="Calibri"/>
        </w:rPr>
        <w:t>, access to justice has been impeded by</w:t>
      </w:r>
      <w:r w:rsidR="006B02AF" w:rsidRPr="000B2E6D">
        <w:rPr>
          <w:rFonts w:ascii="Calibri" w:hAnsi="Calibri"/>
        </w:rPr>
        <w:t xml:space="preserve"> insufficient protections as witnesses in war crimes trials, </w:t>
      </w:r>
      <w:r w:rsidRPr="000B2E6D">
        <w:rPr>
          <w:rFonts w:ascii="Calibri" w:hAnsi="Calibri"/>
        </w:rPr>
        <w:t>and inadequate</w:t>
      </w:r>
      <w:r w:rsidR="006B02AF" w:rsidRPr="000B2E6D">
        <w:rPr>
          <w:rFonts w:ascii="Calibri" w:hAnsi="Calibri"/>
        </w:rPr>
        <w:t xml:space="preserve"> insufficient support and counsel</w:t>
      </w:r>
      <w:r w:rsidRPr="000B2E6D">
        <w:rPr>
          <w:rFonts w:ascii="Calibri" w:hAnsi="Calibri"/>
        </w:rPr>
        <w:t>l</w:t>
      </w:r>
      <w:r w:rsidR="006B02AF" w:rsidRPr="000B2E6D">
        <w:rPr>
          <w:rFonts w:ascii="Calibri" w:hAnsi="Calibri"/>
        </w:rPr>
        <w:t xml:space="preserve">ing </w:t>
      </w:r>
      <w:r w:rsidRPr="000B2E6D">
        <w:rPr>
          <w:rFonts w:ascii="Calibri" w:hAnsi="Calibri"/>
        </w:rPr>
        <w:t>during this process</w:t>
      </w:r>
      <w:r w:rsidR="006B02AF" w:rsidRPr="000B2E6D">
        <w:rPr>
          <w:rFonts w:ascii="Calibri" w:hAnsi="Calibri"/>
        </w:rPr>
        <w:t>.</w:t>
      </w:r>
      <w:r w:rsidR="006B02AF" w:rsidRPr="000B2E6D">
        <w:rPr>
          <w:rStyle w:val="FootnoteReference"/>
          <w:rFonts w:ascii="Calibri" w:hAnsi="Calibri"/>
        </w:rPr>
        <w:footnoteReference w:id="222"/>
      </w:r>
      <w:r w:rsidR="006B02AF" w:rsidRPr="000B2E6D">
        <w:rPr>
          <w:rFonts w:ascii="Calibri" w:hAnsi="Calibri"/>
        </w:rPr>
        <w:t xml:space="preserve"> </w:t>
      </w:r>
    </w:p>
    <w:p w14:paraId="37F1291F" w14:textId="77777777" w:rsidR="00C47E1B" w:rsidRPr="000B2E6D" w:rsidRDefault="00C47E1B" w:rsidP="005C68CA">
      <w:pPr>
        <w:jc w:val="both"/>
        <w:rPr>
          <w:rFonts w:ascii="Calibri" w:hAnsi="Calibri"/>
        </w:rPr>
      </w:pPr>
    </w:p>
    <w:p w14:paraId="39C351BE" w14:textId="1961C779" w:rsidR="00C47E1B" w:rsidRPr="000B2E6D" w:rsidRDefault="007D4A82" w:rsidP="00530F89">
      <w:pPr>
        <w:spacing w:line="360" w:lineRule="auto"/>
        <w:jc w:val="both"/>
        <w:rPr>
          <w:rFonts w:ascii="Calibri" w:hAnsi="Calibri"/>
        </w:rPr>
      </w:pPr>
      <w:r w:rsidRPr="000B2E6D">
        <w:rPr>
          <w:rFonts w:ascii="Calibri" w:hAnsi="Calibri"/>
        </w:rPr>
        <w:t xml:space="preserve">Civil society has also been proactive in </w:t>
      </w:r>
      <w:r w:rsidRPr="000B2E6D">
        <w:rPr>
          <w:rFonts w:ascii="Calibri" w:hAnsi="Calibri"/>
          <w:b/>
          <w:color w:val="4F81BD" w:themeColor="accent1"/>
        </w:rPr>
        <w:t>improving women’s political participation</w:t>
      </w:r>
      <w:r w:rsidRPr="000B2E6D">
        <w:rPr>
          <w:rFonts w:ascii="Calibri" w:hAnsi="Calibri"/>
        </w:rPr>
        <w:t xml:space="preserve">. Following the 2014 election, an NGO </w:t>
      </w:r>
      <w:r w:rsidR="00C47E1B" w:rsidRPr="000B2E6D">
        <w:rPr>
          <w:rFonts w:ascii="Calibri" w:hAnsi="Calibri"/>
        </w:rPr>
        <w:t>initiative</w:t>
      </w:r>
      <w:r w:rsidRPr="000B2E6D">
        <w:rPr>
          <w:rFonts w:ascii="Calibri" w:hAnsi="Calibri"/>
        </w:rPr>
        <w:t xml:space="preserve"> was formed</w:t>
      </w:r>
      <w:r w:rsidR="00C47E1B" w:rsidRPr="000B2E6D">
        <w:rPr>
          <w:rFonts w:ascii="Calibri" w:hAnsi="Calibri"/>
        </w:rPr>
        <w:t xml:space="preserve"> to </w:t>
      </w:r>
      <w:r w:rsidRPr="000B2E6D">
        <w:rPr>
          <w:rFonts w:ascii="Calibri" w:hAnsi="Calibri"/>
        </w:rPr>
        <w:t>pressure</w:t>
      </w:r>
      <w:r w:rsidR="00C47E1B" w:rsidRPr="000B2E6D">
        <w:rPr>
          <w:rFonts w:ascii="Calibri" w:hAnsi="Calibri"/>
        </w:rPr>
        <w:t xml:space="preserve"> the government to apply the Gender Equality Law and ensure that women make up 40% of </w:t>
      </w:r>
      <w:r w:rsidR="00BD66EF" w:rsidRPr="000B2E6D">
        <w:rPr>
          <w:rFonts w:ascii="Calibri" w:hAnsi="Calibri"/>
        </w:rPr>
        <w:t>the membership</w:t>
      </w:r>
      <w:r w:rsidR="00C47E1B" w:rsidRPr="000B2E6D">
        <w:rPr>
          <w:rFonts w:ascii="Calibri" w:hAnsi="Calibri"/>
        </w:rPr>
        <w:t xml:space="preserve"> of the official bodies. </w:t>
      </w:r>
      <w:r w:rsidR="00806673">
        <w:rPr>
          <w:rFonts w:ascii="Calibri" w:hAnsi="Calibri"/>
        </w:rPr>
        <w:t xml:space="preserve">The </w:t>
      </w:r>
      <w:r w:rsidR="00C47E1B" w:rsidRPr="000B2E6D">
        <w:rPr>
          <w:rFonts w:ascii="Calibri" w:hAnsi="Calibri"/>
        </w:rPr>
        <w:t xml:space="preserve">Zenica-Doboj Canton and Sarajevo Canton assemblies agreed provisionally to this requirement, following lobbying by </w:t>
      </w:r>
      <w:r w:rsidR="00DC5DE2" w:rsidRPr="000B2E6D">
        <w:rPr>
          <w:rFonts w:ascii="Calibri" w:hAnsi="Calibri"/>
        </w:rPr>
        <w:t xml:space="preserve">the </w:t>
      </w:r>
      <w:r w:rsidR="00C47E1B" w:rsidRPr="000B2E6D">
        <w:rPr>
          <w:rFonts w:ascii="Calibri" w:hAnsi="Calibri"/>
        </w:rPr>
        <w:t>Women’s Legal Aid Centre, Infohouse, Cure, and Sarajevo Open Centre.</w:t>
      </w:r>
      <w:r w:rsidR="00C47E1B" w:rsidRPr="000B2E6D">
        <w:rPr>
          <w:rStyle w:val="FootnoteReference"/>
          <w:rFonts w:ascii="Calibri" w:hAnsi="Calibri"/>
        </w:rPr>
        <w:footnoteReference w:id="223"/>
      </w:r>
    </w:p>
    <w:p w14:paraId="4564F5B1" w14:textId="77777777" w:rsidR="005C68CA" w:rsidRPr="000B2E6D" w:rsidRDefault="005C68CA" w:rsidP="005C68CA">
      <w:pPr>
        <w:jc w:val="both"/>
        <w:rPr>
          <w:rFonts w:ascii="Calibri" w:hAnsi="Calibri"/>
        </w:rPr>
      </w:pPr>
    </w:p>
    <w:p w14:paraId="660A95C8" w14:textId="6852F054" w:rsidR="009F3AF0" w:rsidRPr="000B2E6D" w:rsidRDefault="009F3AF0" w:rsidP="007F364C">
      <w:pPr>
        <w:pStyle w:val="ListParagraph"/>
        <w:numPr>
          <w:ilvl w:val="0"/>
          <w:numId w:val="12"/>
        </w:numPr>
        <w:jc w:val="both"/>
        <w:rPr>
          <w:rFonts w:ascii="Calibri" w:hAnsi="Calibri"/>
          <w:b/>
          <w:color w:val="1F497D" w:themeColor="text2"/>
        </w:rPr>
      </w:pPr>
      <w:r w:rsidRPr="000B2E6D">
        <w:rPr>
          <w:rFonts w:ascii="Calibri" w:hAnsi="Calibri"/>
          <w:b/>
          <w:color w:val="1F497D" w:themeColor="text2"/>
        </w:rPr>
        <w:t>Conclusion</w:t>
      </w:r>
    </w:p>
    <w:p w14:paraId="1424F18A" w14:textId="77777777" w:rsidR="009F3AF0" w:rsidRPr="000B2E6D" w:rsidRDefault="009F3AF0" w:rsidP="009F3AF0">
      <w:pPr>
        <w:ind w:left="360"/>
        <w:jc w:val="both"/>
        <w:rPr>
          <w:rFonts w:ascii="Calibri" w:hAnsi="Calibri"/>
          <w:b/>
        </w:rPr>
      </w:pPr>
    </w:p>
    <w:p w14:paraId="28194AFA" w14:textId="6D718117" w:rsidR="005C68CA" w:rsidRPr="000B2E6D" w:rsidRDefault="00DC5DE2" w:rsidP="00CD181F">
      <w:pPr>
        <w:spacing w:line="360" w:lineRule="auto"/>
        <w:jc w:val="both"/>
        <w:rPr>
          <w:rFonts w:ascii="Calibri" w:hAnsi="Calibri"/>
        </w:rPr>
      </w:pPr>
      <w:r w:rsidRPr="000B2E6D">
        <w:rPr>
          <w:rFonts w:ascii="Calibri" w:hAnsi="Calibri"/>
        </w:rPr>
        <w:t>Under the</w:t>
      </w:r>
      <w:r w:rsidR="009F3AF0" w:rsidRPr="000B2E6D">
        <w:rPr>
          <w:rFonts w:ascii="Calibri" w:hAnsi="Calibri"/>
        </w:rPr>
        <w:t xml:space="preserve"> </w:t>
      </w:r>
      <w:r w:rsidR="00954E95" w:rsidRPr="000B2E6D">
        <w:rPr>
          <w:rFonts w:ascii="Calibri" w:hAnsi="Calibri"/>
        </w:rPr>
        <w:t xml:space="preserve">first </w:t>
      </w:r>
      <w:r w:rsidR="009F3AF0" w:rsidRPr="000B2E6D">
        <w:rPr>
          <w:rFonts w:ascii="Calibri" w:hAnsi="Calibri"/>
        </w:rPr>
        <w:t>NAP</w:t>
      </w:r>
      <w:r w:rsidRPr="000B2E6D">
        <w:rPr>
          <w:rFonts w:ascii="Calibri" w:hAnsi="Calibri"/>
        </w:rPr>
        <w:t xml:space="preserve">, </w:t>
      </w:r>
      <w:r w:rsidR="009F3AF0" w:rsidRPr="000B2E6D">
        <w:rPr>
          <w:rFonts w:ascii="Calibri" w:hAnsi="Calibri"/>
        </w:rPr>
        <w:t xml:space="preserve">unified </w:t>
      </w:r>
      <w:r w:rsidRPr="000B2E6D">
        <w:rPr>
          <w:rFonts w:ascii="Calibri" w:hAnsi="Calibri"/>
        </w:rPr>
        <w:t xml:space="preserve">state </w:t>
      </w:r>
      <w:r w:rsidR="009F3AF0" w:rsidRPr="000B2E6D">
        <w:rPr>
          <w:rFonts w:ascii="Calibri" w:hAnsi="Calibri"/>
        </w:rPr>
        <w:t>action</w:t>
      </w:r>
      <w:r w:rsidRPr="000B2E6D">
        <w:rPr>
          <w:rFonts w:ascii="Calibri" w:hAnsi="Calibri"/>
        </w:rPr>
        <w:t xml:space="preserve"> was</w:t>
      </w:r>
      <w:r w:rsidR="009F3AF0" w:rsidRPr="000B2E6D">
        <w:rPr>
          <w:rFonts w:ascii="Calibri" w:hAnsi="Calibri"/>
        </w:rPr>
        <w:t xml:space="preserve"> </w:t>
      </w:r>
      <w:r w:rsidR="00BD66EF" w:rsidRPr="000B2E6D">
        <w:rPr>
          <w:rFonts w:ascii="Calibri" w:hAnsi="Calibri"/>
        </w:rPr>
        <w:t>near</w:t>
      </w:r>
      <w:r w:rsidR="009F3AF0" w:rsidRPr="000B2E6D">
        <w:rPr>
          <w:rFonts w:ascii="Calibri" w:hAnsi="Calibri"/>
        </w:rPr>
        <w:t xml:space="preserve"> impossible to achieve</w:t>
      </w:r>
      <w:r w:rsidR="00954E95" w:rsidRPr="000B2E6D">
        <w:rPr>
          <w:rFonts w:ascii="Calibri" w:hAnsi="Calibri"/>
        </w:rPr>
        <w:t>,</w:t>
      </w:r>
      <w:r w:rsidR="009F3AF0" w:rsidRPr="000B2E6D">
        <w:rPr>
          <w:rFonts w:ascii="Calibri" w:hAnsi="Calibri"/>
        </w:rPr>
        <w:t xml:space="preserve"> </w:t>
      </w:r>
      <w:r w:rsidRPr="000B2E6D">
        <w:rPr>
          <w:rFonts w:ascii="Calibri" w:hAnsi="Calibri"/>
        </w:rPr>
        <w:t>evident in</w:t>
      </w:r>
      <w:r w:rsidR="00954E95" w:rsidRPr="000B2E6D">
        <w:rPr>
          <w:rFonts w:ascii="Calibri" w:hAnsi="Calibri"/>
        </w:rPr>
        <w:t xml:space="preserve"> varying</w:t>
      </w:r>
      <w:r w:rsidR="00BD66EF" w:rsidRPr="000B2E6D">
        <w:rPr>
          <w:rFonts w:ascii="Calibri" w:hAnsi="Calibri"/>
        </w:rPr>
        <w:t xml:space="preserve"> levels of</w:t>
      </w:r>
      <w:r w:rsidR="009F3AF0" w:rsidRPr="000B2E6D">
        <w:rPr>
          <w:rFonts w:ascii="Calibri" w:hAnsi="Calibri"/>
        </w:rPr>
        <w:t xml:space="preserve"> legislative </w:t>
      </w:r>
      <w:r w:rsidR="00954E95" w:rsidRPr="000B2E6D">
        <w:rPr>
          <w:rFonts w:ascii="Calibri" w:hAnsi="Calibri"/>
        </w:rPr>
        <w:t xml:space="preserve">protections and a fragmented government response that </w:t>
      </w:r>
      <w:r w:rsidR="00BD66EF" w:rsidRPr="000B2E6D">
        <w:rPr>
          <w:rFonts w:ascii="Calibri" w:hAnsi="Calibri"/>
        </w:rPr>
        <w:t xml:space="preserve">led </w:t>
      </w:r>
      <w:r w:rsidR="00954E95" w:rsidRPr="000B2E6D">
        <w:rPr>
          <w:rFonts w:ascii="Calibri" w:hAnsi="Calibri"/>
        </w:rPr>
        <w:t>to</w:t>
      </w:r>
      <w:r w:rsidR="009F3AF0" w:rsidRPr="000B2E6D">
        <w:rPr>
          <w:rFonts w:ascii="Calibri" w:hAnsi="Calibri"/>
        </w:rPr>
        <w:t xml:space="preserve"> discrimination in practice</w:t>
      </w:r>
      <w:r w:rsidR="00954E95" w:rsidRPr="000B2E6D">
        <w:rPr>
          <w:rFonts w:ascii="Calibri" w:hAnsi="Calibri"/>
        </w:rPr>
        <w:t xml:space="preserve"> against women and girls affected by conflict</w:t>
      </w:r>
      <w:r w:rsidR="009F3AF0" w:rsidRPr="000B2E6D">
        <w:rPr>
          <w:rFonts w:ascii="Calibri" w:hAnsi="Calibri"/>
        </w:rPr>
        <w:t xml:space="preserve">. </w:t>
      </w:r>
      <w:r w:rsidR="00BD66EF" w:rsidRPr="000B2E6D">
        <w:rPr>
          <w:rFonts w:ascii="Calibri" w:hAnsi="Calibri"/>
        </w:rPr>
        <w:t>Civil society has</w:t>
      </w:r>
      <w:r w:rsidR="009F3AF0" w:rsidRPr="000B2E6D">
        <w:rPr>
          <w:rFonts w:ascii="Calibri" w:hAnsi="Calibri"/>
        </w:rPr>
        <w:t xml:space="preserve"> been </w:t>
      </w:r>
      <w:r w:rsidR="00954E95" w:rsidRPr="000B2E6D">
        <w:rPr>
          <w:rFonts w:ascii="Calibri" w:hAnsi="Calibri"/>
        </w:rPr>
        <w:t>doing much of the</w:t>
      </w:r>
      <w:r w:rsidR="009F3AF0" w:rsidRPr="000B2E6D">
        <w:rPr>
          <w:rFonts w:ascii="Calibri" w:hAnsi="Calibri"/>
        </w:rPr>
        <w:t xml:space="preserve"> work that </w:t>
      </w:r>
      <w:r w:rsidRPr="000B2E6D">
        <w:rPr>
          <w:rFonts w:ascii="Calibri" w:hAnsi="Calibri"/>
        </w:rPr>
        <w:t xml:space="preserve">should be done by the government, and </w:t>
      </w:r>
      <w:r w:rsidR="00BD66EF" w:rsidRPr="000B2E6D">
        <w:rPr>
          <w:rFonts w:ascii="Calibri" w:hAnsi="Calibri"/>
        </w:rPr>
        <w:t xml:space="preserve">NGOs </w:t>
      </w:r>
      <w:r w:rsidR="00954E95" w:rsidRPr="000B2E6D">
        <w:rPr>
          <w:rFonts w:ascii="Calibri" w:hAnsi="Calibri"/>
        </w:rPr>
        <w:t>are often</w:t>
      </w:r>
      <w:r w:rsidR="009F3AF0" w:rsidRPr="000B2E6D">
        <w:rPr>
          <w:rFonts w:ascii="Calibri" w:hAnsi="Calibri"/>
        </w:rPr>
        <w:t xml:space="preserve"> the only recourse </w:t>
      </w:r>
      <w:r w:rsidR="00954E95" w:rsidRPr="000B2E6D">
        <w:rPr>
          <w:rFonts w:ascii="Calibri" w:hAnsi="Calibri"/>
        </w:rPr>
        <w:t>for victims and survivors of SGBV to achieve access to justice</w:t>
      </w:r>
      <w:r w:rsidR="009F3AF0" w:rsidRPr="000B2E6D">
        <w:rPr>
          <w:rFonts w:ascii="Calibri" w:hAnsi="Calibri"/>
        </w:rPr>
        <w:t xml:space="preserve">. </w:t>
      </w:r>
      <w:r w:rsidR="00954E95" w:rsidRPr="000B2E6D">
        <w:rPr>
          <w:rFonts w:ascii="Calibri" w:hAnsi="Calibri"/>
        </w:rPr>
        <w:t xml:space="preserve">BiH needs </w:t>
      </w:r>
      <w:r w:rsidR="009F3AF0" w:rsidRPr="000B2E6D">
        <w:rPr>
          <w:rFonts w:ascii="Calibri" w:hAnsi="Calibri"/>
        </w:rPr>
        <w:t xml:space="preserve">significant political </w:t>
      </w:r>
      <w:r w:rsidR="00954E95" w:rsidRPr="000B2E6D">
        <w:rPr>
          <w:rFonts w:ascii="Calibri" w:hAnsi="Calibri"/>
        </w:rPr>
        <w:t>buy-in and coordination at all levels of government</w:t>
      </w:r>
      <w:r w:rsidR="00BD66EF" w:rsidRPr="000B2E6D">
        <w:rPr>
          <w:rFonts w:ascii="Calibri" w:hAnsi="Calibri"/>
        </w:rPr>
        <w:t xml:space="preserve"> to protect women and girls in its unique post-conflict context, especially those facing a lack of access to justice and meaningful redress for rape and SGBV-related crimes</w:t>
      </w:r>
      <w:r w:rsidR="00954E95" w:rsidRPr="000B2E6D">
        <w:rPr>
          <w:rFonts w:ascii="Calibri" w:hAnsi="Calibri"/>
        </w:rPr>
        <w:t xml:space="preserve">. The new NAP provides a solid foundation for improved government action, </w:t>
      </w:r>
      <w:r w:rsidR="00BD66EF" w:rsidRPr="000B2E6D">
        <w:rPr>
          <w:rFonts w:ascii="Calibri" w:hAnsi="Calibri"/>
        </w:rPr>
        <w:t xml:space="preserve">by directly incorporating CEDAW Committee recommendations and referring to BIH’s obligations under </w:t>
      </w:r>
      <w:r w:rsidR="00954E95" w:rsidRPr="000B2E6D">
        <w:rPr>
          <w:rFonts w:ascii="Calibri" w:hAnsi="Calibri"/>
        </w:rPr>
        <w:t>the legal framework.</w:t>
      </w:r>
    </w:p>
    <w:p w14:paraId="352D3BD6" w14:textId="1B412CDB" w:rsidR="00BD66EF" w:rsidRDefault="00BD66EF" w:rsidP="00BD66EF">
      <w:pPr>
        <w:rPr>
          <w:rFonts w:ascii="Calibri" w:hAnsi="Calibri"/>
        </w:rPr>
      </w:pPr>
      <w:r>
        <w:rPr>
          <w:rFonts w:ascii="Calibri" w:hAnsi="Calibri"/>
        </w:rPr>
        <w:br w:type="page"/>
      </w:r>
    </w:p>
    <w:p w14:paraId="6BE5B3D5" w14:textId="6226AF5E" w:rsidR="003330F3" w:rsidRPr="003330F3" w:rsidRDefault="003330F3" w:rsidP="003330F3">
      <w:pPr>
        <w:pStyle w:val="Heading3"/>
        <w:keepLines/>
        <w:spacing w:before="20" w:after="0"/>
        <w:jc w:val="center"/>
        <w:rPr>
          <w:b w:val="0"/>
          <w:color w:val="1F497D" w:themeColor="text2"/>
          <w:spacing w:val="14"/>
          <w:sz w:val="32"/>
          <w:szCs w:val="32"/>
          <w:u w:val="single"/>
          <w:lang w:val="en-GB"/>
        </w:rPr>
      </w:pPr>
      <w:bookmarkStart w:id="17" w:name="_Toc416867095"/>
      <w:r>
        <w:rPr>
          <w:b w:val="0"/>
          <w:color w:val="1F497D" w:themeColor="text2"/>
          <w:spacing w:val="14"/>
          <w:sz w:val="32"/>
          <w:szCs w:val="32"/>
          <w:u w:val="single"/>
          <w:lang w:val="en-GB"/>
        </w:rPr>
        <w:lastRenderedPageBreak/>
        <w:t>LATIN AMERICA</w:t>
      </w:r>
      <w:bookmarkEnd w:id="17"/>
    </w:p>
    <w:p w14:paraId="6630EE88" w14:textId="77777777" w:rsidR="003330F3" w:rsidRDefault="003330F3" w:rsidP="003330F3">
      <w:pPr>
        <w:jc w:val="both"/>
        <w:rPr>
          <w:rFonts w:ascii="Calibri" w:hAnsi="Calibri"/>
          <w:b/>
        </w:rPr>
      </w:pPr>
    </w:p>
    <w:p w14:paraId="2AC4286B" w14:textId="2A4F48EF" w:rsidR="000E78A5" w:rsidRPr="000E78A5" w:rsidRDefault="000E78A5" w:rsidP="000E78A5">
      <w:pPr>
        <w:pStyle w:val="Heading3"/>
        <w:keepLines/>
        <w:spacing w:before="20" w:after="0"/>
        <w:jc w:val="center"/>
        <w:rPr>
          <w:b w:val="0"/>
          <w:color w:val="1F497D" w:themeColor="text2"/>
          <w:spacing w:val="14"/>
          <w:sz w:val="32"/>
          <w:szCs w:val="32"/>
          <w:lang w:val="en-GB"/>
        </w:rPr>
      </w:pPr>
      <w:bookmarkStart w:id="18" w:name="_Toc416867096"/>
      <w:r>
        <w:rPr>
          <w:b w:val="0"/>
          <w:color w:val="1F497D" w:themeColor="text2"/>
          <w:spacing w:val="14"/>
          <w:sz w:val="32"/>
          <w:szCs w:val="32"/>
          <w:lang w:val="en-GB"/>
        </w:rPr>
        <w:t>CHILE – A NAP FOR NATIONAL AND INTERNATIONAL COOPERATION</w:t>
      </w:r>
      <w:bookmarkEnd w:id="18"/>
    </w:p>
    <w:p w14:paraId="4D3073EB" w14:textId="77777777" w:rsidR="00874314" w:rsidRPr="003756F9" w:rsidRDefault="00874314" w:rsidP="00874314">
      <w:pPr>
        <w:jc w:val="both"/>
        <w:rPr>
          <w:rFonts w:ascii="Calibri" w:hAnsi="Calibri"/>
          <w:b/>
          <w:smallCaps/>
          <w:sz w:val="28"/>
        </w:rPr>
      </w:pPr>
    </w:p>
    <w:p w14:paraId="56DBE998" w14:textId="36723E2D" w:rsidR="00874314" w:rsidRPr="0090438F" w:rsidRDefault="000E4B5D" w:rsidP="007F364C">
      <w:pPr>
        <w:pStyle w:val="ListParagraph"/>
        <w:numPr>
          <w:ilvl w:val="0"/>
          <w:numId w:val="13"/>
        </w:numPr>
        <w:jc w:val="both"/>
        <w:rPr>
          <w:rFonts w:ascii="Calibri" w:hAnsi="Calibri"/>
          <w:b/>
          <w:color w:val="1F497D" w:themeColor="text2"/>
        </w:rPr>
      </w:pPr>
      <w:r w:rsidRPr="0090438F">
        <w:rPr>
          <w:rFonts w:ascii="Calibri" w:hAnsi="Calibri"/>
          <w:b/>
          <w:color w:val="1F497D" w:themeColor="text2"/>
        </w:rPr>
        <w:t>An</w:t>
      </w:r>
      <w:r w:rsidR="00874314" w:rsidRPr="0090438F">
        <w:rPr>
          <w:rFonts w:ascii="Calibri" w:hAnsi="Calibri"/>
          <w:b/>
          <w:color w:val="1F497D" w:themeColor="text2"/>
        </w:rPr>
        <w:t xml:space="preserve"> Overview </w:t>
      </w:r>
      <w:r w:rsidR="00BD66EF" w:rsidRPr="0090438F">
        <w:rPr>
          <w:rFonts w:ascii="Calibri" w:hAnsi="Calibri"/>
          <w:b/>
          <w:color w:val="1F497D" w:themeColor="text2"/>
        </w:rPr>
        <w:t xml:space="preserve">of </w:t>
      </w:r>
      <w:r w:rsidR="00213F5E" w:rsidRPr="0090438F">
        <w:rPr>
          <w:rFonts w:ascii="Calibri" w:hAnsi="Calibri"/>
          <w:b/>
          <w:color w:val="1F497D" w:themeColor="text2"/>
        </w:rPr>
        <w:t>Post-Conflict</w:t>
      </w:r>
      <w:r w:rsidR="00874314" w:rsidRPr="0090438F">
        <w:rPr>
          <w:rFonts w:ascii="Calibri" w:hAnsi="Calibri"/>
          <w:b/>
          <w:color w:val="1F497D" w:themeColor="text2"/>
        </w:rPr>
        <w:t xml:space="preserve"> Chile</w:t>
      </w:r>
    </w:p>
    <w:p w14:paraId="4D9D4349" w14:textId="77777777" w:rsidR="00874314" w:rsidRPr="0090438F" w:rsidRDefault="00874314" w:rsidP="00874314">
      <w:pPr>
        <w:jc w:val="both"/>
        <w:rPr>
          <w:rFonts w:ascii="Calibri" w:hAnsi="Calibri"/>
          <w:b/>
        </w:rPr>
      </w:pPr>
    </w:p>
    <w:p w14:paraId="3150BA64" w14:textId="5D949D51" w:rsidR="00874314" w:rsidRPr="0090438F" w:rsidRDefault="00A35147" w:rsidP="00CD181F">
      <w:pPr>
        <w:spacing w:line="360" w:lineRule="auto"/>
        <w:jc w:val="both"/>
        <w:rPr>
          <w:rFonts w:ascii="Calibri" w:hAnsi="Calibri"/>
        </w:rPr>
      </w:pPr>
      <w:r w:rsidRPr="0090438F">
        <w:rPr>
          <w:rFonts w:ascii="Calibri" w:hAnsi="Calibri"/>
        </w:rPr>
        <w:t>Chile is a</w:t>
      </w:r>
      <w:r w:rsidR="00AF5015" w:rsidRPr="0090438F">
        <w:rPr>
          <w:rFonts w:ascii="Calibri" w:hAnsi="Calibri"/>
        </w:rPr>
        <w:t xml:space="preserve"> country not currently affected by</w:t>
      </w:r>
      <w:r w:rsidR="000E4B5D" w:rsidRPr="0090438F">
        <w:rPr>
          <w:rFonts w:ascii="Calibri" w:hAnsi="Calibri"/>
        </w:rPr>
        <w:t xml:space="preserve"> </w:t>
      </w:r>
      <w:r w:rsidR="00AF5015" w:rsidRPr="0090438F">
        <w:rPr>
          <w:rFonts w:ascii="Calibri" w:hAnsi="Calibri"/>
        </w:rPr>
        <w:t>conflict</w:t>
      </w:r>
      <w:r w:rsidR="000E4B5D" w:rsidRPr="0090438F">
        <w:rPr>
          <w:rFonts w:ascii="Calibri" w:hAnsi="Calibri"/>
        </w:rPr>
        <w:t xml:space="preserve">, </w:t>
      </w:r>
      <w:r w:rsidRPr="0090438F">
        <w:rPr>
          <w:rFonts w:ascii="Calibri" w:hAnsi="Calibri"/>
        </w:rPr>
        <w:t>having</w:t>
      </w:r>
      <w:r w:rsidR="000E4B5D" w:rsidRPr="0090438F">
        <w:rPr>
          <w:rFonts w:ascii="Calibri" w:hAnsi="Calibri"/>
        </w:rPr>
        <w:t xml:space="preserve"> had</w:t>
      </w:r>
      <w:r w:rsidR="00874314" w:rsidRPr="0090438F">
        <w:rPr>
          <w:rFonts w:ascii="Calibri" w:hAnsi="Calibri"/>
        </w:rPr>
        <w:t xml:space="preserve"> more than 40 years to heal </w:t>
      </w:r>
      <w:r w:rsidR="000E4B5D" w:rsidRPr="0090438F">
        <w:rPr>
          <w:rFonts w:ascii="Calibri" w:hAnsi="Calibri"/>
        </w:rPr>
        <w:t xml:space="preserve">from </w:t>
      </w:r>
      <w:r w:rsidR="00AF5015" w:rsidRPr="0090438F">
        <w:rPr>
          <w:rFonts w:ascii="Calibri" w:hAnsi="Calibri"/>
        </w:rPr>
        <w:t>the dictatorship of Augusto Pinochet</w:t>
      </w:r>
      <w:r w:rsidR="00874314" w:rsidRPr="0090438F">
        <w:rPr>
          <w:rFonts w:ascii="Calibri" w:hAnsi="Calibri"/>
        </w:rPr>
        <w:t xml:space="preserve">. </w:t>
      </w:r>
      <w:r w:rsidRPr="0090438F">
        <w:rPr>
          <w:rFonts w:ascii="Calibri" w:hAnsi="Calibri"/>
        </w:rPr>
        <w:t>Violence, especially against women, was systematic and widespread d</w:t>
      </w:r>
      <w:r w:rsidR="00874314" w:rsidRPr="0090438F">
        <w:rPr>
          <w:rFonts w:ascii="Calibri" w:hAnsi="Calibri"/>
        </w:rPr>
        <w:t xml:space="preserve">uring the Pinochet regime. </w:t>
      </w:r>
      <w:r w:rsidR="008C2DA1" w:rsidRPr="0090438F">
        <w:rPr>
          <w:rFonts w:ascii="Calibri" w:hAnsi="Calibri"/>
        </w:rPr>
        <w:t>The 2005 report of the</w:t>
      </w:r>
      <w:r w:rsidRPr="0090438F">
        <w:rPr>
          <w:rFonts w:ascii="Calibri" w:hAnsi="Calibri"/>
        </w:rPr>
        <w:t xml:space="preserve"> National Commission on Political Imprisonment and Torture</w:t>
      </w:r>
      <w:r w:rsidR="008C2DA1" w:rsidRPr="0090438F">
        <w:rPr>
          <w:rFonts w:ascii="Calibri" w:hAnsi="Calibri"/>
        </w:rPr>
        <w:t xml:space="preserve"> (</w:t>
      </w:r>
      <w:r w:rsidR="000B2E6D" w:rsidRPr="0090438F">
        <w:rPr>
          <w:rFonts w:ascii="Calibri" w:hAnsi="Calibri"/>
        </w:rPr>
        <w:t xml:space="preserve">the </w:t>
      </w:r>
      <w:r w:rsidR="006171DA" w:rsidRPr="0090438F">
        <w:rPr>
          <w:rFonts w:ascii="Calibri" w:hAnsi="Calibri"/>
        </w:rPr>
        <w:t>Valech Report</w:t>
      </w:r>
      <w:r w:rsidR="008C2DA1" w:rsidRPr="0090438F">
        <w:rPr>
          <w:rFonts w:ascii="Calibri" w:hAnsi="Calibri"/>
        </w:rPr>
        <w:t>) recorded that</w:t>
      </w:r>
      <w:r w:rsidRPr="0090438F">
        <w:rPr>
          <w:rFonts w:ascii="Calibri" w:hAnsi="Calibri"/>
        </w:rPr>
        <w:t xml:space="preserve"> m</w:t>
      </w:r>
      <w:r w:rsidR="00874314" w:rsidRPr="0090438F">
        <w:rPr>
          <w:rFonts w:ascii="Calibri" w:hAnsi="Calibri"/>
        </w:rPr>
        <w:t>ore than three thousand women, in addition to being victims of torture methods used against all the detainees, suffered sexual violence from state agents. Of the 3</w:t>
      </w:r>
      <w:r w:rsidR="000E4B5D" w:rsidRPr="0090438F">
        <w:rPr>
          <w:rFonts w:ascii="Calibri" w:hAnsi="Calibri"/>
        </w:rPr>
        <w:t>,</w:t>
      </w:r>
      <w:r w:rsidR="00874314" w:rsidRPr="0090438F">
        <w:rPr>
          <w:rFonts w:ascii="Calibri" w:hAnsi="Calibri"/>
        </w:rPr>
        <w:t xml:space="preserve">400 women who testified </w:t>
      </w:r>
      <w:r w:rsidR="006171DA" w:rsidRPr="0090438F">
        <w:rPr>
          <w:rFonts w:ascii="Calibri" w:hAnsi="Calibri"/>
        </w:rPr>
        <w:t>in the Valech Report</w:t>
      </w:r>
      <w:r w:rsidR="00874314" w:rsidRPr="0090438F">
        <w:rPr>
          <w:rFonts w:ascii="Calibri" w:hAnsi="Calibri"/>
        </w:rPr>
        <w:t xml:space="preserve">, most </w:t>
      </w:r>
      <w:r w:rsidRPr="0090438F">
        <w:rPr>
          <w:rFonts w:ascii="Calibri" w:hAnsi="Calibri"/>
        </w:rPr>
        <w:t>reported being some</w:t>
      </w:r>
      <w:r w:rsidR="00874314" w:rsidRPr="0090438F">
        <w:rPr>
          <w:rFonts w:ascii="Calibri" w:hAnsi="Calibri"/>
        </w:rPr>
        <w:t xml:space="preserve"> form of sexual</w:t>
      </w:r>
      <w:r w:rsidRPr="0090438F">
        <w:rPr>
          <w:rFonts w:ascii="Calibri" w:hAnsi="Calibri"/>
        </w:rPr>
        <w:t xml:space="preserve"> and gender-based</w:t>
      </w:r>
      <w:r w:rsidR="00874314" w:rsidRPr="0090438F">
        <w:rPr>
          <w:rFonts w:ascii="Calibri" w:hAnsi="Calibri"/>
        </w:rPr>
        <w:t xml:space="preserve"> violence</w:t>
      </w:r>
      <w:r w:rsidRPr="0090438F">
        <w:rPr>
          <w:rFonts w:ascii="Calibri" w:hAnsi="Calibri"/>
        </w:rPr>
        <w:t xml:space="preserve"> (SGBV) </w:t>
      </w:r>
      <w:r w:rsidR="00874314" w:rsidRPr="0090438F">
        <w:rPr>
          <w:rFonts w:ascii="Calibri" w:hAnsi="Calibri"/>
        </w:rPr>
        <w:t xml:space="preserve">and more than 200 reported </w:t>
      </w:r>
      <w:r w:rsidR="00A90ED0" w:rsidRPr="0090438F">
        <w:rPr>
          <w:rFonts w:ascii="Calibri" w:hAnsi="Calibri"/>
        </w:rPr>
        <w:t>being</w:t>
      </w:r>
      <w:r w:rsidR="00874314" w:rsidRPr="0090438F">
        <w:rPr>
          <w:rFonts w:ascii="Calibri" w:hAnsi="Calibri"/>
        </w:rPr>
        <w:t xml:space="preserve"> arrested while pregnant.</w:t>
      </w:r>
      <w:r w:rsidR="001109DA" w:rsidRPr="0090438F">
        <w:rPr>
          <w:rStyle w:val="FootnoteReference"/>
          <w:rFonts w:ascii="Calibri" w:hAnsi="Calibri"/>
        </w:rPr>
        <w:t xml:space="preserve"> </w:t>
      </w:r>
      <w:r w:rsidR="001109DA" w:rsidRPr="0090438F">
        <w:rPr>
          <w:rStyle w:val="FootnoteReference"/>
          <w:rFonts w:ascii="Calibri" w:hAnsi="Calibri"/>
        </w:rPr>
        <w:footnoteReference w:id="224"/>
      </w:r>
      <w:r w:rsidR="001109DA" w:rsidRPr="0090438F">
        <w:rPr>
          <w:rStyle w:val="FootnoteReference"/>
          <w:rFonts w:ascii="Calibri" w:hAnsi="Calibri"/>
        </w:rPr>
        <w:t xml:space="preserve"> </w:t>
      </w:r>
      <w:r w:rsidR="008C15E2" w:rsidRPr="0090438F">
        <w:rPr>
          <w:rFonts w:ascii="Calibri" w:hAnsi="Calibri"/>
        </w:rPr>
        <w:t xml:space="preserve"> </w:t>
      </w:r>
      <w:r w:rsidR="00BD66EF" w:rsidRPr="0090438F">
        <w:rPr>
          <w:rFonts w:ascii="Calibri" w:hAnsi="Calibri"/>
        </w:rPr>
        <w:t>It has been observed that SGBV during the dictatorship has</w:t>
      </w:r>
      <w:r w:rsidR="00151500" w:rsidRPr="0090438F">
        <w:rPr>
          <w:rFonts w:ascii="Calibri" w:hAnsi="Calibri"/>
        </w:rPr>
        <w:t xml:space="preserve"> “</w:t>
      </w:r>
      <w:r w:rsidR="00874314" w:rsidRPr="0090438F">
        <w:rPr>
          <w:rFonts w:ascii="Calibri" w:hAnsi="Calibri"/>
        </w:rPr>
        <w:t>many common elements with the widespread sexual violence committed against women in wars and armed conflicts</w:t>
      </w:r>
      <w:r w:rsidR="000E4B5D" w:rsidRPr="0090438F">
        <w:rPr>
          <w:rFonts w:ascii="Calibri" w:hAnsi="Calibri"/>
        </w:rPr>
        <w:t>…</w:t>
      </w:r>
      <w:r w:rsidR="00151500" w:rsidRPr="0090438F">
        <w:rPr>
          <w:rFonts w:ascii="Calibri" w:hAnsi="Calibri"/>
        </w:rPr>
        <w:t xml:space="preserve">The bodies of women are </w:t>
      </w:r>
      <w:r w:rsidR="00874314" w:rsidRPr="0090438F">
        <w:rPr>
          <w:rFonts w:ascii="Calibri" w:hAnsi="Calibri"/>
        </w:rPr>
        <w:t>attacked and occupied as part of a military strategy to attack the enemy, as if their bodies also represent enemy territory to be occupied, invaded, violated</w:t>
      </w:r>
      <w:r w:rsidR="00464F1A" w:rsidRPr="0090438F">
        <w:rPr>
          <w:rFonts w:ascii="Calibri" w:hAnsi="Calibri"/>
        </w:rPr>
        <w:t>”.</w:t>
      </w:r>
      <w:r w:rsidR="00874314" w:rsidRPr="0090438F">
        <w:rPr>
          <w:rStyle w:val="FootnoteReference"/>
          <w:rFonts w:ascii="Calibri" w:hAnsi="Calibri"/>
        </w:rPr>
        <w:footnoteReference w:id="225"/>
      </w:r>
    </w:p>
    <w:p w14:paraId="1C58C24C" w14:textId="77777777" w:rsidR="00874314" w:rsidRPr="0090438F" w:rsidRDefault="00874314" w:rsidP="00874314">
      <w:pPr>
        <w:jc w:val="both"/>
        <w:rPr>
          <w:rFonts w:ascii="Calibri" w:hAnsi="Calibri"/>
          <w:b/>
        </w:rPr>
      </w:pPr>
    </w:p>
    <w:p w14:paraId="1422976B" w14:textId="7F0FF340" w:rsidR="00874314" w:rsidRPr="0090438F" w:rsidRDefault="00E56F5F" w:rsidP="007F364C">
      <w:pPr>
        <w:pStyle w:val="ListParagraph"/>
        <w:numPr>
          <w:ilvl w:val="0"/>
          <w:numId w:val="13"/>
        </w:numPr>
        <w:jc w:val="both"/>
        <w:rPr>
          <w:rFonts w:ascii="Calibri" w:hAnsi="Calibri"/>
          <w:b/>
          <w:color w:val="1F497D" w:themeColor="text2"/>
        </w:rPr>
      </w:pPr>
      <w:r w:rsidRPr="0090438F">
        <w:rPr>
          <w:rFonts w:ascii="Calibri" w:hAnsi="Calibri"/>
          <w:b/>
          <w:color w:val="1F497D" w:themeColor="text2"/>
        </w:rPr>
        <w:t>Chile’s National Action Plan</w:t>
      </w:r>
      <w:r w:rsidR="00AF5015" w:rsidRPr="0090438F">
        <w:rPr>
          <w:rFonts w:ascii="Calibri" w:hAnsi="Calibri"/>
          <w:b/>
          <w:color w:val="1F497D" w:themeColor="text2"/>
        </w:rPr>
        <w:t>s</w:t>
      </w:r>
      <w:r w:rsidRPr="0090438F">
        <w:rPr>
          <w:rFonts w:ascii="Calibri" w:hAnsi="Calibri"/>
          <w:b/>
          <w:color w:val="1F497D" w:themeColor="text2"/>
        </w:rPr>
        <w:t xml:space="preserve"> 1 (2009-</w:t>
      </w:r>
      <w:r w:rsidR="00D55C34" w:rsidRPr="0090438F">
        <w:rPr>
          <w:rFonts w:ascii="Calibri" w:hAnsi="Calibri"/>
          <w:b/>
          <w:color w:val="1F497D" w:themeColor="text2"/>
        </w:rPr>
        <w:t>unspecified</w:t>
      </w:r>
      <w:r w:rsidR="00BB71B2" w:rsidRPr="0090438F">
        <w:rPr>
          <w:rFonts w:ascii="Calibri" w:hAnsi="Calibri"/>
          <w:b/>
          <w:color w:val="1F497D" w:themeColor="text2"/>
        </w:rPr>
        <w:t>) and 2 (</w:t>
      </w:r>
      <w:r w:rsidRPr="0090438F">
        <w:rPr>
          <w:rFonts w:ascii="Calibri" w:hAnsi="Calibri"/>
          <w:b/>
          <w:color w:val="1F497D" w:themeColor="text2"/>
        </w:rPr>
        <w:t>2015</w:t>
      </w:r>
      <w:r w:rsidR="002827AD" w:rsidRPr="0090438F">
        <w:rPr>
          <w:rFonts w:ascii="Calibri" w:hAnsi="Calibri"/>
          <w:b/>
          <w:color w:val="1F497D" w:themeColor="text2"/>
        </w:rPr>
        <w:t>-18</w:t>
      </w:r>
      <w:r w:rsidRPr="0090438F">
        <w:rPr>
          <w:rFonts w:ascii="Calibri" w:hAnsi="Calibri"/>
          <w:b/>
          <w:color w:val="1F497D" w:themeColor="text2"/>
        </w:rPr>
        <w:t>)</w:t>
      </w:r>
    </w:p>
    <w:p w14:paraId="3005BA2A" w14:textId="77777777" w:rsidR="00874314" w:rsidRPr="0090438F" w:rsidRDefault="00874314" w:rsidP="00874314">
      <w:pPr>
        <w:jc w:val="both"/>
        <w:rPr>
          <w:rFonts w:ascii="Calibri" w:hAnsi="Calibri"/>
        </w:rPr>
      </w:pPr>
    </w:p>
    <w:p w14:paraId="1FAE3EA6" w14:textId="53AD6301" w:rsidR="000A1EA1" w:rsidRPr="0090438F" w:rsidRDefault="000A1EA1" w:rsidP="00874314">
      <w:pPr>
        <w:jc w:val="both"/>
        <w:rPr>
          <w:rFonts w:ascii="Calibri" w:hAnsi="Calibri"/>
          <w:b/>
          <w:color w:val="1F497D" w:themeColor="text2"/>
          <w:u w:val="single"/>
        </w:rPr>
      </w:pPr>
      <w:r w:rsidRPr="0090438F">
        <w:rPr>
          <w:rFonts w:ascii="Calibri" w:hAnsi="Calibri"/>
          <w:b/>
          <w:color w:val="1F497D" w:themeColor="text2"/>
          <w:u w:val="single"/>
        </w:rPr>
        <w:t>First NAP (2009-unspecified)</w:t>
      </w:r>
    </w:p>
    <w:p w14:paraId="7AA62A30" w14:textId="77777777" w:rsidR="000A1EA1" w:rsidRPr="0090438F" w:rsidRDefault="000A1EA1" w:rsidP="00874314">
      <w:pPr>
        <w:jc w:val="both"/>
        <w:rPr>
          <w:rFonts w:ascii="Calibri" w:hAnsi="Calibri"/>
        </w:rPr>
      </w:pPr>
    </w:p>
    <w:p w14:paraId="12D04A9D" w14:textId="5E452388" w:rsidR="005857C6" w:rsidRPr="0090438F" w:rsidRDefault="008C15E2" w:rsidP="00CD181F">
      <w:pPr>
        <w:spacing w:line="360" w:lineRule="auto"/>
        <w:jc w:val="both"/>
        <w:rPr>
          <w:rFonts w:ascii="Calibri" w:hAnsi="Calibri"/>
        </w:rPr>
      </w:pPr>
      <w:r w:rsidRPr="0090438F">
        <w:rPr>
          <w:rFonts w:ascii="Calibri" w:hAnsi="Calibri"/>
        </w:rPr>
        <w:t>Chile was the first Latin American country to adopt a NAP i</w:t>
      </w:r>
      <w:r w:rsidR="00874314" w:rsidRPr="0090438F">
        <w:rPr>
          <w:rFonts w:ascii="Calibri" w:hAnsi="Calibri"/>
        </w:rPr>
        <w:t>n August 2009</w:t>
      </w:r>
      <w:r w:rsidRPr="0090438F">
        <w:rPr>
          <w:rFonts w:ascii="Calibri" w:hAnsi="Calibri"/>
        </w:rPr>
        <w:t xml:space="preserve">, </w:t>
      </w:r>
      <w:r w:rsidR="00E56F5F" w:rsidRPr="0090438F">
        <w:rPr>
          <w:rFonts w:ascii="Calibri" w:hAnsi="Calibri"/>
        </w:rPr>
        <w:t>co-signed by</w:t>
      </w:r>
      <w:r w:rsidR="00396B07" w:rsidRPr="0090438F">
        <w:rPr>
          <w:rFonts w:ascii="Calibri" w:hAnsi="Calibri"/>
        </w:rPr>
        <w:t xml:space="preserve"> President Michelle Bachelet, the Foreign Affairs and Defence Ministers</w:t>
      </w:r>
      <w:r w:rsidR="00874314" w:rsidRPr="0090438F">
        <w:rPr>
          <w:rFonts w:ascii="Calibri" w:hAnsi="Calibri"/>
        </w:rPr>
        <w:t xml:space="preserve">, and the Minister and Director </w:t>
      </w:r>
      <w:r w:rsidR="00E56F5F" w:rsidRPr="0090438F">
        <w:rPr>
          <w:rFonts w:ascii="Calibri" w:hAnsi="Calibri"/>
        </w:rPr>
        <w:t>of the National Women’s Service</w:t>
      </w:r>
      <w:r w:rsidR="00874314" w:rsidRPr="0090438F">
        <w:rPr>
          <w:rFonts w:ascii="Calibri" w:hAnsi="Calibri"/>
        </w:rPr>
        <w:t xml:space="preserve">. </w:t>
      </w:r>
      <w:r w:rsidR="00211F9F" w:rsidRPr="0090438F">
        <w:rPr>
          <w:rFonts w:ascii="Calibri" w:hAnsi="Calibri"/>
        </w:rPr>
        <w:t>While the consultation process leading to the NAP included many government and academic institutions,</w:t>
      </w:r>
      <w:r w:rsidR="00211F9F" w:rsidRPr="0090438F">
        <w:rPr>
          <w:rStyle w:val="FootnoteReference"/>
          <w:rFonts w:ascii="Calibri" w:hAnsi="Calibri"/>
        </w:rPr>
        <w:footnoteReference w:id="226"/>
      </w:r>
      <w:r w:rsidR="00211F9F" w:rsidRPr="0090438F">
        <w:rPr>
          <w:rFonts w:ascii="Calibri" w:hAnsi="Calibri"/>
        </w:rPr>
        <w:t xml:space="preserve"> only one NGO</w:t>
      </w:r>
      <w:r w:rsidR="00BB71B2" w:rsidRPr="0090438F">
        <w:rPr>
          <w:rFonts w:ascii="Calibri" w:hAnsi="Calibri"/>
        </w:rPr>
        <w:t xml:space="preserve"> working on women’s rights</w:t>
      </w:r>
      <w:r w:rsidR="00211F9F" w:rsidRPr="0090438F">
        <w:rPr>
          <w:rFonts w:ascii="Calibri" w:hAnsi="Calibri"/>
        </w:rPr>
        <w:t xml:space="preserve"> was involved.</w:t>
      </w:r>
      <w:r w:rsidR="00211F9F" w:rsidRPr="0090438F">
        <w:rPr>
          <w:rStyle w:val="FootnoteReference"/>
          <w:rFonts w:ascii="Calibri" w:hAnsi="Calibri"/>
        </w:rPr>
        <w:footnoteReference w:id="227"/>
      </w:r>
      <w:r w:rsidR="00211F9F" w:rsidRPr="0090438F">
        <w:rPr>
          <w:rFonts w:ascii="Calibri" w:hAnsi="Calibri"/>
        </w:rPr>
        <w:t xml:space="preserve"> </w:t>
      </w:r>
      <w:r w:rsidR="005857C6" w:rsidRPr="0090438F">
        <w:rPr>
          <w:rFonts w:ascii="Calibri" w:hAnsi="Calibri"/>
        </w:rPr>
        <w:t>In December 2009 the Foreign Affairs Minister organized a seminar on ‘Challenges in the Implementation of Resolution 1325’, to</w:t>
      </w:r>
      <w:r w:rsidR="00BD66EF" w:rsidRPr="0090438F">
        <w:rPr>
          <w:rFonts w:ascii="Calibri" w:hAnsi="Calibri"/>
        </w:rPr>
        <w:t xml:space="preserve"> better</w:t>
      </w:r>
      <w:r w:rsidR="005857C6" w:rsidRPr="0090438F">
        <w:rPr>
          <w:rFonts w:ascii="Calibri" w:hAnsi="Calibri"/>
        </w:rPr>
        <w:t xml:space="preserve"> involve civil society in </w:t>
      </w:r>
      <w:r w:rsidR="00BD66EF" w:rsidRPr="0090438F">
        <w:rPr>
          <w:rFonts w:ascii="Calibri" w:hAnsi="Calibri"/>
        </w:rPr>
        <w:t>implementing</w:t>
      </w:r>
      <w:r w:rsidR="005857C6" w:rsidRPr="0090438F">
        <w:rPr>
          <w:rFonts w:ascii="Calibri" w:hAnsi="Calibri"/>
        </w:rPr>
        <w:t xml:space="preserve"> the NAP. </w:t>
      </w:r>
    </w:p>
    <w:p w14:paraId="159BBDE2" w14:textId="77777777" w:rsidR="005857C6" w:rsidRPr="0090438F" w:rsidRDefault="005857C6" w:rsidP="00874314">
      <w:pPr>
        <w:jc w:val="both"/>
        <w:rPr>
          <w:rFonts w:ascii="Calibri" w:hAnsi="Calibri"/>
        </w:rPr>
      </w:pPr>
    </w:p>
    <w:p w14:paraId="6B99DD51" w14:textId="0EE8082D" w:rsidR="008D4BBE" w:rsidRPr="0090438F" w:rsidRDefault="00D55C34" w:rsidP="00CD181F">
      <w:pPr>
        <w:spacing w:line="360" w:lineRule="auto"/>
        <w:jc w:val="both"/>
        <w:rPr>
          <w:rFonts w:ascii="Calibri" w:hAnsi="Calibri"/>
        </w:rPr>
      </w:pPr>
      <w:r w:rsidRPr="0090438F">
        <w:rPr>
          <w:rFonts w:ascii="Calibri" w:hAnsi="Calibri"/>
        </w:rPr>
        <w:lastRenderedPageBreak/>
        <w:t>The first NAP was unique in focusing on regional cooperation and foreign relations.</w:t>
      </w:r>
      <w:r w:rsidRPr="0090438F">
        <w:rPr>
          <w:rStyle w:val="FootnoteReference"/>
          <w:rFonts w:ascii="Calibri" w:hAnsi="Calibri"/>
        </w:rPr>
        <w:footnoteReference w:id="228"/>
      </w:r>
      <w:r w:rsidRPr="0090438F">
        <w:rPr>
          <w:rFonts w:ascii="Calibri" w:hAnsi="Calibri"/>
        </w:rPr>
        <w:t xml:space="preserve"> </w:t>
      </w:r>
      <w:r w:rsidR="00874314" w:rsidRPr="0090438F">
        <w:rPr>
          <w:rFonts w:ascii="Calibri" w:hAnsi="Calibri"/>
        </w:rPr>
        <w:t xml:space="preserve">The </w:t>
      </w:r>
      <w:r w:rsidR="001109DA" w:rsidRPr="0090438F">
        <w:rPr>
          <w:rFonts w:ascii="Calibri" w:hAnsi="Calibri"/>
        </w:rPr>
        <w:t xml:space="preserve">NAP </w:t>
      </w:r>
      <w:r w:rsidR="00396B07" w:rsidRPr="0090438F">
        <w:rPr>
          <w:rFonts w:ascii="Calibri" w:hAnsi="Calibri"/>
        </w:rPr>
        <w:t>had</w:t>
      </w:r>
      <w:r w:rsidR="00874314" w:rsidRPr="0090438F">
        <w:rPr>
          <w:rFonts w:ascii="Calibri" w:hAnsi="Calibri"/>
        </w:rPr>
        <w:t xml:space="preserve"> </w:t>
      </w:r>
      <w:r w:rsidR="001109DA" w:rsidRPr="0090438F">
        <w:rPr>
          <w:rFonts w:ascii="Calibri" w:hAnsi="Calibri"/>
        </w:rPr>
        <w:t>five pillars</w:t>
      </w:r>
      <w:r w:rsidR="00874314" w:rsidRPr="0090438F">
        <w:rPr>
          <w:rFonts w:ascii="Calibri" w:hAnsi="Calibri"/>
        </w:rPr>
        <w:t xml:space="preserve">: (1) Applying a gender focus </w:t>
      </w:r>
      <w:r w:rsidR="002827AD" w:rsidRPr="0090438F">
        <w:rPr>
          <w:rFonts w:ascii="Calibri" w:hAnsi="Calibri"/>
        </w:rPr>
        <w:t xml:space="preserve">to respecting and promoting </w:t>
      </w:r>
      <w:r w:rsidR="00874314" w:rsidRPr="0090438F">
        <w:rPr>
          <w:rFonts w:ascii="Calibri" w:hAnsi="Calibri"/>
        </w:rPr>
        <w:t xml:space="preserve">human rights in Chile and beyond </w:t>
      </w:r>
      <w:r w:rsidR="00BD66EF" w:rsidRPr="0090438F">
        <w:rPr>
          <w:rFonts w:ascii="Calibri" w:hAnsi="Calibri"/>
        </w:rPr>
        <w:t xml:space="preserve">Chile’s </w:t>
      </w:r>
      <w:r w:rsidR="00874314" w:rsidRPr="0090438F">
        <w:rPr>
          <w:rFonts w:ascii="Calibri" w:hAnsi="Calibri"/>
        </w:rPr>
        <w:t xml:space="preserve">borders; (2) Promoting </w:t>
      </w:r>
      <w:r w:rsidR="002827AD" w:rsidRPr="0090438F">
        <w:rPr>
          <w:rFonts w:ascii="Calibri" w:hAnsi="Calibri"/>
        </w:rPr>
        <w:t xml:space="preserve">women’s </w:t>
      </w:r>
      <w:r w:rsidR="00211F9F" w:rsidRPr="0090438F">
        <w:rPr>
          <w:rFonts w:ascii="Calibri" w:hAnsi="Calibri"/>
        </w:rPr>
        <w:t xml:space="preserve">equal participation in </w:t>
      </w:r>
      <w:r w:rsidR="00874314" w:rsidRPr="0090438F">
        <w:rPr>
          <w:rFonts w:ascii="Calibri" w:hAnsi="Calibri"/>
        </w:rPr>
        <w:t>peace operations</w:t>
      </w:r>
      <w:r w:rsidR="00211F9F" w:rsidRPr="0090438F">
        <w:rPr>
          <w:rFonts w:ascii="Calibri" w:hAnsi="Calibri"/>
        </w:rPr>
        <w:t>, including</w:t>
      </w:r>
      <w:r w:rsidR="00874314" w:rsidRPr="0090438F">
        <w:rPr>
          <w:rFonts w:ascii="Calibri" w:hAnsi="Calibri"/>
        </w:rPr>
        <w:t xml:space="preserve"> decision-making; (3) Considering </w:t>
      </w:r>
      <w:r w:rsidR="00DC5DE2" w:rsidRPr="0090438F">
        <w:rPr>
          <w:rFonts w:ascii="Calibri" w:hAnsi="Calibri"/>
        </w:rPr>
        <w:t xml:space="preserve">gender-responsive </w:t>
      </w:r>
      <w:r w:rsidR="00874314" w:rsidRPr="0090438F">
        <w:rPr>
          <w:rFonts w:ascii="Calibri" w:hAnsi="Calibri"/>
        </w:rPr>
        <w:t>policies in the design, i</w:t>
      </w:r>
      <w:r w:rsidR="00DC5DE2" w:rsidRPr="0090438F">
        <w:rPr>
          <w:rFonts w:ascii="Calibri" w:hAnsi="Calibri"/>
        </w:rPr>
        <w:t>mplementation and execution of Chile’s</w:t>
      </w:r>
      <w:r w:rsidR="00874314" w:rsidRPr="0090438F">
        <w:rPr>
          <w:rFonts w:ascii="Calibri" w:hAnsi="Calibri"/>
        </w:rPr>
        <w:t xml:space="preserve"> international cooperation; (4) Strengthenin</w:t>
      </w:r>
      <w:r w:rsidR="00211F9F" w:rsidRPr="0090438F">
        <w:rPr>
          <w:rFonts w:ascii="Calibri" w:hAnsi="Calibri"/>
        </w:rPr>
        <w:t>g the technical capacity of</w:t>
      </w:r>
      <w:r w:rsidR="00874314" w:rsidRPr="0090438F">
        <w:rPr>
          <w:rFonts w:ascii="Calibri" w:hAnsi="Calibri"/>
        </w:rPr>
        <w:t xml:space="preserve"> public officials and civil society </w:t>
      </w:r>
      <w:r w:rsidR="00DC5DE2" w:rsidRPr="0090438F">
        <w:rPr>
          <w:rFonts w:ascii="Calibri" w:hAnsi="Calibri"/>
        </w:rPr>
        <w:t>on</w:t>
      </w:r>
      <w:r w:rsidR="00874314" w:rsidRPr="0090438F">
        <w:rPr>
          <w:rFonts w:ascii="Calibri" w:hAnsi="Calibri"/>
        </w:rPr>
        <w:t xml:space="preserve"> gender, security and conflict; and (5) Promoting the implementation of </w:t>
      </w:r>
      <w:r w:rsidR="008C15E2" w:rsidRPr="0090438F">
        <w:rPr>
          <w:rFonts w:ascii="Calibri" w:hAnsi="Calibri"/>
        </w:rPr>
        <w:t>SCR</w:t>
      </w:r>
      <w:r w:rsidR="00874314" w:rsidRPr="0090438F">
        <w:rPr>
          <w:rFonts w:ascii="Calibri" w:hAnsi="Calibri"/>
        </w:rPr>
        <w:t xml:space="preserve"> 1325 in the region by sharing experiences, bilaterally and </w:t>
      </w:r>
      <w:r w:rsidR="002827AD" w:rsidRPr="0090438F">
        <w:rPr>
          <w:rFonts w:ascii="Calibri" w:hAnsi="Calibri"/>
        </w:rPr>
        <w:t xml:space="preserve">via </w:t>
      </w:r>
      <w:r w:rsidR="00874314" w:rsidRPr="0090438F">
        <w:rPr>
          <w:rFonts w:ascii="Calibri" w:hAnsi="Calibri"/>
        </w:rPr>
        <w:t>regional peacekeeping mechanisms</w:t>
      </w:r>
      <w:r w:rsidR="00DC5DE2" w:rsidRPr="0090438F">
        <w:rPr>
          <w:rFonts w:ascii="Calibri" w:hAnsi="Calibri"/>
        </w:rPr>
        <w:t>, and through international cooperation</w:t>
      </w:r>
      <w:r w:rsidR="00874314" w:rsidRPr="0090438F">
        <w:rPr>
          <w:rFonts w:ascii="Calibri" w:hAnsi="Calibri"/>
        </w:rPr>
        <w:t>.</w:t>
      </w:r>
      <w:r w:rsidR="008C15E2" w:rsidRPr="0090438F">
        <w:rPr>
          <w:rFonts w:ascii="Calibri" w:hAnsi="Calibri"/>
        </w:rPr>
        <w:t xml:space="preserve"> </w:t>
      </w:r>
    </w:p>
    <w:p w14:paraId="2184FB72" w14:textId="77777777" w:rsidR="008D4BBE" w:rsidRPr="0090438F" w:rsidRDefault="008D4BBE" w:rsidP="00874314">
      <w:pPr>
        <w:jc w:val="both"/>
        <w:rPr>
          <w:rFonts w:ascii="Calibri" w:hAnsi="Calibri"/>
        </w:rPr>
      </w:pPr>
    </w:p>
    <w:p w14:paraId="5C3D19F3" w14:textId="6BE359BE" w:rsidR="00211F9F" w:rsidRPr="0090438F" w:rsidRDefault="008D4BBE" w:rsidP="00CD181F">
      <w:pPr>
        <w:spacing w:line="360" w:lineRule="auto"/>
        <w:jc w:val="both"/>
        <w:rPr>
          <w:rFonts w:ascii="Calibri" w:hAnsi="Calibri" w:cs="Times New Roman"/>
        </w:rPr>
      </w:pPr>
      <w:r w:rsidRPr="0090438F">
        <w:rPr>
          <w:rFonts w:ascii="Calibri" w:hAnsi="Calibri"/>
        </w:rPr>
        <w:t xml:space="preserve">The first NAP referred to Chile’s </w:t>
      </w:r>
      <w:r w:rsidR="001031A6" w:rsidRPr="0090438F">
        <w:rPr>
          <w:rFonts w:ascii="Calibri" w:hAnsi="Calibri"/>
        </w:rPr>
        <w:t>commitment</w:t>
      </w:r>
      <w:r w:rsidRPr="0090438F">
        <w:rPr>
          <w:rFonts w:ascii="Calibri" w:hAnsi="Calibri"/>
        </w:rPr>
        <w:t xml:space="preserve"> to</w:t>
      </w:r>
      <w:r w:rsidR="001031A6" w:rsidRPr="0090438F">
        <w:rPr>
          <w:rFonts w:ascii="Calibri" w:hAnsi="Calibri"/>
        </w:rPr>
        <w:t xml:space="preserve"> “the main human rights principles, including the obligation of non-discrimination in the exercise of individual rights”.</w:t>
      </w:r>
      <w:r w:rsidR="001031A6" w:rsidRPr="0090438F">
        <w:rPr>
          <w:rStyle w:val="FootnoteReference"/>
          <w:rFonts w:ascii="Calibri" w:hAnsi="Calibri"/>
        </w:rPr>
        <w:footnoteReference w:id="229"/>
      </w:r>
      <w:r w:rsidR="008D4C60" w:rsidRPr="0090438F">
        <w:rPr>
          <w:rFonts w:ascii="Calibri" w:hAnsi="Calibri"/>
        </w:rPr>
        <w:t xml:space="preserve"> It affirmed </w:t>
      </w:r>
      <w:r w:rsidR="001031A6" w:rsidRPr="0090438F">
        <w:rPr>
          <w:rFonts w:ascii="Calibri" w:hAnsi="Calibri"/>
        </w:rPr>
        <w:t xml:space="preserve">Chile’s obligations on </w:t>
      </w:r>
      <w:r w:rsidR="000A1EA1" w:rsidRPr="0090438F">
        <w:rPr>
          <w:rFonts w:ascii="Calibri" w:hAnsi="Calibri"/>
        </w:rPr>
        <w:t>gender equality</w:t>
      </w:r>
      <w:r w:rsidRPr="0090438F">
        <w:rPr>
          <w:rFonts w:ascii="Calibri" w:hAnsi="Calibri"/>
        </w:rPr>
        <w:t xml:space="preserve"> under CEDAW, noting that these were reinforced at the regional level via </w:t>
      </w:r>
      <w:r w:rsidRPr="0090438F">
        <w:rPr>
          <w:rFonts w:ascii="Calibri" w:hAnsi="Calibri" w:cs="Times New Roman"/>
        </w:rPr>
        <w:t>the Inter American Convention on the Prevention, Punishment and Eradication of Violence against Wom</w:t>
      </w:r>
      <w:r w:rsidR="0090438F" w:rsidRPr="0090438F">
        <w:rPr>
          <w:rFonts w:ascii="Calibri" w:hAnsi="Calibri" w:cs="Times New Roman"/>
        </w:rPr>
        <w:t>en 1994 (Convention of Belém do Pará</w:t>
      </w:r>
      <w:r w:rsidRPr="0090438F">
        <w:rPr>
          <w:rFonts w:ascii="Calibri" w:hAnsi="Calibri" w:cs="Times New Roman"/>
        </w:rPr>
        <w:t>). The first NAP recognised Chile’s international commitments on gender equality under the BPfA and the Millennium Development Goals, as well as its international criminal law obligations under the Rome Statute of the International Criminal Court 1998.</w:t>
      </w:r>
      <w:r w:rsidRPr="0090438F">
        <w:rPr>
          <w:rStyle w:val="FootnoteReference"/>
          <w:rFonts w:ascii="Calibri" w:hAnsi="Calibri" w:cs="Times New Roman"/>
        </w:rPr>
        <w:footnoteReference w:id="230"/>
      </w:r>
      <w:r w:rsidR="000A1EA1" w:rsidRPr="0090438F">
        <w:rPr>
          <w:rFonts w:ascii="Calibri" w:hAnsi="Calibri" w:cs="Times New Roman"/>
        </w:rPr>
        <w:t xml:space="preserve"> </w:t>
      </w:r>
      <w:r w:rsidR="008D4C60" w:rsidRPr="0090438F">
        <w:rPr>
          <w:rFonts w:ascii="Calibri" w:hAnsi="Calibri"/>
        </w:rPr>
        <w:t>Chile also referred to the NAP in its country</w:t>
      </w:r>
      <w:r w:rsidR="00396B07" w:rsidRPr="0090438F">
        <w:rPr>
          <w:rFonts w:ascii="Calibri" w:hAnsi="Calibri"/>
        </w:rPr>
        <w:t xml:space="preserve"> report to the CEDAW Committee in 2011, </w:t>
      </w:r>
      <w:r w:rsidR="008D4C60" w:rsidRPr="0090438F">
        <w:rPr>
          <w:rFonts w:ascii="Calibri" w:hAnsi="Calibri"/>
        </w:rPr>
        <w:t>as a sign of Chilean</w:t>
      </w:r>
      <w:r w:rsidR="00874314" w:rsidRPr="0090438F">
        <w:rPr>
          <w:rFonts w:ascii="Calibri" w:hAnsi="Calibri"/>
        </w:rPr>
        <w:t xml:space="preserve"> “commitment to full engagement in international action and, as part of that effort, to mainstreaming the social and gender perspective into peace operations”</w:t>
      </w:r>
      <w:r w:rsidR="00396B07" w:rsidRPr="0090438F">
        <w:rPr>
          <w:rFonts w:ascii="Calibri" w:hAnsi="Calibri"/>
        </w:rPr>
        <w:t>.</w:t>
      </w:r>
      <w:r w:rsidR="00874314" w:rsidRPr="0090438F">
        <w:rPr>
          <w:rStyle w:val="FootnoteReference"/>
          <w:rFonts w:ascii="Calibri" w:hAnsi="Calibri"/>
        </w:rPr>
        <w:footnoteReference w:id="231"/>
      </w:r>
      <w:r w:rsidR="002827AD" w:rsidRPr="0090438F">
        <w:rPr>
          <w:rFonts w:ascii="Calibri" w:hAnsi="Calibri"/>
        </w:rPr>
        <w:t xml:space="preserve"> </w:t>
      </w:r>
    </w:p>
    <w:p w14:paraId="58C80204" w14:textId="77777777" w:rsidR="000A1EA1" w:rsidRPr="0090438F" w:rsidRDefault="000A1EA1" w:rsidP="00874314">
      <w:pPr>
        <w:jc w:val="both"/>
        <w:rPr>
          <w:rFonts w:ascii="Calibri" w:hAnsi="Calibri"/>
        </w:rPr>
      </w:pPr>
    </w:p>
    <w:p w14:paraId="05AD02EC" w14:textId="1670C3B0" w:rsidR="00BB71B2" w:rsidRPr="0090438F" w:rsidRDefault="00BB71B2" w:rsidP="00BB71B2">
      <w:pPr>
        <w:jc w:val="both"/>
        <w:rPr>
          <w:rFonts w:ascii="Calibri" w:hAnsi="Calibri"/>
          <w:b/>
          <w:color w:val="1F497D" w:themeColor="text2"/>
          <w:u w:val="single"/>
        </w:rPr>
      </w:pPr>
      <w:r w:rsidRPr="0090438F">
        <w:rPr>
          <w:rFonts w:ascii="Calibri" w:hAnsi="Calibri"/>
          <w:b/>
          <w:color w:val="1F497D" w:themeColor="text2"/>
          <w:u w:val="single"/>
        </w:rPr>
        <w:t>Second NAP (2015-18)</w:t>
      </w:r>
    </w:p>
    <w:p w14:paraId="28D81BBE" w14:textId="77777777" w:rsidR="00BB71B2" w:rsidRPr="0090438F" w:rsidRDefault="00BB71B2" w:rsidP="00874314">
      <w:pPr>
        <w:jc w:val="both"/>
        <w:rPr>
          <w:rFonts w:ascii="Calibri" w:hAnsi="Calibri"/>
        </w:rPr>
      </w:pPr>
    </w:p>
    <w:p w14:paraId="78FFB563" w14:textId="34B47C48" w:rsidR="00874314" w:rsidRPr="0090438F" w:rsidRDefault="002827AD" w:rsidP="00CD181F">
      <w:pPr>
        <w:spacing w:line="360" w:lineRule="auto"/>
        <w:jc w:val="both"/>
        <w:rPr>
          <w:rFonts w:ascii="Calibri" w:hAnsi="Calibri"/>
        </w:rPr>
      </w:pPr>
      <w:r w:rsidRPr="0090438F">
        <w:rPr>
          <w:rFonts w:ascii="Calibri" w:hAnsi="Calibri"/>
        </w:rPr>
        <w:t>Chile</w:t>
      </w:r>
      <w:r w:rsidR="00BB71B2" w:rsidRPr="0090438F">
        <w:rPr>
          <w:rFonts w:ascii="Calibri" w:hAnsi="Calibri"/>
        </w:rPr>
        <w:t>’s</w:t>
      </w:r>
      <w:r w:rsidRPr="0090438F">
        <w:rPr>
          <w:rFonts w:ascii="Calibri" w:hAnsi="Calibri"/>
        </w:rPr>
        <w:t xml:space="preserve"> </w:t>
      </w:r>
      <w:r w:rsidR="00151500" w:rsidRPr="0090438F">
        <w:rPr>
          <w:rFonts w:ascii="Calibri" w:hAnsi="Calibri"/>
        </w:rPr>
        <w:t xml:space="preserve">very recently </w:t>
      </w:r>
      <w:r w:rsidR="00BB71B2" w:rsidRPr="0090438F">
        <w:rPr>
          <w:rFonts w:ascii="Calibri" w:hAnsi="Calibri"/>
        </w:rPr>
        <w:t>completed</w:t>
      </w:r>
      <w:r w:rsidRPr="0090438F">
        <w:rPr>
          <w:rFonts w:ascii="Calibri" w:hAnsi="Calibri"/>
        </w:rPr>
        <w:t xml:space="preserve"> second NAP</w:t>
      </w:r>
      <w:r w:rsidR="00BB71B2" w:rsidRPr="0090438F">
        <w:rPr>
          <w:rFonts w:ascii="Calibri" w:hAnsi="Calibri"/>
        </w:rPr>
        <w:t xml:space="preserve"> (adopted on March 2015)</w:t>
      </w:r>
      <w:r w:rsidRPr="0090438F">
        <w:rPr>
          <w:rFonts w:ascii="Calibri" w:hAnsi="Calibri"/>
        </w:rPr>
        <w:t xml:space="preserve"> </w:t>
      </w:r>
      <w:r w:rsidR="00A731BE" w:rsidRPr="0090438F">
        <w:rPr>
          <w:rFonts w:ascii="Calibri" w:hAnsi="Calibri"/>
        </w:rPr>
        <w:t>makes two key improvements compared to its predecessor</w:t>
      </w:r>
      <w:r w:rsidRPr="0090438F">
        <w:rPr>
          <w:rFonts w:ascii="Calibri" w:hAnsi="Calibri"/>
        </w:rPr>
        <w:t xml:space="preserve">. </w:t>
      </w:r>
      <w:r w:rsidR="00A731BE" w:rsidRPr="0090438F">
        <w:rPr>
          <w:rFonts w:ascii="Calibri" w:hAnsi="Calibri"/>
        </w:rPr>
        <w:t>The</w:t>
      </w:r>
      <w:r w:rsidR="00211F9F" w:rsidRPr="0090438F">
        <w:rPr>
          <w:rFonts w:ascii="Calibri" w:hAnsi="Calibri"/>
        </w:rPr>
        <w:t xml:space="preserve"> </w:t>
      </w:r>
      <w:r w:rsidR="00C36C65" w:rsidRPr="0090438F">
        <w:rPr>
          <w:rFonts w:ascii="Calibri" w:hAnsi="Calibri"/>
        </w:rPr>
        <w:t>new NAP</w:t>
      </w:r>
      <w:r w:rsidR="00211F9F" w:rsidRPr="0090438F">
        <w:rPr>
          <w:rFonts w:ascii="Calibri" w:hAnsi="Calibri"/>
        </w:rPr>
        <w:t xml:space="preserve"> </w:t>
      </w:r>
      <w:r w:rsidR="00C36C65" w:rsidRPr="0090438F">
        <w:rPr>
          <w:rFonts w:ascii="Calibri" w:hAnsi="Calibri"/>
        </w:rPr>
        <w:t xml:space="preserve">seeks </w:t>
      </w:r>
      <w:r w:rsidR="00C36C65" w:rsidRPr="0090438F">
        <w:rPr>
          <w:rFonts w:ascii="Calibri" w:hAnsi="Calibri"/>
          <w:b/>
          <w:color w:val="4F81BD" w:themeColor="accent1"/>
        </w:rPr>
        <w:t>integrate all of the SCRs on WPS</w:t>
      </w:r>
      <w:r w:rsidR="0095795F" w:rsidRPr="0090438F">
        <w:rPr>
          <w:rFonts w:ascii="Calibri" w:hAnsi="Calibri"/>
        </w:rPr>
        <w:t xml:space="preserve">, </w:t>
      </w:r>
      <w:r w:rsidR="00C36C65" w:rsidRPr="0090438F">
        <w:rPr>
          <w:rFonts w:ascii="Calibri" w:hAnsi="Calibri"/>
        </w:rPr>
        <w:t xml:space="preserve">to fulfil the obligations contained in them. </w:t>
      </w:r>
      <w:r w:rsidR="0095795F" w:rsidRPr="0090438F">
        <w:rPr>
          <w:rFonts w:ascii="Calibri" w:hAnsi="Calibri"/>
        </w:rPr>
        <w:t>As discussed in Section 1, the resolutions that follow SCR 1325 reflect a wider range of state obligations under international law, and their inclusion in the new NAP shows Chile’s acknowledgement of its commitments beyond SCR 1325</w:t>
      </w:r>
      <w:r w:rsidR="00BB71B2" w:rsidRPr="0090438F">
        <w:rPr>
          <w:rFonts w:ascii="Calibri" w:hAnsi="Calibri"/>
        </w:rPr>
        <w:t xml:space="preserve"> and the international and regional treaties already mentioned in the first NAP</w:t>
      </w:r>
      <w:r w:rsidR="0095795F" w:rsidRPr="0090438F">
        <w:rPr>
          <w:rFonts w:ascii="Calibri" w:hAnsi="Calibri"/>
        </w:rPr>
        <w:t xml:space="preserve">. </w:t>
      </w:r>
      <w:r w:rsidR="00A731BE" w:rsidRPr="0090438F">
        <w:rPr>
          <w:rFonts w:ascii="Calibri" w:hAnsi="Calibri"/>
        </w:rPr>
        <w:t>The</w:t>
      </w:r>
      <w:r w:rsidR="0095795F" w:rsidRPr="0090438F">
        <w:rPr>
          <w:rFonts w:ascii="Calibri" w:hAnsi="Calibri"/>
        </w:rPr>
        <w:t xml:space="preserve"> new NAP also includes </w:t>
      </w:r>
      <w:r w:rsidR="008D4C60" w:rsidRPr="0090438F">
        <w:rPr>
          <w:rFonts w:ascii="Calibri" w:hAnsi="Calibri"/>
        </w:rPr>
        <w:t>outcome indicators that allow for the measurement of concrete results</w:t>
      </w:r>
      <w:r w:rsidR="00C36C65" w:rsidRPr="0090438F">
        <w:rPr>
          <w:rFonts w:ascii="Calibri" w:hAnsi="Calibri"/>
        </w:rPr>
        <w:t xml:space="preserve">. </w:t>
      </w:r>
      <w:r w:rsidR="0095795F" w:rsidRPr="0090438F">
        <w:rPr>
          <w:rFonts w:ascii="Calibri" w:hAnsi="Calibri"/>
        </w:rPr>
        <w:t xml:space="preserve"> As this second NAP is implemented, monitored and evaluated, these </w:t>
      </w:r>
      <w:r w:rsidR="0095795F" w:rsidRPr="0090438F">
        <w:rPr>
          <w:rFonts w:ascii="Calibri" w:hAnsi="Calibri"/>
        </w:rPr>
        <w:lastRenderedPageBreak/>
        <w:t xml:space="preserve">indicators will be crucial to ensuring its effectiveness. </w:t>
      </w:r>
      <w:r w:rsidR="00A731BE" w:rsidRPr="0090438F">
        <w:rPr>
          <w:rFonts w:ascii="Calibri" w:hAnsi="Calibri"/>
        </w:rPr>
        <w:t>It is not yet known whether women and girls, and their civil society organizations, were included in the shaping these indica</w:t>
      </w:r>
      <w:r w:rsidR="00BB71B2" w:rsidRPr="0090438F">
        <w:rPr>
          <w:rFonts w:ascii="Calibri" w:hAnsi="Calibri"/>
        </w:rPr>
        <w:t xml:space="preserve">tors, or whether consultations </w:t>
      </w:r>
      <w:r w:rsidR="00A731BE" w:rsidRPr="0090438F">
        <w:rPr>
          <w:rFonts w:ascii="Calibri" w:hAnsi="Calibri"/>
        </w:rPr>
        <w:t xml:space="preserve">on the indicators and the wider NAP process were held </w:t>
      </w:r>
      <w:r w:rsidR="008D4C60" w:rsidRPr="0090438F">
        <w:rPr>
          <w:rFonts w:ascii="Calibri" w:hAnsi="Calibri"/>
        </w:rPr>
        <w:t>via a whole-of-government approach</w:t>
      </w:r>
      <w:r w:rsidR="00A731BE" w:rsidRPr="0090438F">
        <w:rPr>
          <w:rFonts w:ascii="Calibri" w:hAnsi="Calibri"/>
        </w:rPr>
        <w:t xml:space="preserve"> (as with the previous NAP). </w:t>
      </w:r>
    </w:p>
    <w:p w14:paraId="7C2EB20A" w14:textId="77777777" w:rsidR="00211F9F" w:rsidRPr="0090438F" w:rsidRDefault="00211F9F" w:rsidP="00874314">
      <w:pPr>
        <w:jc w:val="both"/>
        <w:rPr>
          <w:rFonts w:ascii="Calibri" w:hAnsi="Calibri"/>
        </w:rPr>
      </w:pPr>
    </w:p>
    <w:p w14:paraId="6749684C" w14:textId="0B10AE6D" w:rsidR="0095795F" w:rsidRPr="0090438F" w:rsidRDefault="00211F9F" w:rsidP="00CD181F">
      <w:pPr>
        <w:spacing w:line="360" w:lineRule="auto"/>
        <w:jc w:val="both"/>
        <w:rPr>
          <w:rFonts w:ascii="Calibri" w:hAnsi="Calibri"/>
        </w:rPr>
      </w:pPr>
      <w:r w:rsidRPr="0090438F">
        <w:rPr>
          <w:rFonts w:ascii="Calibri" w:hAnsi="Calibri"/>
        </w:rPr>
        <w:t xml:space="preserve">The </w:t>
      </w:r>
      <w:r w:rsidR="00A731BE" w:rsidRPr="0090438F">
        <w:rPr>
          <w:rFonts w:ascii="Calibri" w:hAnsi="Calibri"/>
        </w:rPr>
        <w:t>new</w:t>
      </w:r>
      <w:r w:rsidRPr="0090438F">
        <w:rPr>
          <w:rFonts w:ascii="Calibri" w:hAnsi="Calibri"/>
        </w:rPr>
        <w:t xml:space="preserve"> NAP </w:t>
      </w:r>
      <w:r w:rsidR="0095795F" w:rsidRPr="0090438F">
        <w:rPr>
          <w:rFonts w:ascii="Calibri" w:hAnsi="Calibri"/>
        </w:rPr>
        <w:t>follow</w:t>
      </w:r>
      <w:r w:rsidR="00BB71B2" w:rsidRPr="0090438F">
        <w:rPr>
          <w:rFonts w:ascii="Calibri" w:hAnsi="Calibri"/>
        </w:rPr>
        <w:t>s</w:t>
      </w:r>
      <w:r w:rsidR="0095795F" w:rsidRPr="0090438F">
        <w:rPr>
          <w:rFonts w:ascii="Calibri" w:hAnsi="Calibri"/>
        </w:rPr>
        <w:t xml:space="preserve"> the four pillars of SCR 1325, </w:t>
      </w:r>
      <w:r w:rsidR="00BB71B2" w:rsidRPr="0090438F">
        <w:rPr>
          <w:rFonts w:ascii="Calibri" w:hAnsi="Calibri"/>
        </w:rPr>
        <w:t xml:space="preserve">slightly </w:t>
      </w:r>
      <w:r w:rsidR="0095795F" w:rsidRPr="0090438F">
        <w:rPr>
          <w:rFonts w:ascii="Calibri" w:hAnsi="Calibri"/>
        </w:rPr>
        <w:t>modifying the fourth</w:t>
      </w:r>
      <w:r w:rsidR="008D4C60" w:rsidRPr="0090438F">
        <w:rPr>
          <w:rFonts w:ascii="Calibri" w:hAnsi="Calibri"/>
        </w:rPr>
        <w:t xml:space="preserve"> pillar</w:t>
      </w:r>
      <w:r w:rsidR="0095795F" w:rsidRPr="0090438F">
        <w:rPr>
          <w:rFonts w:ascii="Calibri" w:hAnsi="Calibri"/>
        </w:rPr>
        <w:t xml:space="preserve"> </w:t>
      </w:r>
      <w:r w:rsidR="00BB71B2" w:rsidRPr="0090438F">
        <w:rPr>
          <w:rFonts w:ascii="Calibri" w:hAnsi="Calibri"/>
        </w:rPr>
        <w:t>(relief and recovery) to address aid and recuperation:</w:t>
      </w:r>
    </w:p>
    <w:p w14:paraId="1759AF42" w14:textId="77777777" w:rsidR="00CD181F" w:rsidRPr="0090438F" w:rsidRDefault="00CD181F" w:rsidP="00CD181F">
      <w:pPr>
        <w:jc w:val="both"/>
        <w:rPr>
          <w:rFonts w:ascii="Calibri" w:hAnsi="Calibri"/>
        </w:rPr>
      </w:pPr>
    </w:p>
    <w:p w14:paraId="739AA270" w14:textId="4EB806EA" w:rsidR="0095795F" w:rsidRPr="0090438F" w:rsidRDefault="00CD181F" w:rsidP="00CD181F">
      <w:pPr>
        <w:spacing w:line="360" w:lineRule="auto"/>
        <w:jc w:val="both"/>
        <w:rPr>
          <w:rFonts w:ascii="Calibri" w:hAnsi="Calibri"/>
        </w:rPr>
      </w:pPr>
      <w:r w:rsidRPr="0090438F">
        <w:rPr>
          <w:rFonts w:ascii="Calibri" w:hAnsi="Calibri"/>
        </w:rPr>
        <w:t>(</w:t>
      </w:r>
      <w:r w:rsidR="00211F9F" w:rsidRPr="0090438F">
        <w:rPr>
          <w:rFonts w:ascii="Calibri" w:hAnsi="Calibri"/>
        </w:rPr>
        <w:t>1) Prevention</w:t>
      </w:r>
      <w:r w:rsidR="0095795F" w:rsidRPr="0090438F">
        <w:rPr>
          <w:rFonts w:ascii="Calibri" w:hAnsi="Calibri"/>
        </w:rPr>
        <w:t>, namely</w:t>
      </w:r>
      <w:r w:rsidR="00211F9F" w:rsidRPr="0090438F">
        <w:rPr>
          <w:rFonts w:ascii="Calibri" w:hAnsi="Calibri"/>
        </w:rPr>
        <w:t>: a) incorporating a gender perspective in all activities and strategies of conflict prevention and the main</w:t>
      </w:r>
      <w:r w:rsidR="0095795F" w:rsidRPr="0090438F">
        <w:rPr>
          <w:rFonts w:ascii="Calibri" w:hAnsi="Calibri"/>
        </w:rPr>
        <w:t xml:space="preserve">tenance and promotion of peace; </w:t>
      </w:r>
      <w:r w:rsidR="00211F9F" w:rsidRPr="0090438F">
        <w:rPr>
          <w:rFonts w:ascii="Calibri" w:hAnsi="Calibri"/>
        </w:rPr>
        <w:t xml:space="preserve">b) creating effective </w:t>
      </w:r>
      <w:r w:rsidR="0095795F" w:rsidRPr="0090438F">
        <w:rPr>
          <w:rFonts w:ascii="Calibri" w:hAnsi="Calibri"/>
        </w:rPr>
        <w:t xml:space="preserve">and gender-responsive </w:t>
      </w:r>
      <w:r w:rsidR="00211F9F" w:rsidRPr="0090438F">
        <w:rPr>
          <w:rFonts w:ascii="Calibri" w:hAnsi="Calibri"/>
        </w:rPr>
        <w:t>‘early warning’ mechanisms</w:t>
      </w:r>
      <w:r w:rsidR="0095795F" w:rsidRPr="0090438F">
        <w:rPr>
          <w:rFonts w:ascii="Calibri" w:hAnsi="Calibri"/>
        </w:rPr>
        <w:t xml:space="preserve">; </w:t>
      </w:r>
      <w:r w:rsidR="00211F9F" w:rsidRPr="0090438F">
        <w:rPr>
          <w:rFonts w:ascii="Calibri" w:hAnsi="Calibri"/>
        </w:rPr>
        <w:t xml:space="preserve">and c) strengthening instruments </w:t>
      </w:r>
      <w:r w:rsidR="0095795F" w:rsidRPr="0090438F">
        <w:rPr>
          <w:rFonts w:ascii="Calibri" w:hAnsi="Calibri"/>
        </w:rPr>
        <w:t>to prevent gender-based</w:t>
      </w:r>
      <w:r w:rsidR="00211F9F" w:rsidRPr="0090438F">
        <w:rPr>
          <w:rFonts w:ascii="Calibri" w:hAnsi="Calibri"/>
        </w:rPr>
        <w:t xml:space="preserve"> violence </w:t>
      </w:r>
      <w:r w:rsidR="0095795F" w:rsidRPr="0090438F">
        <w:rPr>
          <w:rFonts w:ascii="Calibri" w:hAnsi="Calibri"/>
        </w:rPr>
        <w:t xml:space="preserve">(GBV) </w:t>
      </w:r>
      <w:r w:rsidR="00211F9F" w:rsidRPr="0090438F">
        <w:rPr>
          <w:rFonts w:ascii="Calibri" w:hAnsi="Calibri"/>
        </w:rPr>
        <w:t xml:space="preserve">against women and girls on gender grounds, especially </w:t>
      </w:r>
      <w:r w:rsidR="0095795F" w:rsidRPr="0090438F">
        <w:rPr>
          <w:rFonts w:ascii="Calibri" w:hAnsi="Calibri"/>
        </w:rPr>
        <w:t xml:space="preserve">SGBV. </w:t>
      </w:r>
    </w:p>
    <w:p w14:paraId="66A52608" w14:textId="77777777" w:rsidR="00CD181F" w:rsidRPr="0090438F" w:rsidRDefault="00CD181F" w:rsidP="00CD181F">
      <w:pPr>
        <w:jc w:val="both"/>
        <w:rPr>
          <w:rFonts w:ascii="Calibri" w:hAnsi="Calibri"/>
        </w:rPr>
      </w:pPr>
    </w:p>
    <w:p w14:paraId="2D888D02" w14:textId="42AF00A1" w:rsidR="0095795F" w:rsidRPr="0090438F" w:rsidRDefault="00CD181F" w:rsidP="00CD181F">
      <w:pPr>
        <w:spacing w:line="360" w:lineRule="auto"/>
        <w:jc w:val="both"/>
        <w:rPr>
          <w:rFonts w:ascii="Calibri" w:hAnsi="Calibri"/>
        </w:rPr>
      </w:pPr>
      <w:r w:rsidRPr="0090438F">
        <w:rPr>
          <w:rFonts w:ascii="Calibri" w:hAnsi="Calibri"/>
        </w:rPr>
        <w:t>(</w:t>
      </w:r>
      <w:r w:rsidR="00211F9F" w:rsidRPr="0090438F">
        <w:rPr>
          <w:rFonts w:ascii="Calibri" w:hAnsi="Calibri"/>
        </w:rPr>
        <w:t>2) Participation</w:t>
      </w:r>
      <w:r w:rsidR="0095795F" w:rsidRPr="0090438F">
        <w:rPr>
          <w:rFonts w:ascii="Calibri" w:hAnsi="Calibri"/>
        </w:rPr>
        <w:t>, namely</w:t>
      </w:r>
      <w:r w:rsidR="00211F9F" w:rsidRPr="0090438F">
        <w:rPr>
          <w:rFonts w:ascii="Calibri" w:hAnsi="Calibri"/>
        </w:rPr>
        <w:t>: a) promoting and supporting</w:t>
      </w:r>
      <w:r w:rsidR="0095795F" w:rsidRPr="0090438F">
        <w:rPr>
          <w:rFonts w:ascii="Calibri" w:hAnsi="Calibri"/>
        </w:rPr>
        <w:t xml:space="preserve"> women’s</w:t>
      </w:r>
      <w:r w:rsidR="00211F9F" w:rsidRPr="0090438F">
        <w:rPr>
          <w:rFonts w:ascii="Calibri" w:hAnsi="Calibri"/>
        </w:rPr>
        <w:t xml:space="preserve"> active and meaningful participation of women in all peace processes and their representation at all levels of decision-making </w:t>
      </w:r>
      <w:r w:rsidR="0095795F" w:rsidRPr="0090438F">
        <w:rPr>
          <w:rFonts w:ascii="Calibri" w:hAnsi="Calibri"/>
        </w:rPr>
        <w:t>concerning conflict</w:t>
      </w:r>
      <w:r w:rsidR="00211F9F" w:rsidRPr="0090438F">
        <w:rPr>
          <w:rFonts w:ascii="Calibri" w:hAnsi="Calibri"/>
        </w:rPr>
        <w:t xml:space="preserve"> preven</w:t>
      </w:r>
      <w:r w:rsidR="0095795F" w:rsidRPr="0090438F">
        <w:rPr>
          <w:rFonts w:ascii="Calibri" w:hAnsi="Calibri"/>
        </w:rPr>
        <w:t xml:space="preserve">tion, management and resolution; and </w:t>
      </w:r>
      <w:r w:rsidR="00211F9F" w:rsidRPr="0090438F">
        <w:rPr>
          <w:rFonts w:ascii="Calibri" w:hAnsi="Calibri"/>
        </w:rPr>
        <w:t>b) strengthening partnerships and communication with national and internationa</w:t>
      </w:r>
      <w:r w:rsidR="0095795F" w:rsidRPr="0090438F">
        <w:rPr>
          <w:rFonts w:ascii="Calibri" w:hAnsi="Calibri"/>
        </w:rPr>
        <w:t>l women's rights organizations.</w:t>
      </w:r>
    </w:p>
    <w:p w14:paraId="68B0DD71" w14:textId="77777777" w:rsidR="00CD181F" w:rsidRPr="0090438F" w:rsidRDefault="00CD181F" w:rsidP="00CD181F">
      <w:pPr>
        <w:jc w:val="both"/>
        <w:rPr>
          <w:rFonts w:ascii="Calibri" w:hAnsi="Calibri"/>
        </w:rPr>
      </w:pPr>
    </w:p>
    <w:p w14:paraId="216222F3" w14:textId="05D1A0E6" w:rsidR="0095795F" w:rsidRPr="0090438F" w:rsidRDefault="00211F9F" w:rsidP="00CD181F">
      <w:pPr>
        <w:spacing w:line="360" w:lineRule="auto"/>
        <w:jc w:val="both"/>
        <w:rPr>
          <w:rFonts w:ascii="Calibri" w:hAnsi="Calibri"/>
        </w:rPr>
      </w:pPr>
      <w:r w:rsidRPr="0090438F">
        <w:rPr>
          <w:rFonts w:ascii="Calibri" w:hAnsi="Calibri"/>
        </w:rPr>
        <w:t>(3) Protection</w:t>
      </w:r>
      <w:r w:rsidR="0095795F" w:rsidRPr="0090438F">
        <w:rPr>
          <w:rFonts w:ascii="Calibri" w:hAnsi="Calibri"/>
        </w:rPr>
        <w:t>, namely</w:t>
      </w:r>
      <w:r w:rsidRPr="0090438F">
        <w:rPr>
          <w:rFonts w:ascii="Calibri" w:hAnsi="Calibri"/>
        </w:rPr>
        <w:t xml:space="preserve">: a) strengthening and broadening methods to ensure </w:t>
      </w:r>
      <w:r w:rsidR="0095795F" w:rsidRPr="0090438F">
        <w:rPr>
          <w:rFonts w:ascii="Calibri" w:hAnsi="Calibri"/>
        </w:rPr>
        <w:t xml:space="preserve">women and girls’ </w:t>
      </w:r>
      <w:r w:rsidRPr="0090438F">
        <w:rPr>
          <w:rFonts w:ascii="Calibri" w:hAnsi="Calibri"/>
        </w:rPr>
        <w:t xml:space="preserve">safety, physical and mental integrity, sexual and reproductive health, welfare, economic autonomy </w:t>
      </w:r>
      <w:r w:rsidR="0095795F" w:rsidRPr="0090438F">
        <w:rPr>
          <w:rFonts w:ascii="Calibri" w:hAnsi="Calibri"/>
        </w:rPr>
        <w:t xml:space="preserve">and dignity; </w:t>
      </w:r>
      <w:r w:rsidRPr="0090438F">
        <w:rPr>
          <w:rFonts w:ascii="Calibri" w:hAnsi="Calibri"/>
        </w:rPr>
        <w:t xml:space="preserve">and b) respecting and guaranteeing the full exercise of human rights of women and girls, incorporating </w:t>
      </w:r>
      <w:r w:rsidR="0095795F" w:rsidRPr="0090438F">
        <w:rPr>
          <w:rFonts w:ascii="Calibri" w:hAnsi="Calibri"/>
        </w:rPr>
        <w:t xml:space="preserve">a </w:t>
      </w:r>
      <w:r w:rsidRPr="0090438F">
        <w:rPr>
          <w:rFonts w:ascii="Calibri" w:hAnsi="Calibri"/>
        </w:rPr>
        <w:t>gender perspective in the institutions that play a role in peacekeepi</w:t>
      </w:r>
      <w:r w:rsidR="0095795F" w:rsidRPr="0090438F">
        <w:rPr>
          <w:rFonts w:ascii="Calibri" w:hAnsi="Calibri"/>
        </w:rPr>
        <w:t>ng, conflict and post-conflict situations.</w:t>
      </w:r>
    </w:p>
    <w:p w14:paraId="642C1E67" w14:textId="77777777" w:rsidR="00CD181F" w:rsidRPr="0090438F" w:rsidRDefault="00CD181F" w:rsidP="00CD181F">
      <w:pPr>
        <w:jc w:val="both"/>
        <w:rPr>
          <w:rFonts w:ascii="Calibri" w:hAnsi="Calibri"/>
        </w:rPr>
      </w:pPr>
    </w:p>
    <w:p w14:paraId="2B887380" w14:textId="0B9733E8" w:rsidR="00211F9F" w:rsidRPr="0090438F" w:rsidRDefault="00211F9F" w:rsidP="00CD181F">
      <w:pPr>
        <w:spacing w:line="360" w:lineRule="auto"/>
        <w:jc w:val="both"/>
        <w:rPr>
          <w:rFonts w:ascii="Calibri" w:hAnsi="Calibri"/>
          <w:b/>
        </w:rPr>
      </w:pPr>
      <w:r w:rsidRPr="0090438F">
        <w:rPr>
          <w:rFonts w:ascii="Calibri" w:hAnsi="Calibri"/>
        </w:rPr>
        <w:t>(4) Aid and Recuperation</w:t>
      </w:r>
      <w:r w:rsidR="0095795F" w:rsidRPr="0090438F">
        <w:rPr>
          <w:rFonts w:ascii="Calibri" w:hAnsi="Calibri"/>
        </w:rPr>
        <w:t>, namely</w:t>
      </w:r>
      <w:r w:rsidRPr="0090438F">
        <w:rPr>
          <w:rFonts w:ascii="Calibri" w:hAnsi="Calibri"/>
        </w:rPr>
        <w:t xml:space="preserve">: a) facilitating </w:t>
      </w:r>
      <w:r w:rsidR="0095795F" w:rsidRPr="0090438F">
        <w:rPr>
          <w:rFonts w:ascii="Calibri" w:hAnsi="Calibri"/>
        </w:rPr>
        <w:t xml:space="preserve">women’s </w:t>
      </w:r>
      <w:r w:rsidRPr="0090438F">
        <w:rPr>
          <w:rFonts w:ascii="Calibri" w:hAnsi="Calibri"/>
        </w:rPr>
        <w:t>to support services mechanisms and distribution, and b) considering women</w:t>
      </w:r>
      <w:r w:rsidR="0095795F" w:rsidRPr="0090438F">
        <w:rPr>
          <w:rFonts w:ascii="Calibri" w:hAnsi="Calibri"/>
        </w:rPr>
        <w:t>’s</w:t>
      </w:r>
      <w:r w:rsidRPr="0090438F">
        <w:rPr>
          <w:rFonts w:ascii="Calibri" w:hAnsi="Calibri"/>
        </w:rPr>
        <w:t xml:space="preserve"> </w:t>
      </w:r>
      <w:r w:rsidR="0095795F" w:rsidRPr="0090438F">
        <w:rPr>
          <w:rFonts w:ascii="Calibri" w:hAnsi="Calibri"/>
        </w:rPr>
        <w:t>specific needs and requirements concerning</w:t>
      </w:r>
      <w:r w:rsidRPr="0090438F">
        <w:rPr>
          <w:rFonts w:ascii="Calibri" w:hAnsi="Calibri"/>
        </w:rPr>
        <w:t xml:space="preserve"> transitional justice.</w:t>
      </w:r>
      <w:r w:rsidRPr="0090438F">
        <w:rPr>
          <w:rFonts w:ascii="Calibri" w:hAnsi="Calibri"/>
          <w:b/>
        </w:rPr>
        <w:t xml:space="preserve"> </w:t>
      </w:r>
    </w:p>
    <w:p w14:paraId="04DE9A78" w14:textId="77777777" w:rsidR="00874314" w:rsidRPr="0090438F" w:rsidRDefault="00874314" w:rsidP="00874314">
      <w:pPr>
        <w:jc w:val="both"/>
        <w:rPr>
          <w:rFonts w:ascii="Calibri" w:hAnsi="Calibri"/>
        </w:rPr>
      </w:pPr>
    </w:p>
    <w:p w14:paraId="4F91AE9B" w14:textId="2A19C97E" w:rsidR="00213F5E" w:rsidRPr="0090438F" w:rsidRDefault="00213F5E" w:rsidP="007F364C">
      <w:pPr>
        <w:pStyle w:val="ListParagraph"/>
        <w:numPr>
          <w:ilvl w:val="0"/>
          <w:numId w:val="13"/>
        </w:numPr>
        <w:jc w:val="both"/>
        <w:rPr>
          <w:rFonts w:ascii="Calibri" w:hAnsi="Calibri"/>
          <w:b/>
          <w:color w:val="1F497D" w:themeColor="text2"/>
        </w:rPr>
      </w:pPr>
      <w:r w:rsidRPr="0090438F">
        <w:rPr>
          <w:rFonts w:ascii="Calibri" w:hAnsi="Calibri"/>
          <w:b/>
          <w:color w:val="1F497D" w:themeColor="text2"/>
        </w:rPr>
        <w:t>Implementation of the First NAP by the Government, Development Agencies and Civil Society</w:t>
      </w:r>
    </w:p>
    <w:p w14:paraId="12660FB3" w14:textId="77777777" w:rsidR="00874314" w:rsidRPr="0090438F" w:rsidRDefault="00874314" w:rsidP="00874314">
      <w:pPr>
        <w:jc w:val="both"/>
        <w:rPr>
          <w:rFonts w:ascii="Calibri" w:hAnsi="Calibri"/>
          <w:u w:val="single"/>
        </w:rPr>
      </w:pPr>
    </w:p>
    <w:p w14:paraId="7074FA66" w14:textId="77777777" w:rsidR="00874314" w:rsidRPr="0090438F" w:rsidRDefault="00874314" w:rsidP="00874314">
      <w:pPr>
        <w:jc w:val="both"/>
        <w:rPr>
          <w:rFonts w:ascii="Calibri" w:hAnsi="Calibri"/>
          <w:b/>
          <w:color w:val="1F497D" w:themeColor="text2"/>
          <w:u w:val="single"/>
        </w:rPr>
      </w:pPr>
      <w:r w:rsidRPr="0090438F">
        <w:rPr>
          <w:rFonts w:ascii="Calibri" w:hAnsi="Calibri"/>
          <w:b/>
          <w:color w:val="1F497D" w:themeColor="text2"/>
          <w:u w:val="single"/>
        </w:rPr>
        <w:t>Government</w:t>
      </w:r>
    </w:p>
    <w:p w14:paraId="52B719FB" w14:textId="77777777" w:rsidR="00874314" w:rsidRPr="0090438F" w:rsidRDefault="00874314" w:rsidP="00874314">
      <w:pPr>
        <w:jc w:val="both"/>
        <w:rPr>
          <w:rFonts w:ascii="Calibri" w:hAnsi="Calibri"/>
        </w:rPr>
      </w:pPr>
    </w:p>
    <w:p w14:paraId="500CB618" w14:textId="738252E7" w:rsidR="00DF6336" w:rsidRPr="0090438F" w:rsidRDefault="008D4C60" w:rsidP="00CD181F">
      <w:pPr>
        <w:spacing w:line="360" w:lineRule="auto"/>
        <w:jc w:val="both"/>
        <w:rPr>
          <w:rFonts w:ascii="Calibri" w:hAnsi="Calibri"/>
        </w:rPr>
      </w:pPr>
      <w:r w:rsidRPr="0090438F">
        <w:rPr>
          <w:rFonts w:ascii="Calibri" w:hAnsi="Calibri"/>
        </w:rPr>
        <w:t xml:space="preserve">Lessons learned from the first NAP should that </w:t>
      </w:r>
      <w:r w:rsidR="00ED350A" w:rsidRPr="0090438F">
        <w:rPr>
          <w:rFonts w:ascii="Calibri" w:hAnsi="Calibri"/>
        </w:rPr>
        <w:t xml:space="preserve">Chile will need to focus on </w:t>
      </w:r>
      <w:r w:rsidR="00ED350A" w:rsidRPr="0090438F">
        <w:rPr>
          <w:rFonts w:ascii="Calibri" w:hAnsi="Calibri"/>
          <w:b/>
          <w:color w:val="4F81BD" w:themeColor="accent1"/>
        </w:rPr>
        <w:t>national-level implementation</w:t>
      </w:r>
      <w:r w:rsidR="00ED350A" w:rsidRPr="0090438F">
        <w:rPr>
          <w:rFonts w:ascii="Calibri" w:hAnsi="Calibri"/>
        </w:rPr>
        <w:t xml:space="preserve"> for its new NAP, based on</w:t>
      </w:r>
      <w:r w:rsidR="00ED350A" w:rsidRPr="0090438F">
        <w:rPr>
          <w:rFonts w:ascii="Calibri" w:hAnsi="Calibri"/>
          <w:color w:val="4F81BD" w:themeColor="accent1"/>
        </w:rPr>
        <w:t xml:space="preserve"> </w:t>
      </w:r>
      <w:r w:rsidR="00ED350A" w:rsidRPr="0090438F">
        <w:rPr>
          <w:rFonts w:ascii="Calibri" w:hAnsi="Calibri"/>
          <w:b/>
          <w:color w:val="4F81BD" w:themeColor="accent1"/>
        </w:rPr>
        <w:t xml:space="preserve">women’s low level of </w:t>
      </w:r>
      <w:r w:rsidR="00E3050F" w:rsidRPr="0090438F">
        <w:rPr>
          <w:rFonts w:ascii="Calibri" w:hAnsi="Calibri"/>
          <w:b/>
          <w:color w:val="4F81BD" w:themeColor="accent1"/>
        </w:rPr>
        <w:t>participation in politics and public life</w:t>
      </w:r>
      <w:r w:rsidR="00ED350A" w:rsidRPr="0090438F">
        <w:rPr>
          <w:rFonts w:ascii="Calibri" w:hAnsi="Calibri"/>
        </w:rPr>
        <w:t xml:space="preserve"> and high rates of </w:t>
      </w:r>
      <w:r w:rsidR="00ED350A" w:rsidRPr="0090438F">
        <w:rPr>
          <w:rFonts w:ascii="Calibri" w:hAnsi="Calibri"/>
          <w:b/>
          <w:color w:val="4F81BD" w:themeColor="accent1"/>
        </w:rPr>
        <w:t>violence against women</w:t>
      </w:r>
      <w:r w:rsidR="00ED350A" w:rsidRPr="0090438F">
        <w:rPr>
          <w:rFonts w:ascii="Calibri" w:hAnsi="Calibri"/>
        </w:rPr>
        <w:t xml:space="preserve">. </w:t>
      </w:r>
      <w:r w:rsidR="006171DA" w:rsidRPr="0090438F">
        <w:rPr>
          <w:rFonts w:ascii="Calibri" w:hAnsi="Calibri"/>
        </w:rPr>
        <w:t xml:space="preserve">The latter issue has not been linked to the NAP because Chile is a post-conflict country. However domestic violence is a peace and security issue in all countries, and </w:t>
      </w:r>
      <w:r w:rsidRPr="0090438F">
        <w:rPr>
          <w:rFonts w:ascii="Calibri" w:hAnsi="Calibri"/>
        </w:rPr>
        <w:t xml:space="preserve">must </w:t>
      </w:r>
      <w:r w:rsidR="006171DA" w:rsidRPr="0090438F">
        <w:rPr>
          <w:rFonts w:ascii="Calibri" w:hAnsi="Calibri"/>
        </w:rPr>
        <w:t>be addressed in the</w:t>
      </w:r>
      <w:r w:rsidR="00DF6336" w:rsidRPr="0090438F">
        <w:rPr>
          <w:rFonts w:ascii="Calibri" w:hAnsi="Calibri"/>
        </w:rPr>
        <w:t xml:space="preserve"> new</w:t>
      </w:r>
      <w:r w:rsidR="006171DA" w:rsidRPr="0090438F">
        <w:rPr>
          <w:rFonts w:ascii="Calibri" w:hAnsi="Calibri"/>
        </w:rPr>
        <w:t xml:space="preserve"> NAP. </w:t>
      </w:r>
      <w:r w:rsidRPr="0090438F">
        <w:rPr>
          <w:rFonts w:ascii="Calibri" w:hAnsi="Calibri"/>
        </w:rPr>
        <w:t>One of</w:t>
      </w:r>
      <w:r w:rsidR="00ED350A" w:rsidRPr="0090438F">
        <w:rPr>
          <w:rFonts w:ascii="Calibri" w:hAnsi="Calibri"/>
        </w:rPr>
        <w:t xml:space="preserve"> the new NAP’s objectives is consolidating progress at</w:t>
      </w:r>
      <w:r w:rsidRPr="0090438F">
        <w:rPr>
          <w:rFonts w:ascii="Calibri" w:hAnsi="Calibri"/>
        </w:rPr>
        <w:t xml:space="preserve"> the national level on SCR 1325. However,</w:t>
      </w:r>
      <w:r w:rsidR="00ED350A" w:rsidRPr="0090438F">
        <w:rPr>
          <w:rFonts w:ascii="Calibri" w:hAnsi="Calibri"/>
        </w:rPr>
        <w:t xml:space="preserve"> </w:t>
      </w:r>
      <w:r w:rsidR="00DF6336" w:rsidRPr="0090438F">
        <w:rPr>
          <w:rFonts w:ascii="Calibri" w:hAnsi="Calibri"/>
        </w:rPr>
        <w:t xml:space="preserve">this appears to focus on </w:t>
      </w:r>
      <w:r w:rsidR="00ED350A" w:rsidRPr="0090438F">
        <w:rPr>
          <w:rFonts w:ascii="Calibri" w:hAnsi="Calibri"/>
        </w:rPr>
        <w:t xml:space="preserve">incorporating a gender perspective in the armed forces and </w:t>
      </w:r>
      <w:r w:rsidR="006171DA" w:rsidRPr="0090438F">
        <w:rPr>
          <w:rFonts w:ascii="Calibri" w:hAnsi="Calibri"/>
        </w:rPr>
        <w:t xml:space="preserve">the work of </w:t>
      </w:r>
      <w:r w:rsidR="00ED350A" w:rsidRPr="0090438F">
        <w:rPr>
          <w:rFonts w:ascii="Calibri" w:hAnsi="Calibri"/>
        </w:rPr>
        <w:t>public officials</w:t>
      </w:r>
      <w:r w:rsidR="00DF6336" w:rsidRPr="0090438F">
        <w:rPr>
          <w:rFonts w:ascii="Calibri" w:hAnsi="Calibri"/>
        </w:rPr>
        <w:t xml:space="preserve">, rather than on women’s political engagement or </w:t>
      </w:r>
      <w:r w:rsidR="00B91027" w:rsidRPr="0090438F">
        <w:rPr>
          <w:rFonts w:ascii="Calibri" w:hAnsi="Calibri"/>
        </w:rPr>
        <w:t xml:space="preserve">SGBV. </w:t>
      </w:r>
    </w:p>
    <w:p w14:paraId="7200B0C2" w14:textId="5F2CD62D" w:rsidR="00ED350A" w:rsidRPr="0090438F" w:rsidRDefault="006171DA" w:rsidP="00874314">
      <w:pPr>
        <w:jc w:val="both"/>
        <w:rPr>
          <w:rFonts w:ascii="Calibri" w:hAnsi="Calibri"/>
        </w:rPr>
      </w:pPr>
      <w:r w:rsidRPr="0090438F">
        <w:rPr>
          <w:rFonts w:ascii="Calibri" w:hAnsi="Calibri"/>
        </w:rPr>
        <w:lastRenderedPageBreak/>
        <w:t xml:space="preserve"> </w:t>
      </w:r>
    </w:p>
    <w:p w14:paraId="556CA6FF" w14:textId="01A76183" w:rsidR="00874314" w:rsidRPr="0090438F" w:rsidRDefault="00A1755F" w:rsidP="00CD181F">
      <w:pPr>
        <w:spacing w:line="360" w:lineRule="auto"/>
        <w:jc w:val="both"/>
        <w:rPr>
          <w:rFonts w:ascii="Calibri" w:hAnsi="Calibri"/>
        </w:rPr>
      </w:pPr>
      <w:r w:rsidRPr="0090438F">
        <w:rPr>
          <w:rFonts w:ascii="Calibri" w:hAnsi="Calibri"/>
        </w:rPr>
        <w:t>Chile has made some progress</w:t>
      </w:r>
      <w:r w:rsidR="006171DA" w:rsidRPr="0090438F">
        <w:rPr>
          <w:rFonts w:ascii="Calibri" w:hAnsi="Calibri"/>
        </w:rPr>
        <w:t xml:space="preserve"> on </w:t>
      </w:r>
      <w:r w:rsidR="006171DA" w:rsidRPr="0090438F">
        <w:rPr>
          <w:rFonts w:ascii="Calibri" w:hAnsi="Calibri"/>
          <w:b/>
          <w:color w:val="4F81BD" w:themeColor="accent1"/>
        </w:rPr>
        <w:t>women’s political participation</w:t>
      </w:r>
      <w:r w:rsidRPr="0090438F">
        <w:rPr>
          <w:rFonts w:ascii="Calibri" w:hAnsi="Calibri"/>
        </w:rPr>
        <w:t xml:space="preserve">, with women represented at the highest levels of government, </w:t>
      </w:r>
      <w:r w:rsidR="006C60E3" w:rsidRPr="0090438F">
        <w:rPr>
          <w:rFonts w:ascii="Calibri" w:hAnsi="Calibri"/>
        </w:rPr>
        <w:t>including</w:t>
      </w:r>
      <w:r w:rsidR="00B91027" w:rsidRPr="0090438F">
        <w:rPr>
          <w:rFonts w:ascii="Calibri" w:hAnsi="Calibri"/>
        </w:rPr>
        <w:t xml:space="preserve"> President Bachelet (re-elected in 2014)</w:t>
      </w:r>
      <w:r w:rsidRPr="0090438F">
        <w:rPr>
          <w:rFonts w:ascii="Calibri" w:hAnsi="Calibri"/>
        </w:rPr>
        <w:t xml:space="preserve"> </w:t>
      </w:r>
      <w:r w:rsidR="006C60E3" w:rsidRPr="0090438F">
        <w:rPr>
          <w:rFonts w:ascii="Calibri" w:hAnsi="Calibri"/>
        </w:rPr>
        <w:t xml:space="preserve">as well as </w:t>
      </w:r>
      <w:r w:rsidR="00021A53" w:rsidRPr="0090438F">
        <w:rPr>
          <w:rFonts w:ascii="Calibri" w:hAnsi="Calibri"/>
        </w:rPr>
        <w:t>women in</w:t>
      </w:r>
      <w:r w:rsidR="006C60E3" w:rsidRPr="0090438F">
        <w:rPr>
          <w:rFonts w:ascii="Calibri" w:hAnsi="Calibri"/>
        </w:rPr>
        <w:t xml:space="preserve"> 39% of ministerial roles.</w:t>
      </w:r>
      <w:r w:rsidR="006C60E3" w:rsidRPr="0090438F">
        <w:rPr>
          <w:rStyle w:val="FootnoteReference"/>
          <w:rFonts w:ascii="Calibri" w:hAnsi="Calibri"/>
        </w:rPr>
        <w:footnoteReference w:id="232"/>
      </w:r>
      <w:r w:rsidR="006C60E3" w:rsidRPr="0090438F">
        <w:rPr>
          <w:rFonts w:ascii="Calibri" w:hAnsi="Calibri"/>
        </w:rPr>
        <w:t xml:space="preserve"> However, women only represent 15.8% of parliamentarians (“deputies”) in Chile’s lower house of parliament, and 18.4% of members of the Senate in 2014.</w:t>
      </w:r>
      <w:r w:rsidR="006C60E3" w:rsidRPr="0090438F">
        <w:rPr>
          <w:rStyle w:val="FootnoteReference"/>
          <w:rFonts w:ascii="Calibri" w:hAnsi="Calibri"/>
        </w:rPr>
        <w:footnoteReference w:id="233"/>
      </w:r>
      <w:r w:rsidR="006C60E3" w:rsidRPr="0090438F">
        <w:rPr>
          <w:rFonts w:ascii="Calibri" w:hAnsi="Calibri"/>
        </w:rPr>
        <w:t xml:space="preserve"> </w:t>
      </w:r>
      <w:r w:rsidR="00BB71B2" w:rsidRPr="0090438F">
        <w:rPr>
          <w:rFonts w:ascii="Calibri" w:hAnsi="Calibri"/>
        </w:rPr>
        <w:t>The CEDAW C</w:t>
      </w:r>
      <w:r w:rsidR="006C60E3" w:rsidRPr="0090438F">
        <w:rPr>
          <w:rFonts w:ascii="Calibri" w:hAnsi="Calibri"/>
        </w:rPr>
        <w:t xml:space="preserve">ommittee, </w:t>
      </w:r>
      <w:r w:rsidR="00BB71B2" w:rsidRPr="0090438F">
        <w:rPr>
          <w:rFonts w:ascii="Calibri" w:hAnsi="Calibri"/>
        </w:rPr>
        <w:t>in</w:t>
      </w:r>
      <w:r w:rsidR="006C60E3" w:rsidRPr="0090438F">
        <w:rPr>
          <w:rFonts w:ascii="Calibri" w:hAnsi="Calibri"/>
        </w:rPr>
        <w:t xml:space="preserve"> its</w:t>
      </w:r>
      <w:r w:rsidRPr="0090438F">
        <w:rPr>
          <w:rFonts w:ascii="Calibri" w:hAnsi="Calibri"/>
        </w:rPr>
        <w:t xml:space="preserve"> 2012 Concluding Observations on Chile’s most recent country report</w:t>
      </w:r>
      <w:r w:rsidR="006C60E3" w:rsidRPr="0090438F">
        <w:rPr>
          <w:rFonts w:ascii="Calibri" w:hAnsi="Calibri"/>
        </w:rPr>
        <w:t>, noted</w:t>
      </w:r>
      <w:r w:rsidR="00BB71B2" w:rsidRPr="0090438F">
        <w:rPr>
          <w:rFonts w:ascii="Calibri" w:hAnsi="Calibri"/>
        </w:rPr>
        <w:t xml:space="preserve"> “the persistence of patriarchal attitudes and stereotypes and the lack of temporary special measures continue to impede women’s participation in Parliament and in decision-making positions at the State and municipal levels, including indigenous women”.</w:t>
      </w:r>
      <w:r w:rsidR="00BB71B2" w:rsidRPr="0090438F">
        <w:rPr>
          <w:rStyle w:val="FootnoteReference"/>
          <w:rFonts w:ascii="Calibri" w:hAnsi="Calibri"/>
        </w:rPr>
        <w:footnoteReference w:id="234"/>
      </w:r>
      <w:r w:rsidRPr="0090438F">
        <w:rPr>
          <w:rFonts w:ascii="Calibri" w:hAnsi="Calibri"/>
        </w:rPr>
        <w:t xml:space="preserve"> The Committee reiterated its concern that the binominal electoral system unfavourably impacted women’s political representation.</w:t>
      </w:r>
      <w:r w:rsidRPr="0090438F">
        <w:rPr>
          <w:rStyle w:val="FootnoteReference"/>
          <w:rFonts w:ascii="Calibri" w:hAnsi="Calibri"/>
        </w:rPr>
        <w:footnoteReference w:id="235"/>
      </w:r>
      <w:r w:rsidR="00021A53" w:rsidRPr="0090438F">
        <w:rPr>
          <w:rFonts w:ascii="Calibri" w:hAnsi="Calibri"/>
        </w:rPr>
        <w:t xml:space="preserve"> </w:t>
      </w:r>
    </w:p>
    <w:p w14:paraId="5173B13D" w14:textId="77777777" w:rsidR="005857C6" w:rsidRPr="0090438F" w:rsidRDefault="005857C6" w:rsidP="00874314">
      <w:pPr>
        <w:jc w:val="both"/>
        <w:rPr>
          <w:rFonts w:ascii="Calibri" w:hAnsi="Calibri"/>
        </w:rPr>
      </w:pPr>
    </w:p>
    <w:p w14:paraId="6190EDD8" w14:textId="6B056DD6" w:rsidR="005857C6" w:rsidRPr="0090438F" w:rsidRDefault="005857C6" w:rsidP="00CD181F">
      <w:pPr>
        <w:spacing w:line="360" w:lineRule="auto"/>
        <w:jc w:val="both"/>
        <w:rPr>
          <w:rFonts w:ascii="Calibri" w:hAnsi="Calibri"/>
        </w:rPr>
      </w:pPr>
      <w:r w:rsidRPr="0090438F">
        <w:rPr>
          <w:rFonts w:ascii="Calibri" w:hAnsi="Calibri"/>
          <w:b/>
          <w:color w:val="4F81BD" w:themeColor="accent1"/>
        </w:rPr>
        <w:t>Violence against women</w:t>
      </w:r>
      <w:r w:rsidR="001031A6" w:rsidRPr="0090438F">
        <w:rPr>
          <w:rFonts w:ascii="Calibri" w:hAnsi="Calibri"/>
        </w:rPr>
        <w:t xml:space="preserve"> </w:t>
      </w:r>
      <w:r w:rsidR="00AF5015" w:rsidRPr="0090438F">
        <w:rPr>
          <w:rFonts w:ascii="Calibri" w:hAnsi="Calibri"/>
        </w:rPr>
        <w:t>and</w:t>
      </w:r>
      <w:r w:rsidR="00AC649F" w:rsidRPr="0090438F">
        <w:rPr>
          <w:rFonts w:ascii="Calibri" w:hAnsi="Calibri"/>
        </w:rPr>
        <w:t xml:space="preserve"> the denial of </w:t>
      </w:r>
      <w:r w:rsidR="00AC649F" w:rsidRPr="0090438F">
        <w:rPr>
          <w:rFonts w:ascii="Calibri" w:hAnsi="Calibri"/>
          <w:b/>
          <w:color w:val="4F81BD" w:themeColor="accent1"/>
        </w:rPr>
        <w:t xml:space="preserve">sexual and </w:t>
      </w:r>
      <w:r w:rsidR="00AC649F" w:rsidRPr="00471761">
        <w:rPr>
          <w:rFonts w:ascii="Calibri" w:hAnsi="Calibri"/>
          <w:b/>
          <w:color w:val="4F81BD" w:themeColor="accent1"/>
        </w:rPr>
        <w:t>reproductive</w:t>
      </w:r>
      <w:r w:rsidR="00B91027" w:rsidRPr="00471761">
        <w:rPr>
          <w:rFonts w:ascii="Calibri" w:hAnsi="Calibri"/>
          <w:b/>
          <w:color w:val="4F81BD" w:themeColor="accent1"/>
        </w:rPr>
        <w:t xml:space="preserve"> health</w:t>
      </w:r>
      <w:r w:rsidR="00AC649F" w:rsidRPr="00471761">
        <w:rPr>
          <w:rFonts w:ascii="Calibri" w:hAnsi="Calibri"/>
          <w:b/>
          <w:color w:val="4F81BD" w:themeColor="accent1"/>
        </w:rPr>
        <w:t xml:space="preserve"> </w:t>
      </w:r>
      <w:r w:rsidR="00AC649F" w:rsidRPr="0090438F">
        <w:rPr>
          <w:rFonts w:ascii="Calibri" w:hAnsi="Calibri"/>
          <w:b/>
          <w:color w:val="4F81BD" w:themeColor="accent1"/>
        </w:rPr>
        <w:t>rights</w:t>
      </w:r>
      <w:r w:rsidR="00AF5015" w:rsidRPr="0090438F">
        <w:rPr>
          <w:rFonts w:ascii="Calibri" w:hAnsi="Calibri"/>
        </w:rPr>
        <w:t xml:space="preserve"> are also major problems in Chile.</w:t>
      </w:r>
      <w:r w:rsidR="00ED350A" w:rsidRPr="0090438F">
        <w:rPr>
          <w:rFonts w:ascii="Calibri" w:hAnsi="Calibri"/>
        </w:rPr>
        <w:t xml:space="preserve"> A</w:t>
      </w:r>
      <w:r w:rsidRPr="0090438F">
        <w:rPr>
          <w:rFonts w:ascii="Calibri" w:hAnsi="Calibri"/>
        </w:rPr>
        <w:t xml:space="preserve"> 2004 </w:t>
      </w:r>
      <w:r w:rsidR="001031A6" w:rsidRPr="0090438F">
        <w:rPr>
          <w:rFonts w:ascii="Calibri" w:hAnsi="Calibri"/>
        </w:rPr>
        <w:t>national survey showed</w:t>
      </w:r>
      <w:r w:rsidRPr="0090438F">
        <w:rPr>
          <w:rFonts w:ascii="Calibri" w:hAnsi="Calibri"/>
        </w:rPr>
        <w:t xml:space="preserve"> that</w:t>
      </w:r>
      <w:r w:rsidR="006171DA" w:rsidRPr="0090438F">
        <w:rPr>
          <w:rFonts w:ascii="Calibri" w:hAnsi="Calibri"/>
        </w:rPr>
        <w:t xml:space="preserve"> in their lifetimes,</w:t>
      </w:r>
      <w:r w:rsidRPr="0090438F">
        <w:rPr>
          <w:rFonts w:ascii="Calibri" w:hAnsi="Calibri"/>
        </w:rPr>
        <w:t xml:space="preserve"> </w:t>
      </w:r>
      <w:r w:rsidR="00ED350A" w:rsidRPr="0090438F">
        <w:rPr>
          <w:rFonts w:ascii="Calibri" w:hAnsi="Calibri"/>
        </w:rPr>
        <w:t xml:space="preserve">15% of Chilean women had experienced physical violence, 15% had experienced sexual violence, and 36% had experienced </w:t>
      </w:r>
      <w:r w:rsidR="006171DA" w:rsidRPr="0090438F">
        <w:rPr>
          <w:rFonts w:ascii="Calibri" w:hAnsi="Calibri"/>
        </w:rPr>
        <w:t>physical and/or sexual violence</w:t>
      </w:r>
      <w:r w:rsidR="00ED350A" w:rsidRPr="0090438F">
        <w:rPr>
          <w:rFonts w:ascii="Calibri" w:hAnsi="Calibri"/>
        </w:rPr>
        <w:t>.</w:t>
      </w:r>
      <w:r w:rsidR="00ED350A" w:rsidRPr="0090438F">
        <w:rPr>
          <w:rStyle w:val="FootnoteReference"/>
          <w:rFonts w:ascii="Calibri" w:hAnsi="Calibri"/>
        </w:rPr>
        <w:footnoteReference w:id="236"/>
      </w:r>
      <w:r w:rsidR="006171DA" w:rsidRPr="0090438F">
        <w:rPr>
          <w:rFonts w:ascii="Calibri" w:hAnsi="Calibri"/>
        </w:rPr>
        <w:t xml:space="preserve"> </w:t>
      </w:r>
      <w:r w:rsidR="00B91027" w:rsidRPr="0090438F">
        <w:rPr>
          <w:rFonts w:ascii="Calibri" w:hAnsi="Calibri"/>
        </w:rPr>
        <w:t>In 2012 the CEDAW Committee noted</w:t>
      </w:r>
      <w:r w:rsidR="00AC649F" w:rsidRPr="0090438F">
        <w:rPr>
          <w:rFonts w:ascii="Calibri" w:hAnsi="Calibri"/>
        </w:rPr>
        <w:t xml:space="preserve"> the Government’s efforts to combat domestic violence, including amending Chile’s Penal Code to include the crime of femicide perpetrated by spouses or ex-spouses, and to provide redress to victims and survivors of domestic violence. However, domestic violence is not defined as a criminal offence including psychological and physical violence, and the penal code has procedural barriers to prosecuting perpetrators of violence. Sexual harassment</w:t>
      </w:r>
      <w:r w:rsidR="00AF5015" w:rsidRPr="0090438F">
        <w:rPr>
          <w:rFonts w:ascii="Calibri" w:hAnsi="Calibri"/>
        </w:rPr>
        <w:t xml:space="preserve"> is only criminalized as workplace</w:t>
      </w:r>
      <w:r w:rsidR="00AC649F" w:rsidRPr="0090438F">
        <w:rPr>
          <w:rFonts w:ascii="Calibri" w:hAnsi="Calibri"/>
        </w:rPr>
        <w:t xml:space="preserve"> conduct and against minors.</w:t>
      </w:r>
      <w:r w:rsidR="00AC649F" w:rsidRPr="0090438F">
        <w:rPr>
          <w:rStyle w:val="FootnoteReference"/>
          <w:rFonts w:ascii="Calibri" w:hAnsi="Calibri"/>
        </w:rPr>
        <w:footnoteReference w:id="237"/>
      </w:r>
      <w:r w:rsidR="00AC649F" w:rsidRPr="0090438F">
        <w:rPr>
          <w:rFonts w:ascii="Calibri" w:hAnsi="Calibri"/>
        </w:rPr>
        <w:t xml:space="preserve"> The denial of women’s rights is perhaps most evident in the illegality of abortion in Chile</w:t>
      </w:r>
      <w:r w:rsidR="00AF5015" w:rsidRPr="0090438F">
        <w:rPr>
          <w:rFonts w:ascii="Calibri" w:hAnsi="Calibri"/>
        </w:rPr>
        <w:t xml:space="preserve"> and women’s inability to access the right to a safe abortion</w:t>
      </w:r>
      <w:r w:rsidR="00AC649F" w:rsidRPr="0090438F">
        <w:rPr>
          <w:rFonts w:ascii="Calibri" w:hAnsi="Calibri"/>
        </w:rPr>
        <w:t>, in all circumstances.</w:t>
      </w:r>
      <w:r w:rsidR="00AF5015" w:rsidRPr="0090438F">
        <w:rPr>
          <w:rStyle w:val="FootnoteReference"/>
          <w:rFonts w:ascii="Calibri" w:hAnsi="Calibri"/>
        </w:rPr>
        <w:footnoteReference w:id="238"/>
      </w:r>
      <w:r w:rsidR="00AC649F" w:rsidRPr="0090438F">
        <w:rPr>
          <w:rFonts w:ascii="Calibri" w:hAnsi="Calibri"/>
        </w:rPr>
        <w:t xml:space="preserve"> </w:t>
      </w:r>
      <w:r w:rsidR="00AF5015" w:rsidRPr="0090438F">
        <w:rPr>
          <w:rFonts w:ascii="Calibri" w:hAnsi="Calibri"/>
        </w:rPr>
        <w:t>The Committee was also concerned about reported forced sterilization of women living with HIV/AIDS</w:t>
      </w:r>
      <w:r w:rsidR="00B91027" w:rsidRPr="0090438F">
        <w:rPr>
          <w:rFonts w:ascii="Calibri" w:hAnsi="Calibri"/>
        </w:rPr>
        <w:t xml:space="preserve"> and</w:t>
      </w:r>
      <w:r w:rsidR="00AF5015" w:rsidRPr="0090438F">
        <w:rPr>
          <w:rFonts w:ascii="Calibri" w:hAnsi="Calibri"/>
        </w:rPr>
        <w:t xml:space="preserve"> mandatory HIV/AIDS testing.</w:t>
      </w:r>
      <w:r w:rsidR="00AF5015" w:rsidRPr="0090438F">
        <w:rPr>
          <w:rStyle w:val="FootnoteReference"/>
          <w:rFonts w:ascii="Calibri" w:hAnsi="Calibri"/>
        </w:rPr>
        <w:footnoteReference w:id="239"/>
      </w:r>
      <w:r w:rsidR="00AF5015" w:rsidRPr="0090438F">
        <w:rPr>
          <w:rFonts w:ascii="Calibri" w:hAnsi="Calibri"/>
        </w:rPr>
        <w:t xml:space="preserve"> </w:t>
      </w:r>
      <w:r w:rsidR="00AC649F" w:rsidRPr="0090438F">
        <w:rPr>
          <w:rFonts w:ascii="Calibri" w:hAnsi="Calibri"/>
        </w:rPr>
        <w:t>While these issues are not conflict-specific, they</w:t>
      </w:r>
      <w:r w:rsidR="00B91027" w:rsidRPr="0090438F">
        <w:rPr>
          <w:rFonts w:ascii="Calibri" w:hAnsi="Calibri"/>
        </w:rPr>
        <w:t xml:space="preserve"> require the government’s urgent attention and</w:t>
      </w:r>
      <w:r w:rsidR="00AC649F" w:rsidRPr="0090438F">
        <w:rPr>
          <w:rFonts w:ascii="Calibri" w:hAnsi="Calibri"/>
        </w:rPr>
        <w:t xml:space="preserve"> are obstacles </w:t>
      </w:r>
      <w:r w:rsidR="00AF5015" w:rsidRPr="0090438F">
        <w:rPr>
          <w:rFonts w:ascii="Calibri" w:hAnsi="Calibri"/>
        </w:rPr>
        <w:t xml:space="preserve">to </w:t>
      </w:r>
      <w:r w:rsidR="00B91027" w:rsidRPr="0090438F">
        <w:rPr>
          <w:rFonts w:ascii="Calibri" w:hAnsi="Calibri"/>
        </w:rPr>
        <w:t>fulfilling the obligations in the legal framework.</w:t>
      </w:r>
      <w:r w:rsidR="00AF5015" w:rsidRPr="0090438F">
        <w:rPr>
          <w:rFonts w:ascii="Calibri" w:hAnsi="Calibri"/>
        </w:rPr>
        <w:t xml:space="preserve"> </w:t>
      </w:r>
    </w:p>
    <w:p w14:paraId="5B6C31FA" w14:textId="77777777" w:rsidR="008C15E2" w:rsidRPr="0090438F" w:rsidRDefault="008C15E2" w:rsidP="00874314">
      <w:pPr>
        <w:jc w:val="both"/>
        <w:rPr>
          <w:rFonts w:ascii="Calibri" w:hAnsi="Calibri"/>
        </w:rPr>
      </w:pPr>
    </w:p>
    <w:p w14:paraId="34EDD439" w14:textId="0E8F5184" w:rsidR="00874314" w:rsidRPr="0090438F" w:rsidRDefault="006171DA" w:rsidP="00CD181F">
      <w:pPr>
        <w:spacing w:line="360" w:lineRule="auto"/>
        <w:jc w:val="both"/>
        <w:rPr>
          <w:rFonts w:ascii="Calibri" w:hAnsi="Calibri"/>
        </w:rPr>
      </w:pPr>
      <w:r w:rsidRPr="0090438F">
        <w:rPr>
          <w:rFonts w:ascii="Calibri" w:hAnsi="Calibri"/>
        </w:rPr>
        <w:t>Chile has been more successful in implementing its NAP via</w:t>
      </w:r>
      <w:r w:rsidR="00E3050F" w:rsidRPr="0090438F">
        <w:rPr>
          <w:rFonts w:ascii="Calibri" w:hAnsi="Calibri"/>
        </w:rPr>
        <w:t xml:space="preserve"> </w:t>
      </w:r>
      <w:r w:rsidR="00E3050F" w:rsidRPr="0090438F">
        <w:rPr>
          <w:rFonts w:ascii="Calibri" w:hAnsi="Calibri"/>
          <w:b/>
          <w:color w:val="4F81BD" w:themeColor="accent1"/>
        </w:rPr>
        <w:t xml:space="preserve">international </w:t>
      </w:r>
      <w:r w:rsidR="005857C6" w:rsidRPr="0090438F">
        <w:rPr>
          <w:rFonts w:ascii="Calibri" w:hAnsi="Calibri"/>
          <w:b/>
          <w:color w:val="4F81BD" w:themeColor="accent1"/>
        </w:rPr>
        <w:t>peacekeeping</w:t>
      </w:r>
      <w:r w:rsidR="005857C6" w:rsidRPr="0090438F">
        <w:rPr>
          <w:rFonts w:ascii="Calibri" w:hAnsi="Calibri"/>
        </w:rPr>
        <w:t xml:space="preserve"> </w:t>
      </w:r>
      <w:r w:rsidR="00E3050F" w:rsidRPr="0090438F">
        <w:rPr>
          <w:rFonts w:ascii="Calibri" w:hAnsi="Calibri"/>
        </w:rPr>
        <w:t>effor</w:t>
      </w:r>
      <w:r w:rsidRPr="0090438F">
        <w:rPr>
          <w:rFonts w:ascii="Calibri" w:hAnsi="Calibri"/>
        </w:rPr>
        <w:t>ts</w:t>
      </w:r>
      <w:r w:rsidR="00E3050F" w:rsidRPr="0090438F">
        <w:rPr>
          <w:rFonts w:ascii="Calibri" w:hAnsi="Calibri"/>
        </w:rPr>
        <w:t xml:space="preserve">. </w:t>
      </w:r>
      <w:r w:rsidR="00874314" w:rsidRPr="0090438F">
        <w:rPr>
          <w:rFonts w:ascii="Calibri" w:hAnsi="Calibri"/>
        </w:rPr>
        <w:t xml:space="preserve">Since </w:t>
      </w:r>
      <w:r w:rsidR="00E3050F" w:rsidRPr="0090438F">
        <w:rPr>
          <w:rFonts w:ascii="Calibri" w:hAnsi="Calibri"/>
        </w:rPr>
        <w:t>SCR</w:t>
      </w:r>
      <w:r w:rsidR="001031A6" w:rsidRPr="0090438F">
        <w:rPr>
          <w:rFonts w:ascii="Calibri" w:hAnsi="Calibri"/>
        </w:rPr>
        <w:t xml:space="preserve"> </w:t>
      </w:r>
      <w:r w:rsidR="00874314" w:rsidRPr="0090438F">
        <w:rPr>
          <w:rFonts w:ascii="Calibri" w:hAnsi="Calibri"/>
        </w:rPr>
        <w:t xml:space="preserve">1325 was adopted, 218 Chilean women have joined peacekeeping operations: 214 in Haiti, and 4 in Bosnia; 78 have been officers, 125 permanent staff and 15 civilians. </w:t>
      </w:r>
      <w:r w:rsidR="005857C6" w:rsidRPr="0090438F">
        <w:rPr>
          <w:rFonts w:ascii="Calibri" w:hAnsi="Calibri"/>
        </w:rPr>
        <w:t xml:space="preserve">Women’s participation has increased annually, </w:t>
      </w:r>
      <w:r w:rsidR="005857C6" w:rsidRPr="0090438F">
        <w:rPr>
          <w:rFonts w:ascii="Calibri" w:hAnsi="Calibri"/>
        </w:rPr>
        <w:lastRenderedPageBreak/>
        <w:t>with 38 women deployed in 2014 compared to 13 when the first NAP was launched in 2009. Chilean women in peacekeeping missions</w:t>
      </w:r>
      <w:r w:rsidR="00874314" w:rsidRPr="0090438F">
        <w:rPr>
          <w:rFonts w:ascii="Calibri" w:hAnsi="Calibri"/>
        </w:rPr>
        <w:t xml:space="preserve"> have taken on numerous roles, including serving as pilots, radio operators, mechanics of motor vehicles and helicopters, doctors, nurses, police, legal and communications advisers, staff officers, machinery commanders, quartermasters, surveyors and machinery operators.</w:t>
      </w:r>
      <w:r w:rsidR="005857C6" w:rsidRPr="0090438F">
        <w:rPr>
          <w:rStyle w:val="FootnoteReference"/>
          <w:rFonts w:ascii="Calibri" w:hAnsi="Calibri"/>
        </w:rPr>
        <w:footnoteReference w:id="240"/>
      </w:r>
      <w:r w:rsidR="00874314" w:rsidRPr="0090438F">
        <w:rPr>
          <w:rFonts w:ascii="Calibri" w:hAnsi="Calibri"/>
        </w:rPr>
        <w:t xml:space="preserve"> Chile currently has personnel deployed in the United Nations Stabilisation Mission in Haiti (MINUSTAH), the United Nations Peacekeeping Force in Cyprus (UNFICYP), the Military Observer Group of the United Nations in India and Pakistan (UNMOGIP), the United Nations Truce Supervision Organization (UNTSO), and the Mission of the European Union in Bosnia and Herzegovina (EUFOR-ALTHEA).</w:t>
      </w:r>
    </w:p>
    <w:p w14:paraId="22F370B7" w14:textId="77777777" w:rsidR="00874314" w:rsidRPr="0090438F" w:rsidRDefault="00874314" w:rsidP="00874314">
      <w:pPr>
        <w:jc w:val="both"/>
        <w:rPr>
          <w:rFonts w:ascii="Calibri" w:hAnsi="Calibri"/>
        </w:rPr>
      </w:pPr>
    </w:p>
    <w:p w14:paraId="7037E66F" w14:textId="77777777" w:rsidR="00874314" w:rsidRPr="0090438F" w:rsidRDefault="00874314" w:rsidP="00874314">
      <w:pPr>
        <w:jc w:val="both"/>
        <w:rPr>
          <w:rFonts w:ascii="Calibri" w:hAnsi="Calibri"/>
          <w:b/>
          <w:color w:val="1F497D" w:themeColor="text2"/>
          <w:u w:val="single"/>
        </w:rPr>
      </w:pPr>
      <w:r w:rsidRPr="0090438F">
        <w:rPr>
          <w:rFonts w:ascii="Calibri" w:hAnsi="Calibri"/>
          <w:b/>
          <w:color w:val="1F497D" w:themeColor="text2"/>
          <w:u w:val="single"/>
        </w:rPr>
        <w:t>Civil Society</w:t>
      </w:r>
    </w:p>
    <w:p w14:paraId="2DB713AF" w14:textId="77777777" w:rsidR="008C15E2" w:rsidRPr="0090438F" w:rsidRDefault="008C15E2" w:rsidP="00874314">
      <w:pPr>
        <w:jc w:val="both"/>
        <w:rPr>
          <w:rFonts w:ascii="Calibri" w:hAnsi="Calibri"/>
        </w:rPr>
      </w:pPr>
    </w:p>
    <w:p w14:paraId="30B3A4E5" w14:textId="64599054" w:rsidR="00874314" w:rsidRPr="0090438F" w:rsidRDefault="004633B4" w:rsidP="00CD181F">
      <w:pPr>
        <w:spacing w:line="360" w:lineRule="auto"/>
        <w:jc w:val="both"/>
        <w:rPr>
          <w:rFonts w:ascii="Calibri" w:hAnsi="Calibri"/>
        </w:rPr>
      </w:pPr>
      <w:r w:rsidRPr="0090438F">
        <w:rPr>
          <w:rFonts w:ascii="Calibri" w:hAnsi="Calibri"/>
        </w:rPr>
        <w:t xml:space="preserve">While Chile’s active civil society sector is not engaged on peace and security issues (given the lack of current conflict) there is widespread support for the NAP process, especially in raising women’s profile in peace-building and post-conflict reconstruction. Women’s organizations are working on domestic </w:t>
      </w:r>
      <w:r w:rsidR="007F4F7D" w:rsidRPr="0090438F">
        <w:rPr>
          <w:rFonts w:ascii="Calibri" w:hAnsi="Calibri"/>
        </w:rPr>
        <w:t>violence</w:t>
      </w:r>
      <w:r w:rsidRPr="0090438F">
        <w:rPr>
          <w:rFonts w:ascii="Calibri" w:hAnsi="Calibri"/>
        </w:rPr>
        <w:t xml:space="preserve"> and sexual and reproductive health rights. NGOs also focus on</w:t>
      </w:r>
      <w:r w:rsidR="006171DA" w:rsidRPr="0090438F">
        <w:rPr>
          <w:rFonts w:ascii="Calibri" w:hAnsi="Calibri"/>
        </w:rPr>
        <w:t xml:space="preserve"> </w:t>
      </w:r>
      <w:r w:rsidRPr="0090438F">
        <w:rPr>
          <w:rFonts w:ascii="Calibri" w:hAnsi="Calibri"/>
        </w:rPr>
        <w:t>w</w:t>
      </w:r>
      <w:r w:rsidR="00DF6336" w:rsidRPr="0090438F">
        <w:rPr>
          <w:rFonts w:ascii="Calibri" w:hAnsi="Calibri"/>
        </w:rPr>
        <w:t xml:space="preserve">age </w:t>
      </w:r>
      <w:r w:rsidR="00AF5015" w:rsidRPr="0090438F">
        <w:rPr>
          <w:rFonts w:ascii="Calibri" w:hAnsi="Calibri"/>
        </w:rPr>
        <w:t>parity and women’s economic empowerment is a focus area</w:t>
      </w:r>
      <w:r w:rsidR="00DF6336" w:rsidRPr="0090438F">
        <w:rPr>
          <w:rFonts w:ascii="Calibri" w:hAnsi="Calibri"/>
        </w:rPr>
        <w:t>, given that Chile fell from 46</w:t>
      </w:r>
      <w:r w:rsidR="00DF6336" w:rsidRPr="0090438F">
        <w:rPr>
          <w:rFonts w:ascii="Calibri" w:hAnsi="Calibri"/>
          <w:vertAlign w:val="superscript"/>
        </w:rPr>
        <w:t>th</w:t>
      </w:r>
      <w:r w:rsidR="00DF6336" w:rsidRPr="0090438F">
        <w:rPr>
          <w:rFonts w:ascii="Calibri" w:hAnsi="Calibri"/>
        </w:rPr>
        <w:t xml:space="preserve"> place in 2011, to 91</w:t>
      </w:r>
      <w:r w:rsidR="00DF6336" w:rsidRPr="0090438F">
        <w:rPr>
          <w:rFonts w:ascii="Calibri" w:hAnsi="Calibri"/>
          <w:vertAlign w:val="superscript"/>
        </w:rPr>
        <w:t>st</w:t>
      </w:r>
      <w:r w:rsidR="00DF6336" w:rsidRPr="0090438F">
        <w:rPr>
          <w:rFonts w:ascii="Calibri" w:hAnsi="Calibri"/>
        </w:rPr>
        <w:t xml:space="preserve"> place in 2013 on the World Economic Forum’s Gender Equality Index. Chile </w:t>
      </w:r>
      <w:r w:rsidRPr="0090438F">
        <w:rPr>
          <w:rFonts w:ascii="Calibri" w:hAnsi="Calibri"/>
        </w:rPr>
        <w:t>has since risen</w:t>
      </w:r>
      <w:r w:rsidR="00DF6336" w:rsidRPr="0090438F">
        <w:rPr>
          <w:rFonts w:ascii="Calibri" w:hAnsi="Calibri"/>
        </w:rPr>
        <w:t xml:space="preserve"> to 66</w:t>
      </w:r>
      <w:r w:rsidR="00DF6336" w:rsidRPr="0090438F">
        <w:rPr>
          <w:rFonts w:ascii="Calibri" w:hAnsi="Calibri"/>
          <w:vertAlign w:val="superscript"/>
        </w:rPr>
        <w:t>th</w:t>
      </w:r>
      <w:r w:rsidR="00DF6336" w:rsidRPr="0090438F">
        <w:rPr>
          <w:rFonts w:ascii="Calibri" w:hAnsi="Calibri"/>
        </w:rPr>
        <w:t xml:space="preserve"> place out of 142 countries</w:t>
      </w:r>
      <w:r w:rsidRPr="0090438F">
        <w:rPr>
          <w:rFonts w:ascii="Calibri" w:hAnsi="Calibri"/>
        </w:rPr>
        <w:t xml:space="preserve"> in</w:t>
      </w:r>
      <w:r w:rsidR="0003022A" w:rsidRPr="0090438F">
        <w:rPr>
          <w:rFonts w:ascii="Calibri" w:hAnsi="Calibri"/>
        </w:rPr>
        <w:t xml:space="preserve"> the Index in</w:t>
      </w:r>
      <w:r w:rsidRPr="0090438F">
        <w:rPr>
          <w:rFonts w:ascii="Calibri" w:hAnsi="Calibri"/>
        </w:rPr>
        <w:t xml:space="preserve"> 2014</w:t>
      </w:r>
      <w:r w:rsidR="00DF6336" w:rsidRPr="0090438F">
        <w:rPr>
          <w:rFonts w:ascii="Calibri" w:hAnsi="Calibri"/>
        </w:rPr>
        <w:t>.</w:t>
      </w:r>
      <w:r w:rsidR="00DF6336" w:rsidRPr="0090438F">
        <w:rPr>
          <w:rStyle w:val="FootnoteReference"/>
          <w:rFonts w:ascii="Calibri" w:hAnsi="Calibri"/>
        </w:rPr>
        <w:footnoteReference w:id="241"/>
      </w:r>
      <w:r w:rsidR="001031A6" w:rsidRPr="0090438F">
        <w:rPr>
          <w:rFonts w:ascii="Calibri" w:hAnsi="Calibri"/>
        </w:rPr>
        <w:t xml:space="preserve"> </w:t>
      </w:r>
    </w:p>
    <w:p w14:paraId="6719A4EC" w14:textId="49FEEBDE" w:rsidR="005C68CA" w:rsidRPr="0090438F" w:rsidRDefault="005C68CA" w:rsidP="008C15E2">
      <w:pPr>
        <w:rPr>
          <w:rFonts w:ascii="Calibri" w:hAnsi="Calibri"/>
          <w:b/>
        </w:rPr>
      </w:pPr>
    </w:p>
    <w:p w14:paraId="53AB7A31" w14:textId="2B798E32" w:rsidR="00396B07" w:rsidRPr="0090438F" w:rsidRDefault="00396B07" w:rsidP="007F364C">
      <w:pPr>
        <w:pStyle w:val="ListParagraph"/>
        <w:numPr>
          <w:ilvl w:val="0"/>
          <w:numId w:val="13"/>
        </w:numPr>
        <w:rPr>
          <w:rFonts w:ascii="Calibri" w:hAnsi="Calibri"/>
          <w:b/>
          <w:color w:val="1F497D" w:themeColor="text2"/>
        </w:rPr>
      </w:pPr>
      <w:r w:rsidRPr="0090438F">
        <w:rPr>
          <w:rFonts w:ascii="Calibri" w:hAnsi="Calibri"/>
          <w:b/>
          <w:color w:val="1F497D" w:themeColor="text2"/>
        </w:rPr>
        <w:t>Conclusion</w:t>
      </w:r>
    </w:p>
    <w:p w14:paraId="2A065507" w14:textId="77777777" w:rsidR="00DF6336" w:rsidRPr="0090438F" w:rsidRDefault="00DF6336" w:rsidP="00DF6336">
      <w:pPr>
        <w:jc w:val="both"/>
        <w:rPr>
          <w:rFonts w:ascii="Calibri" w:hAnsi="Calibri"/>
        </w:rPr>
      </w:pPr>
    </w:p>
    <w:p w14:paraId="707D3461" w14:textId="7743F3AC" w:rsidR="00213F5E" w:rsidRPr="0090438F" w:rsidRDefault="00AF5015" w:rsidP="00CD181F">
      <w:pPr>
        <w:spacing w:line="360" w:lineRule="auto"/>
        <w:jc w:val="both"/>
        <w:rPr>
          <w:rFonts w:ascii="Calibri" w:hAnsi="Calibri"/>
        </w:rPr>
      </w:pPr>
      <w:r w:rsidRPr="0090438F">
        <w:rPr>
          <w:rFonts w:ascii="Calibri" w:hAnsi="Calibri"/>
        </w:rPr>
        <w:t xml:space="preserve">Chile’s first NAP </w:t>
      </w:r>
      <w:r w:rsidR="00EB00D4" w:rsidRPr="0090438F">
        <w:rPr>
          <w:rFonts w:ascii="Calibri" w:hAnsi="Calibri"/>
        </w:rPr>
        <w:t>was</w:t>
      </w:r>
      <w:r w:rsidRPr="0090438F">
        <w:rPr>
          <w:rFonts w:ascii="Calibri" w:hAnsi="Calibri"/>
        </w:rPr>
        <w:t xml:space="preserve"> implemented </w:t>
      </w:r>
      <w:r w:rsidR="00EB00D4" w:rsidRPr="0090438F">
        <w:rPr>
          <w:rFonts w:ascii="Calibri" w:hAnsi="Calibri"/>
        </w:rPr>
        <w:t>with mixed</w:t>
      </w:r>
      <w:r w:rsidRPr="0090438F">
        <w:rPr>
          <w:rFonts w:ascii="Calibri" w:hAnsi="Calibri"/>
        </w:rPr>
        <w:t xml:space="preserve"> success, with domestic efforts lagging behind the country’s successful international </w:t>
      </w:r>
      <w:r w:rsidR="005F1E16" w:rsidRPr="0090438F">
        <w:rPr>
          <w:rFonts w:ascii="Calibri" w:hAnsi="Calibri"/>
        </w:rPr>
        <w:t>cooperation</w:t>
      </w:r>
      <w:r w:rsidRPr="0090438F">
        <w:rPr>
          <w:rFonts w:ascii="Calibri" w:hAnsi="Calibri"/>
        </w:rPr>
        <w:t xml:space="preserve">. </w:t>
      </w:r>
      <w:r w:rsidR="00EB00D4" w:rsidRPr="0090438F">
        <w:rPr>
          <w:rFonts w:ascii="Calibri" w:hAnsi="Calibri"/>
        </w:rPr>
        <w:t xml:space="preserve">However, there is a chance for national-level implementation to be strengthened, and for international </w:t>
      </w:r>
      <w:r w:rsidR="00616F81" w:rsidRPr="0090438F">
        <w:rPr>
          <w:rFonts w:ascii="Calibri" w:hAnsi="Calibri"/>
        </w:rPr>
        <w:t>action</w:t>
      </w:r>
      <w:r w:rsidR="00EB00D4" w:rsidRPr="0090438F">
        <w:rPr>
          <w:rFonts w:ascii="Calibri" w:hAnsi="Calibri"/>
        </w:rPr>
        <w:t xml:space="preserve"> to continue to improve (little is known about women’s actual decision-making power in peacekeeping missions, for instance).</w:t>
      </w:r>
      <w:r w:rsidRPr="0090438F">
        <w:rPr>
          <w:rFonts w:ascii="Calibri" w:hAnsi="Calibri"/>
        </w:rPr>
        <w:t xml:space="preserve"> </w:t>
      </w:r>
      <w:r w:rsidR="00EB00D4" w:rsidRPr="0090438F">
        <w:rPr>
          <w:rFonts w:ascii="Calibri" w:hAnsi="Calibri"/>
        </w:rPr>
        <w:t>A</w:t>
      </w:r>
      <w:r w:rsidR="00DF6336" w:rsidRPr="0090438F">
        <w:rPr>
          <w:rFonts w:ascii="Calibri" w:hAnsi="Calibri"/>
        </w:rPr>
        <w:t>n inter-ministerial committee led by representatives of the Ministries of Defence and Foreign Affairs, and the recently created Ministry of Women and Gender Equity</w:t>
      </w:r>
      <w:r w:rsidR="00EB00D4" w:rsidRPr="0090438F">
        <w:rPr>
          <w:rFonts w:ascii="Calibri" w:hAnsi="Calibri"/>
        </w:rPr>
        <w:t xml:space="preserve"> will lead the implementation of the new NAP</w:t>
      </w:r>
      <w:r w:rsidR="00DF6336" w:rsidRPr="0090438F">
        <w:rPr>
          <w:rFonts w:ascii="Calibri" w:hAnsi="Calibri"/>
        </w:rPr>
        <w:t>. The inclusion of the new women’s ministry will hopefully lead</w:t>
      </w:r>
      <w:r w:rsidR="00926AEB" w:rsidRPr="0090438F">
        <w:rPr>
          <w:rFonts w:ascii="Calibri" w:hAnsi="Calibri"/>
        </w:rPr>
        <w:t xml:space="preserve"> to a prioritisation of issues facing Chilean women, especially regarding </w:t>
      </w:r>
      <w:r w:rsidR="005F1E16" w:rsidRPr="0090438F">
        <w:rPr>
          <w:rFonts w:ascii="Calibri" w:hAnsi="Calibri"/>
        </w:rPr>
        <w:t xml:space="preserve">SGBV, </w:t>
      </w:r>
      <w:r w:rsidR="00926AEB" w:rsidRPr="0090438F">
        <w:rPr>
          <w:rFonts w:ascii="Calibri" w:hAnsi="Calibri"/>
        </w:rPr>
        <w:t>sexual and reproductive rights</w:t>
      </w:r>
      <w:r w:rsidRPr="0090438F">
        <w:rPr>
          <w:rFonts w:ascii="Calibri" w:hAnsi="Calibri"/>
        </w:rPr>
        <w:t>,</w:t>
      </w:r>
      <w:r w:rsidR="00926AEB" w:rsidRPr="0090438F">
        <w:rPr>
          <w:rFonts w:ascii="Calibri" w:hAnsi="Calibri"/>
        </w:rPr>
        <w:t xml:space="preserve"> and women’s political participation. This would</w:t>
      </w:r>
      <w:r w:rsidRPr="0090438F">
        <w:rPr>
          <w:rFonts w:ascii="Calibri" w:hAnsi="Calibri"/>
        </w:rPr>
        <w:t xml:space="preserve"> complement the good </w:t>
      </w:r>
      <w:r w:rsidR="00926AEB" w:rsidRPr="0090438F">
        <w:rPr>
          <w:rFonts w:ascii="Calibri" w:hAnsi="Calibri"/>
        </w:rPr>
        <w:t>work being done interna</w:t>
      </w:r>
      <w:r w:rsidR="00A33528" w:rsidRPr="0090438F">
        <w:rPr>
          <w:rFonts w:ascii="Calibri" w:hAnsi="Calibri"/>
        </w:rPr>
        <w:t>tionally by Chile.</w:t>
      </w:r>
      <w:r w:rsidRPr="0090438F">
        <w:rPr>
          <w:rFonts w:ascii="Calibri" w:hAnsi="Calibri"/>
        </w:rPr>
        <w:t xml:space="preserve"> </w:t>
      </w:r>
      <w:r w:rsidR="00DF6336" w:rsidRPr="0090438F">
        <w:rPr>
          <w:rFonts w:ascii="Calibri" w:hAnsi="Calibri"/>
        </w:rPr>
        <w:t xml:space="preserve"> </w:t>
      </w:r>
    </w:p>
    <w:p w14:paraId="10AFD42F" w14:textId="77777777" w:rsidR="005F1E16" w:rsidRPr="00EB00D4" w:rsidRDefault="005F1E16" w:rsidP="00616F81">
      <w:pPr>
        <w:jc w:val="both"/>
        <w:rPr>
          <w:rFonts w:ascii="Calibri" w:hAnsi="Calibri"/>
        </w:rPr>
      </w:pPr>
    </w:p>
    <w:p w14:paraId="09D8EA81" w14:textId="77777777" w:rsidR="00466F23" w:rsidRDefault="00466F23" w:rsidP="00D74DEC">
      <w:pPr>
        <w:pStyle w:val="Title"/>
        <w:rPr>
          <w:sz w:val="32"/>
          <w:szCs w:val="32"/>
          <w:u w:val="single"/>
        </w:rPr>
      </w:pPr>
      <w:r>
        <w:rPr>
          <w:sz w:val="32"/>
          <w:szCs w:val="32"/>
          <w:u w:val="single"/>
        </w:rPr>
        <w:br w:type="page"/>
      </w:r>
    </w:p>
    <w:p w14:paraId="1FA6F56E" w14:textId="6CF6817B" w:rsidR="003330F3" w:rsidRPr="003330F3" w:rsidRDefault="003330F3" w:rsidP="003330F3">
      <w:pPr>
        <w:pStyle w:val="Heading3"/>
        <w:keepLines/>
        <w:spacing w:before="20" w:after="0"/>
        <w:jc w:val="center"/>
        <w:rPr>
          <w:b w:val="0"/>
          <w:color w:val="1F497D" w:themeColor="text2"/>
          <w:spacing w:val="14"/>
          <w:sz w:val="32"/>
          <w:szCs w:val="32"/>
          <w:u w:val="single"/>
          <w:lang w:val="en-GB"/>
        </w:rPr>
      </w:pPr>
      <w:bookmarkStart w:id="19" w:name="_Toc416867097"/>
      <w:r w:rsidRPr="003330F3">
        <w:rPr>
          <w:b w:val="0"/>
          <w:color w:val="1F497D" w:themeColor="text2"/>
          <w:spacing w:val="14"/>
          <w:sz w:val="32"/>
          <w:szCs w:val="32"/>
          <w:u w:val="single"/>
          <w:lang w:val="en-GB"/>
        </w:rPr>
        <w:lastRenderedPageBreak/>
        <w:t>THE MIDDLE EAST</w:t>
      </w:r>
      <w:bookmarkEnd w:id="19"/>
    </w:p>
    <w:p w14:paraId="647BF03D" w14:textId="77777777" w:rsidR="005C68CA" w:rsidRDefault="005C68CA" w:rsidP="005C68CA">
      <w:pPr>
        <w:jc w:val="both"/>
        <w:rPr>
          <w:rFonts w:ascii="Calibri" w:hAnsi="Calibri"/>
          <w:b/>
        </w:rPr>
      </w:pPr>
    </w:p>
    <w:p w14:paraId="0996D331" w14:textId="379C3A83" w:rsidR="003330F3" w:rsidRPr="003330F3" w:rsidRDefault="003330F3" w:rsidP="003330F3">
      <w:pPr>
        <w:pStyle w:val="Heading3"/>
        <w:keepLines/>
        <w:spacing w:before="20" w:after="0"/>
        <w:jc w:val="center"/>
        <w:rPr>
          <w:b w:val="0"/>
          <w:color w:val="1F497D" w:themeColor="text2"/>
          <w:spacing w:val="14"/>
          <w:sz w:val="32"/>
          <w:szCs w:val="32"/>
          <w:lang w:val="en-GB"/>
        </w:rPr>
      </w:pPr>
      <w:bookmarkStart w:id="20" w:name="_Toc416867098"/>
      <w:r>
        <w:rPr>
          <w:b w:val="0"/>
          <w:color w:val="1F497D" w:themeColor="text2"/>
          <w:spacing w:val="14"/>
          <w:sz w:val="32"/>
          <w:szCs w:val="32"/>
          <w:lang w:val="en-GB"/>
        </w:rPr>
        <w:t>IRAQ – A NAP AMIDST CURRENT CONFLICT, FOLLOWING WAR AND OCCUPATION</w:t>
      </w:r>
      <w:bookmarkEnd w:id="20"/>
    </w:p>
    <w:p w14:paraId="68406606" w14:textId="77777777" w:rsidR="003330F3" w:rsidRDefault="003330F3" w:rsidP="005C68CA">
      <w:pPr>
        <w:jc w:val="both"/>
        <w:rPr>
          <w:rFonts w:ascii="Calibri" w:hAnsi="Calibri"/>
          <w:b/>
        </w:rPr>
      </w:pPr>
    </w:p>
    <w:p w14:paraId="01BC509F" w14:textId="24DD93A8" w:rsidR="005C68CA" w:rsidRPr="00471761" w:rsidRDefault="00EB00D4" w:rsidP="007F364C">
      <w:pPr>
        <w:pStyle w:val="ListParagraph"/>
        <w:widowControl w:val="0"/>
        <w:numPr>
          <w:ilvl w:val="0"/>
          <w:numId w:val="14"/>
        </w:numPr>
        <w:autoSpaceDE w:val="0"/>
        <w:autoSpaceDN w:val="0"/>
        <w:adjustRightInd w:val="0"/>
        <w:rPr>
          <w:rFonts w:ascii="Calibri" w:hAnsi="Calibri" w:cs="Arial"/>
          <w:b/>
          <w:color w:val="002060"/>
          <w:lang w:val="en-US"/>
        </w:rPr>
      </w:pPr>
      <w:r w:rsidRPr="00471761">
        <w:rPr>
          <w:rFonts w:ascii="Calibri" w:hAnsi="Calibri" w:cs="Arial"/>
          <w:b/>
          <w:color w:val="002060"/>
          <w:lang w:val="en-US"/>
        </w:rPr>
        <w:t>An</w:t>
      </w:r>
      <w:r w:rsidR="005C68CA" w:rsidRPr="00471761">
        <w:rPr>
          <w:rFonts w:ascii="Calibri" w:hAnsi="Calibri" w:cs="Arial"/>
          <w:b/>
          <w:color w:val="002060"/>
          <w:lang w:val="en-US"/>
        </w:rPr>
        <w:t xml:space="preserve"> Overview of Conflict in Iraq</w:t>
      </w:r>
    </w:p>
    <w:p w14:paraId="306D8BED" w14:textId="77777777" w:rsidR="005C68CA" w:rsidRPr="0090438F" w:rsidRDefault="005C68CA" w:rsidP="005C68CA">
      <w:pPr>
        <w:widowControl w:val="0"/>
        <w:autoSpaceDE w:val="0"/>
        <w:autoSpaceDN w:val="0"/>
        <w:adjustRightInd w:val="0"/>
        <w:rPr>
          <w:rFonts w:ascii="Calibri" w:hAnsi="Calibri" w:cs="Arial"/>
          <w:color w:val="000000" w:themeColor="text1"/>
          <w:lang w:val="en-US"/>
        </w:rPr>
      </w:pPr>
    </w:p>
    <w:p w14:paraId="7B2F018B" w14:textId="1F2E3C78" w:rsidR="005C68CA" w:rsidRPr="0090438F" w:rsidRDefault="005C68CA" w:rsidP="00CD181F">
      <w:pPr>
        <w:widowControl w:val="0"/>
        <w:autoSpaceDE w:val="0"/>
        <w:autoSpaceDN w:val="0"/>
        <w:adjustRightInd w:val="0"/>
        <w:spacing w:line="360" w:lineRule="auto"/>
        <w:jc w:val="both"/>
        <w:rPr>
          <w:rFonts w:ascii="Calibri" w:hAnsi="Calibri" w:cs="Arial"/>
          <w:color w:val="000000" w:themeColor="text1"/>
        </w:rPr>
      </w:pPr>
      <w:r w:rsidRPr="0090438F">
        <w:rPr>
          <w:rFonts w:ascii="Calibri" w:hAnsi="Calibri" w:cs="Arial"/>
          <w:color w:val="000000" w:themeColor="text1"/>
        </w:rPr>
        <w:t xml:space="preserve">For the last four decades, </w:t>
      </w:r>
      <w:r w:rsidR="00EB00D4" w:rsidRPr="0090438F">
        <w:rPr>
          <w:rFonts w:ascii="Calibri" w:hAnsi="Calibri" w:cs="Arial"/>
          <w:color w:val="000000" w:themeColor="text1"/>
        </w:rPr>
        <w:t>Iraqi</w:t>
      </w:r>
      <w:r w:rsidR="005F1E16" w:rsidRPr="0090438F">
        <w:rPr>
          <w:rFonts w:ascii="Calibri" w:hAnsi="Calibri" w:cs="Arial"/>
          <w:color w:val="000000" w:themeColor="text1"/>
        </w:rPr>
        <w:t xml:space="preserve"> women</w:t>
      </w:r>
      <w:r w:rsidR="00EB00D4" w:rsidRPr="0090438F">
        <w:rPr>
          <w:rFonts w:ascii="Calibri" w:hAnsi="Calibri" w:cs="Arial"/>
          <w:color w:val="000000" w:themeColor="text1"/>
        </w:rPr>
        <w:t xml:space="preserve"> have been among the </w:t>
      </w:r>
      <w:r w:rsidRPr="0090438F">
        <w:rPr>
          <w:rFonts w:ascii="Calibri" w:hAnsi="Calibri" w:cs="Arial"/>
          <w:color w:val="000000" w:themeColor="text1"/>
        </w:rPr>
        <w:t>main victims of armed conflict, includ</w:t>
      </w:r>
      <w:r w:rsidR="005F1E16" w:rsidRPr="0090438F">
        <w:rPr>
          <w:rFonts w:ascii="Calibri" w:hAnsi="Calibri" w:cs="Arial"/>
          <w:color w:val="000000" w:themeColor="text1"/>
        </w:rPr>
        <w:t>ing the war with Iran in 1980-1</w:t>
      </w:r>
      <w:r w:rsidRPr="0090438F">
        <w:rPr>
          <w:rFonts w:ascii="Calibri" w:hAnsi="Calibri" w:cs="Arial"/>
          <w:color w:val="000000" w:themeColor="text1"/>
        </w:rPr>
        <w:t>988, the Gulf War in 1991 and the U.S. invasion of Iraq in 2003.</w:t>
      </w:r>
      <w:r w:rsidRPr="0090438F">
        <w:rPr>
          <w:rStyle w:val="FootnoteReference"/>
          <w:rFonts w:ascii="Calibri" w:hAnsi="Calibri" w:cs="Arial"/>
          <w:color w:val="000000" w:themeColor="text1"/>
        </w:rPr>
        <w:footnoteReference w:id="242"/>
      </w:r>
      <w:r w:rsidRPr="0090438F">
        <w:rPr>
          <w:rFonts w:ascii="Calibri" w:hAnsi="Calibri" w:cs="Arial"/>
          <w:color w:val="000000" w:themeColor="text1"/>
        </w:rPr>
        <w:t xml:space="preserve">  The U.S. invasion reinforced sectarian and ethnic divisions and the dominance of Islami</w:t>
      </w:r>
      <w:r w:rsidR="005F1E16" w:rsidRPr="0090438F">
        <w:rPr>
          <w:rFonts w:ascii="Calibri" w:hAnsi="Calibri" w:cs="Arial"/>
          <w:color w:val="000000" w:themeColor="text1"/>
        </w:rPr>
        <w:t>st</w:t>
      </w:r>
      <w:r w:rsidRPr="0090438F">
        <w:rPr>
          <w:rFonts w:ascii="Calibri" w:hAnsi="Calibri" w:cs="Arial"/>
          <w:color w:val="000000" w:themeColor="text1"/>
        </w:rPr>
        <w:t xml:space="preserve"> political parties.</w:t>
      </w:r>
      <w:r w:rsidRPr="0090438F">
        <w:rPr>
          <w:rStyle w:val="FootnoteReference"/>
          <w:rFonts w:ascii="Calibri" w:hAnsi="Calibri" w:cs="Arial"/>
          <w:color w:val="000000" w:themeColor="text1"/>
        </w:rPr>
        <w:footnoteReference w:id="243"/>
      </w:r>
      <w:r w:rsidRPr="0090438F">
        <w:rPr>
          <w:rFonts w:ascii="Calibri" w:hAnsi="Calibri" w:cs="Arial"/>
          <w:color w:val="000000" w:themeColor="text1"/>
        </w:rPr>
        <w:t xml:space="preserve">  Neither the Iraqi nor U.S. leaderships installed the basic principles of equality, which permitted religious conservatives and extremists to exploit the law to strengthen their conservative positions with respect to women's rights.</w:t>
      </w:r>
      <w:r w:rsidRPr="0090438F">
        <w:rPr>
          <w:rStyle w:val="FootnoteReference"/>
          <w:rFonts w:ascii="Calibri" w:hAnsi="Calibri" w:cs="Arial"/>
          <w:color w:val="000000" w:themeColor="text1"/>
        </w:rPr>
        <w:footnoteReference w:id="244"/>
      </w:r>
      <w:r w:rsidR="000F406A" w:rsidRPr="0090438F">
        <w:rPr>
          <w:rFonts w:ascii="Calibri" w:hAnsi="Calibri" w:cs="Arial"/>
          <w:color w:val="000000" w:themeColor="text1"/>
        </w:rPr>
        <w:t xml:space="preserve"> </w:t>
      </w:r>
      <w:r w:rsidR="002C7E3C" w:rsidRPr="0090438F">
        <w:rPr>
          <w:rFonts w:ascii="Calibri" w:hAnsi="Calibri" w:cs="Arial"/>
          <w:color w:val="000000" w:themeColor="text1"/>
        </w:rPr>
        <w:t>C</w:t>
      </w:r>
      <w:r w:rsidRPr="0090438F">
        <w:rPr>
          <w:rFonts w:ascii="Calibri" w:hAnsi="Calibri" w:cs="Arial"/>
          <w:color w:val="000000" w:themeColor="text1"/>
        </w:rPr>
        <w:t xml:space="preserve">onflict and sanctions have resulted in significant deterioration in </w:t>
      </w:r>
      <w:r w:rsidR="005F1E16" w:rsidRPr="0090438F">
        <w:rPr>
          <w:rFonts w:ascii="Calibri" w:hAnsi="Calibri" w:cs="Arial"/>
          <w:color w:val="000000" w:themeColor="text1"/>
        </w:rPr>
        <w:t xml:space="preserve">Iraq’s </w:t>
      </w:r>
      <w:r w:rsidRPr="0090438F">
        <w:rPr>
          <w:rFonts w:ascii="Calibri" w:hAnsi="Calibri" w:cs="Arial"/>
          <w:color w:val="000000" w:themeColor="text1"/>
        </w:rPr>
        <w:t xml:space="preserve">economic and social </w:t>
      </w:r>
      <w:r w:rsidR="005F1E16" w:rsidRPr="0090438F">
        <w:rPr>
          <w:rFonts w:ascii="Calibri" w:hAnsi="Calibri" w:cs="Arial"/>
          <w:color w:val="000000" w:themeColor="text1"/>
        </w:rPr>
        <w:t>conditions</w:t>
      </w:r>
      <w:r w:rsidRPr="0090438F">
        <w:rPr>
          <w:rFonts w:ascii="Calibri" w:hAnsi="Calibri" w:cs="Arial"/>
          <w:color w:val="000000" w:themeColor="text1"/>
        </w:rPr>
        <w:t>, taking a particularly high toll on women.  Effects include</w:t>
      </w:r>
      <w:r w:rsidR="005F1E16" w:rsidRPr="0090438F">
        <w:rPr>
          <w:rFonts w:ascii="Calibri" w:hAnsi="Calibri" w:cs="Arial"/>
          <w:color w:val="000000" w:themeColor="text1"/>
        </w:rPr>
        <w:t>:</w:t>
      </w:r>
      <w:r w:rsidRPr="0090438F">
        <w:rPr>
          <w:rFonts w:ascii="Calibri" w:hAnsi="Calibri" w:cs="Arial"/>
          <w:color w:val="000000" w:themeColor="text1"/>
        </w:rPr>
        <w:t xml:space="preserve"> the exclusion of women f</w:t>
      </w:r>
      <w:r w:rsidR="005F1E16" w:rsidRPr="0090438F">
        <w:rPr>
          <w:rFonts w:ascii="Calibri" w:hAnsi="Calibri" w:cs="Arial"/>
          <w:color w:val="000000" w:themeColor="text1"/>
        </w:rPr>
        <w:t>rom participation in government;</w:t>
      </w:r>
      <w:r w:rsidRPr="0090438F">
        <w:rPr>
          <w:rFonts w:ascii="Calibri" w:hAnsi="Calibri" w:cs="Arial"/>
          <w:color w:val="000000" w:themeColor="text1"/>
        </w:rPr>
        <w:t xml:space="preserve"> restrictions on freed</w:t>
      </w:r>
      <w:r w:rsidR="005F1E16" w:rsidRPr="0090438F">
        <w:rPr>
          <w:rFonts w:ascii="Calibri" w:hAnsi="Calibri" w:cs="Arial"/>
          <w:color w:val="000000" w:themeColor="text1"/>
        </w:rPr>
        <w:t>om of movement in public places;</w:t>
      </w:r>
      <w:r w:rsidRPr="0090438F">
        <w:rPr>
          <w:rFonts w:ascii="Calibri" w:hAnsi="Calibri" w:cs="Arial"/>
          <w:color w:val="000000" w:themeColor="text1"/>
        </w:rPr>
        <w:t xml:space="preserve"> and increased victimization, including murder, kidnappings, and </w:t>
      </w:r>
      <w:r w:rsidR="005F1E16" w:rsidRPr="0090438F">
        <w:rPr>
          <w:rFonts w:ascii="Calibri" w:hAnsi="Calibri" w:cs="Arial"/>
          <w:color w:val="000000" w:themeColor="text1"/>
        </w:rPr>
        <w:t>sexual and gender-based violence (SGBV)</w:t>
      </w:r>
      <w:r w:rsidRPr="0090438F">
        <w:rPr>
          <w:rFonts w:ascii="Calibri" w:hAnsi="Calibri" w:cs="Arial"/>
          <w:color w:val="000000" w:themeColor="text1"/>
        </w:rPr>
        <w:t xml:space="preserve">.  </w:t>
      </w:r>
      <w:r w:rsidR="005F1E16" w:rsidRPr="0090438F">
        <w:rPr>
          <w:rFonts w:ascii="Calibri" w:hAnsi="Calibri" w:cs="Arial"/>
          <w:color w:val="000000" w:themeColor="text1"/>
        </w:rPr>
        <w:t xml:space="preserve">Conflict-related violence </w:t>
      </w:r>
      <w:r w:rsidRPr="0090438F">
        <w:rPr>
          <w:rFonts w:ascii="Calibri" w:hAnsi="Calibri" w:cs="Arial"/>
          <w:color w:val="000000" w:themeColor="text1"/>
        </w:rPr>
        <w:t xml:space="preserve">has led to restrictions on the freedom of women and girls in all provinces, negatively impacting educational opportunities and contributing to the </w:t>
      </w:r>
      <w:r w:rsidR="005F1E16" w:rsidRPr="0090438F">
        <w:rPr>
          <w:rFonts w:ascii="Calibri" w:hAnsi="Calibri" w:cs="Arial"/>
          <w:color w:val="000000" w:themeColor="text1"/>
        </w:rPr>
        <w:t xml:space="preserve">rise </w:t>
      </w:r>
      <w:r w:rsidRPr="0090438F">
        <w:rPr>
          <w:rFonts w:ascii="Calibri" w:hAnsi="Calibri" w:cs="Arial"/>
          <w:color w:val="000000" w:themeColor="text1"/>
        </w:rPr>
        <w:t>in child marriage under the pretext of protection.  Iraqi women have also suffered the neg</w:t>
      </w:r>
      <w:r w:rsidR="005F1E16" w:rsidRPr="0090438F">
        <w:rPr>
          <w:rFonts w:ascii="Calibri" w:hAnsi="Calibri" w:cs="Arial"/>
          <w:color w:val="000000" w:themeColor="text1"/>
        </w:rPr>
        <w:t xml:space="preserve">ative effects of forced </w:t>
      </w:r>
      <w:r w:rsidRPr="0090438F">
        <w:rPr>
          <w:rFonts w:ascii="Calibri" w:hAnsi="Calibri" w:cs="Arial"/>
          <w:color w:val="000000" w:themeColor="text1"/>
        </w:rPr>
        <w:t>migration and displacement.</w:t>
      </w:r>
      <w:r w:rsidRPr="0090438F">
        <w:rPr>
          <w:rStyle w:val="FootnoteReference"/>
          <w:rFonts w:ascii="Calibri" w:hAnsi="Calibri" w:cs="Arial"/>
          <w:color w:val="000000" w:themeColor="text1"/>
        </w:rPr>
        <w:footnoteReference w:id="245"/>
      </w:r>
    </w:p>
    <w:p w14:paraId="555B2615" w14:textId="77777777" w:rsidR="005C68CA" w:rsidRPr="0090438F" w:rsidRDefault="005C68CA" w:rsidP="005C68CA">
      <w:pPr>
        <w:widowControl w:val="0"/>
        <w:autoSpaceDE w:val="0"/>
        <w:autoSpaceDN w:val="0"/>
        <w:adjustRightInd w:val="0"/>
        <w:jc w:val="both"/>
        <w:rPr>
          <w:rFonts w:ascii="Calibri" w:hAnsi="Calibri" w:cs="Arial"/>
          <w:color w:val="000000" w:themeColor="text1"/>
        </w:rPr>
      </w:pPr>
    </w:p>
    <w:p w14:paraId="1B1D7CAC" w14:textId="3A29790E" w:rsidR="005C68CA" w:rsidRPr="0090438F" w:rsidRDefault="005C68CA" w:rsidP="00CD181F">
      <w:pPr>
        <w:widowControl w:val="0"/>
        <w:autoSpaceDE w:val="0"/>
        <w:autoSpaceDN w:val="0"/>
        <w:adjustRightInd w:val="0"/>
        <w:spacing w:line="360" w:lineRule="auto"/>
        <w:jc w:val="both"/>
        <w:rPr>
          <w:rFonts w:ascii="Calibri" w:hAnsi="Calibri" w:cs="Arial"/>
          <w:color w:val="000000" w:themeColor="text1"/>
          <w:lang w:val="en-US"/>
        </w:rPr>
      </w:pPr>
      <w:r w:rsidRPr="0090438F">
        <w:rPr>
          <w:rFonts w:ascii="Calibri" w:hAnsi="Calibri" w:cs="Arial"/>
          <w:color w:val="000000" w:themeColor="text1"/>
        </w:rPr>
        <w:t xml:space="preserve">Increasing violence from extremist groups, including the Islamic State of Iraq and Levant (ISIL) is exacerbating existing social problems.  According to </w:t>
      </w:r>
      <w:r w:rsidR="002C7E3C" w:rsidRPr="0090438F">
        <w:rPr>
          <w:rFonts w:ascii="Calibri" w:hAnsi="Calibri" w:cs="Arial"/>
          <w:color w:val="000000" w:themeColor="text1"/>
        </w:rPr>
        <w:t>a UN report in March 2015</w:t>
      </w:r>
      <w:r w:rsidRPr="0090438F">
        <w:rPr>
          <w:rFonts w:ascii="Calibri" w:hAnsi="Calibri" w:cs="Arial"/>
          <w:color w:val="000000" w:themeColor="text1"/>
        </w:rPr>
        <w:t>, ISIL is responsible for significant atrocities in Iraq, including mass killings and kidnapping of women and girls for use as sex slaves, which may amount to war crimes.</w:t>
      </w:r>
      <w:r w:rsidRPr="0090438F">
        <w:rPr>
          <w:rStyle w:val="FootnoteReference"/>
          <w:rFonts w:ascii="Calibri" w:hAnsi="Calibri" w:cs="Arial"/>
          <w:color w:val="000000" w:themeColor="text1"/>
        </w:rPr>
        <w:footnoteReference w:id="246"/>
      </w:r>
      <w:r w:rsidRPr="0090438F">
        <w:rPr>
          <w:rFonts w:ascii="Calibri" w:hAnsi="Calibri" w:cs="Arial"/>
          <w:color w:val="000000" w:themeColor="text1"/>
        </w:rPr>
        <w:t xml:space="preserve"> </w:t>
      </w:r>
      <w:r w:rsidRPr="0090438F">
        <w:rPr>
          <w:rFonts w:ascii="Calibri" w:hAnsi="Calibri" w:cs="Arial"/>
          <w:color w:val="000000" w:themeColor="text1"/>
          <w:lang w:val="en-US"/>
        </w:rPr>
        <w:t>Human Rights Watch report</w:t>
      </w:r>
      <w:r w:rsidR="002C7E3C" w:rsidRPr="0090438F">
        <w:rPr>
          <w:rFonts w:ascii="Calibri" w:hAnsi="Calibri" w:cs="Arial"/>
          <w:color w:val="000000" w:themeColor="text1"/>
          <w:lang w:val="en-US"/>
        </w:rPr>
        <w:t>s</w:t>
      </w:r>
      <w:r w:rsidRPr="0090438F">
        <w:rPr>
          <w:rFonts w:ascii="Calibri" w:hAnsi="Calibri" w:cs="Arial"/>
          <w:color w:val="000000" w:themeColor="text1"/>
          <w:lang w:val="en-US"/>
        </w:rPr>
        <w:t xml:space="preserve"> </w:t>
      </w:r>
      <w:r w:rsidR="002C7E3C" w:rsidRPr="0090438F">
        <w:rPr>
          <w:rFonts w:ascii="Calibri" w:hAnsi="Calibri" w:cs="Arial"/>
          <w:color w:val="000000" w:themeColor="text1"/>
          <w:lang w:val="en-US"/>
        </w:rPr>
        <w:t>that</w:t>
      </w:r>
      <w:r w:rsidRPr="0090438F">
        <w:rPr>
          <w:rFonts w:ascii="Calibri" w:hAnsi="Calibri" w:cs="Arial"/>
          <w:color w:val="000000" w:themeColor="text1"/>
          <w:lang w:val="en-US"/>
        </w:rPr>
        <w:t xml:space="preserve"> women</w:t>
      </w:r>
      <w:r w:rsidR="002C7E3C" w:rsidRPr="0090438F">
        <w:rPr>
          <w:rFonts w:ascii="Calibri" w:hAnsi="Calibri" w:cs="Arial"/>
          <w:color w:val="000000" w:themeColor="text1"/>
          <w:lang w:val="en-US"/>
        </w:rPr>
        <w:t xml:space="preserve"> in Iraqi detention facilities are </w:t>
      </w:r>
      <w:r w:rsidRPr="0090438F">
        <w:rPr>
          <w:rFonts w:ascii="Calibri" w:hAnsi="Calibri" w:cs="Arial"/>
          <w:color w:val="000000" w:themeColor="text1"/>
          <w:lang w:val="en-US"/>
        </w:rPr>
        <w:t>routinely raped and tortured and are often targeted by Iraqi Security Forces for the purpose of harassing male relatives.</w:t>
      </w:r>
      <w:r w:rsidRPr="0090438F">
        <w:rPr>
          <w:rStyle w:val="FootnoteReference"/>
          <w:rFonts w:ascii="Calibri" w:hAnsi="Calibri" w:cs="Arial"/>
          <w:color w:val="000000" w:themeColor="text1"/>
          <w:lang w:val="en-US"/>
        </w:rPr>
        <w:footnoteReference w:id="247"/>
      </w:r>
      <w:r w:rsidRPr="0090438F">
        <w:rPr>
          <w:rFonts w:ascii="Calibri" w:hAnsi="Calibri" w:cs="Arial"/>
          <w:color w:val="000000" w:themeColor="text1"/>
          <w:lang w:val="en-US"/>
        </w:rPr>
        <w:t xml:space="preserve"> </w:t>
      </w:r>
      <w:r w:rsidRPr="0090438F">
        <w:rPr>
          <w:rFonts w:ascii="Calibri" w:hAnsi="Calibri" w:cs="Arial"/>
          <w:color w:val="000000" w:themeColor="text1"/>
        </w:rPr>
        <w:t>Notwithstanding the billions of dollars allocated for reconstruction, the Iraqi government continues to suffer from poor management and corruption</w:t>
      </w:r>
      <w:r w:rsidRPr="0090438F">
        <w:rPr>
          <w:rFonts w:ascii="Calibri" w:hAnsi="Calibri" w:cs="Arial"/>
          <w:color w:val="000000" w:themeColor="text1"/>
          <w:lang w:val="en-US"/>
        </w:rPr>
        <w:t xml:space="preserve">.  The current security situation, economic marginalization, damage to the education sector and the resulting increase in illiteracy rates, are all major obstacles to advancing women’s </w:t>
      </w:r>
      <w:r w:rsidR="002C7E3C" w:rsidRPr="0090438F">
        <w:rPr>
          <w:rFonts w:ascii="Calibri" w:hAnsi="Calibri" w:cs="Arial"/>
          <w:color w:val="000000" w:themeColor="text1"/>
          <w:lang w:val="en-US"/>
        </w:rPr>
        <w:t>rights in Iraq</w:t>
      </w:r>
      <w:r w:rsidRPr="0090438F">
        <w:rPr>
          <w:rFonts w:ascii="Calibri" w:hAnsi="Calibri" w:cs="Arial"/>
          <w:color w:val="000000" w:themeColor="text1"/>
          <w:lang w:val="en-US"/>
        </w:rPr>
        <w:t>.</w:t>
      </w:r>
      <w:r w:rsidRPr="0090438F">
        <w:rPr>
          <w:rStyle w:val="FootnoteReference"/>
          <w:rFonts w:ascii="Calibri" w:hAnsi="Calibri" w:cs="Arial"/>
          <w:color w:val="000000" w:themeColor="text1"/>
          <w:lang w:val="en-US"/>
        </w:rPr>
        <w:footnoteReference w:id="248"/>
      </w:r>
    </w:p>
    <w:p w14:paraId="554480B7" w14:textId="77777777" w:rsidR="005C68CA" w:rsidRPr="00471761" w:rsidRDefault="005C68CA" w:rsidP="005C68CA">
      <w:pPr>
        <w:widowControl w:val="0"/>
        <w:autoSpaceDE w:val="0"/>
        <w:autoSpaceDN w:val="0"/>
        <w:adjustRightInd w:val="0"/>
        <w:jc w:val="both"/>
        <w:rPr>
          <w:rFonts w:ascii="Calibri" w:hAnsi="Calibri" w:cs="Arial"/>
          <w:color w:val="002060"/>
          <w:lang w:val="en-US"/>
        </w:rPr>
      </w:pPr>
    </w:p>
    <w:p w14:paraId="400AC918" w14:textId="0508F8BB" w:rsidR="005C68CA" w:rsidRPr="00471761" w:rsidRDefault="005C68CA" w:rsidP="007F364C">
      <w:pPr>
        <w:pStyle w:val="ListParagraph"/>
        <w:numPr>
          <w:ilvl w:val="0"/>
          <w:numId w:val="14"/>
        </w:numPr>
        <w:jc w:val="both"/>
        <w:rPr>
          <w:rFonts w:ascii="Calibri" w:hAnsi="Calibri" w:cs="Arial"/>
          <w:b/>
          <w:color w:val="002060"/>
          <w:lang w:val="en-US"/>
        </w:rPr>
      </w:pPr>
      <w:r w:rsidRPr="00471761">
        <w:rPr>
          <w:rFonts w:ascii="Calibri" w:hAnsi="Calibri" w:cs="Arial"/>
          <w:b/>
          <w:color w:val="002060"/>
          <w:lang w:val="en-US"/>
        </w:rPr>
        <w:t xml:space="preserve">Iraq’s National Action Plan </w:t>
      </w:r>
      <w:r w:rsidR="008F4AC7" w:rsidRPr="00471761">
        <w:rPr>
          <w:rFonts w:ascii="Calibri" w:hAnsi="Calibri" w:cs="Arial"/>
          <w:b/>
          <w:color w:val="002060"/>
          <w:lang w:val="en-US"/>
        </w:rPr>
        <w:t>(2014-18)</w:t>
      </w:r>
    </w:p>
    <w:p w14:paraId="78D164AC" w14:textId="77777777" w:rsidR="005C68CA" w:rsidRPr="0090438F" w:rsidRDefault="005C68CA" w:rsidP="005C68CA">
      <w:pPr>
        <w:jc w:val="both"/>
        <w:rPr>
          <w:rFonts w:ascii="Calibri" w:hAnsi="Calibri" w:cs="Arial"/>
          <w:b/>
          <w:color w:val="000000" w:themeColor="text1"/>
          <w:lang w:val="en-US"/>
        </w:rPr>
      </w:pPr>
    </w:p>
    <w:p w14:paraId="14101B37" w14:textId="0AFF8F9D" w:rsidR="005C68CA" w:rsidRPr="0090438F" w:rsidRDefault="005C68CA" w:rsidP="00CD181F">
      <w:pPr>
        <w:spacing w:line="360" w:lineRule="auto"/>
        <w:jc w:val="both"/>
        <w:rPr>
          <w:rFonts w:ascii="Calibri" w:hAnsi="Calibri" w:cs="Arial"/>
          <w:color w:val="000000" w:themeColor="text1"/>
          <w:lang w:val="en-US"/>
        </w:rPr>
      </w:pPr>
      <w:r w:rsidRPr="0090438F">
        <w:rPr>
          <w:rFonts w:ascii="Calibri" w:hAnsi="Calibri" w:cs="Arial"/>
          <w:color w:val="000000" w:themeColor="text1"/>
          <w:lang w:val="en-US"/>
        </w:rPr>
        <w:t>Iraq is the first country in the Middle East and North</w:t>
      </w:r>
      <w:r w:rsidR="00A33528" w:rsidRPr="0090438F">
        <w:rPr>
          <w:rFonts w:ascii="Calibri" w:hAnsi="Calibri" w:cs="Arial"/>
          <w:color w:val="000000" w:themeColor="text1"/>
          <w:lang w:val="en-US"/>
        </w:rPr>
        <w:t xml:space="preserve"> Africa region to develop a NAP, adopted by the</w:t>
      </w:r>
      <w:r w:rsidR="00CA51D0" w:rsidRPr="0090438F">
        <w:rPr>
          <w:rFonts w:ascii="Calibri" w:hAnsi="Calibri" w:cs="Arial"/>
          <w:color w:val="000000" w:themeColor="text1"/>
          <w:lang w:val="en-US"/>
        </w:rPr>
        <w:t xml:space="preserve"> g</w:t>
      </w:r>
      <w:r w:rsidRPr="0090438F">
        <w:rPr>
          <w:rFonts w:ascii="Calibri" w:hAnsi="Calibri" w:cs="Arial"/>
          <w:color w:val="000000" w:themeColor="text1"/>
          <w:lang w:val="en-US"/>
        </w:rPr>
        <w:t xml:space="preserve">overnment </w:t>
      </w:r>
      <w:r w:rsidR="00A33528" w:rsidRPr="0090438F">
        <w:rPr>
          <w:rFonts w:ascii="Calibri" w:hAnsi="Calibri" w:cs="Arial"/>
          <w:color w:val="000000" w:themeColor="text1"/>
          <w:lang w:val="en-US"/>
        </w:rPr>
        <w:t xml:space="preserve">in February 2014, to be implemented until </w:t>
      </w:r>
      <w:r w:rsidRPr="0090438F">
        <w:rPr>
          <w:rFonts w:ascii="Calibri" w:hAnsi="Calibri" w:cs="Arial"/>
          <w:color w:val="000000" w:themeColor="text1"/>
          <w:lang w:val="en-US"/>
        </w:rPr>
        <w:t xml:space="preserve">2018.  A Cross-Sector Task force for development of a NAP was formed by representatives from the executive and legislative authorities of the Federal Government in Baghdad and the Kurdish Regional Government (KRG) and women’s civil society organizations. </w:t>
      </w:r>
      <w:r w:rsidR="00A33528" w:rsidRPr="0090438F">
        <w:rPr>
          <w:rFonts w:ascii="Calibri" w:hAnsi="Calibri" w:cs="Arial"/>
          <w:color w:val="000000" w:themeColor="text1"/>
          <w:lang w:val="en-US"/>
        </w:rPr>
        <w:t>The “Task Force CPA1325” is responsible for implementing the NAP the NAP and using the budget to support implementation.  Relevant tasks include adopting an internal structure with clear responsibilities and duties.  The Task Force CPA1325 is also responsible for the coordination and cross sector cooperation necessary for implementation</w:t>
      </w:r>
    </w:p>
    <w:p w14:paraId="48F0C2DB" w14:textId="77777777" w:rsidR="005C68CA" w:rsidRPr="0090438F" w:rsidRDefault="005C68CA" w:rsidP="005C68CA">
      <w:pPr>
        <w:jc w:val="both"/>
        <w:rPr>
          <w:rFonts w:ascii="Calibri" w:hAnsi="Calibri" w:cs="Arial"/>
          <w:color w:val="000000" w:themeColor="text1"/>
          <w:lang w:val="en-US"/>
        </w:rPr>
      </w:pPr>
    </w:p>
    <w:p w14:paraId="57701609" w14:textId="0569EED1" w:rsidR="005C68CA" w:rsidRPr="0090438F" w:rsidRDefault="00A33528" w:rsidP="00EE3EF9">
      <w:pPr>
        <w:spacing w:line="360" w:lineRule="auto"/>
        <w:jc w:val="both"/>
        <w:rPr>
          <w:rFonts w:ascii="Calibri" w:hAnsi="Calibri" w:cs="Arial"/>
          <w:color w:val="000000" w:themeColor="text1"/>
          <w:lang w:val="en-US"/>
        </w:rPr>
      </w:pPr>
      <w:r w:rsidRPr="0090438F">
        <w:rPr>
          <w:rFonts w:ascii="Calibri" w:hAnsi="Calibri" w:cs="Arial"/>
          <w:color w:val="000000" w:themeColor="text1"/>
          <w:lang w:val="en-US"/>
        </w:rPr>
        <w:t xml:space="preserve">The NAP is structured around six pillars, three of which follow the pillars of SCR 1325. They are: (1) Participation; (2) Protection and Prevention; (3) Promotion; (4) Social and Economic Empowerment; (5) Legislation and Law Enforcement; and (6) Resource Mobilization, Monitoring, and Evaluation.  Each pillar has strategic objectives with corresponding specific actions, expected results and indicators.  The pillars propose activities and programs to addressing women’s concrete needs, which are to be implemented through women’s direct involvement, changes in legislation, and through proactive approaches on behalf of the Iraqi government and the KRG. The NAP includes strategic objectives to address women’s needs. These are: </w:t>
      </w:r>
      <w:r w:rsidR="005C68CA" w:rsidRPr="0090438F">
        <w:rPr>
          <w:rFonts w:ascii="Calibri" w:hAnsi="Calibri" w:cs="Arial"/>
          <w:color w:val="000000" w:themeColor="text1"/>
          <w:lang w:val="en-US"/>
        </w:rPr>
        <w:t xml:space="preserve">increasing </w:t>
      </w:r>
      <w:r w:rsidRPr="0090438F">
        <w:rPr>
          <w:rFonts w:ascii="Calibri" w:hAnsi="Calibri" w:cs="Arial"/>
          <w:color w:val="000000" w:themeColor="text1"/>
          <w:lang w:val="en-US"/>
        </w:rPr>
        <w:t>women’s</w:t>
      </w:r>
      <w:r w:rsidR="005C68CA" w:rsidRPr="0090438F">
        <w:rPr>
          <w:rFonts w:ascii="Calibri" w:hAnsi="Calibri" w:cs="Arial"/>
          <w:color w:val="000000" w:themeColor="text1"/>
          <w:lang w:val="en-US"/>
        </w:rPr>
        <w:t xml:space="preserve"> participation </w:t>
      </w:r>
      <w:r w:rsidRPr="0090438F">
        <w:rPr>
          <w:rFonts w:ascii="Calibri" w:hAnsi="Calibri" w:cs="Arial"/>
          <w:color w:val="000000" w:themeColor="text1"/>
          <w:lang w:val="en-US"/>
        </w:rPr>
        <w:t>in all areas of government;</w:t>
      </w:r>
      <w:r w:rsidR="005C68CA" w:rsidRPr="0090438F">
        <w:rPr>
          <w:rFonts w:ascii="Calibri" w:hAnsi="Calibri" w:cs="Arial"/>
          <w:color w:val="000000" w:themeColor="text1"/>
          <w:lang w:val="en-US"/>
        </w:rPr>
        <w:t xml:space="preserve"> harmonizing national legislation with international standards and mechani</w:t>
      </w:r>
      <w:r w:rsidRPr="0090438F">
        <w:rPr>
          <w:rFonts w:ascii="Calibri" w:hAnsi="Calibri" w:cs="Arial"/>
          <w:color w:val="000000" w:themeColor="text1"/>
          <w:lang w:val="en-US"/>
        </w:rPr>
        <w:t>sms for women’s human rights;</w:t>
      </w:r>
      <w:r w:rsidR="005C68CA" w:rsidRPr="0090438F">
        <w:rPr>
          <w:rFonts w:ascii="Calibri" w:hAnsi="Calibri" w:cs="Arial"/>
          <w:color w:val="000000" w:themeColor="text1"/>
          <w:lang w:val="en-US"/>
        </w:rPr>
        <w:t xml:space="preserve"> integrating and mainstreaming gender in all policies and processes</w:t>
      </w:r>
      <w:r w:rsidRPr="0090438F">
        <w:rPr>
          <w:rFonts w:ascii="Calibri" w:hAnsi="Calibri" w:cs="Arial"/>
          <w:color w:val="000000" w:themeColor="text1"/>
          <w:lang w:val="en-US"/>
        </w:rPr>
        <w:t xml:space="preserve"> concerning conflict prevention;</w:t>
      </w:r>
      <w:r w:rsidR="005C68CA" w:rsidRPr="0090438F">
        <w:rPr>
          <w:rFonts w:ascii="Calibri" w:hAnsi="Calibri" w:cs="Arial"/>
          <w:color w:val="000000" w:themeColor="text1"/>
          <w:lang w:val="en-US"/>
        </w:rPr>
        <w:t xml:space="preserve"> conflict</w:t>
      </w:r>
      <w:r w:rsidRPr="0090438F">
        <w:rPr>
          <w:rFonts w:ascii="Calibri" w:hAnsi="Calibri" w:cs="Arial"/>
          <w:color w:val="000000" w:themeColor="text1"/>
          <w:lang w:val="en-US"/>
        </w:rPr>
        <w:t xml:space="preserve"> resolution and peace building; </w:t>
      </w:r>
      <w:r w:rsidR="005C68CA" w:rsidRPr="0090438F">
        <w:rPr>
          <w:rFonts w:ascii="Calibri" w:hAnsi="Calibri" w:cs="Arial"/>
          <w:color w:val="000000" w:themeColor="text1"/>
          <w:lang w:val="en-US"/>
        </w:rPr>
        <w:t xml:space="preserve">and contributing to the elimination of violence against women.  </w:t>
      </w:r>
    </w:p>
    <w:p w14:paraId="3AF9403F" w14:textId="77777777" w:rsidR="00A13544" w:rsidRPr="0090438F" w:rsidRDefault="00A13544" w:rsidP="005C68CA">
      <w:pPr>
        <w:jc w:val="both"/>
        <w:rPr>
          <w:rFonts w:ascii="Calibri" w:hAnsi="Calibri" w:cs="Arial"/>
          <w:color w:val="000000" w:themeColor="text1"/>
          <w:lang w:val="en-US"/>
        </w:rPr>
      </w:pPr>
    </w:p>
    <w:p w14:paraId="46DD5331" w14:textId="069C167E" w:rsidR="00067A86" w:rsidRPr="0090438F" w:rsidRDefault="00D768DD" w:rsidP="00EE3EF9">
      <w:pPr>
        <w:spacing w:line="360" w:lineRule="auto"/>
        <w:jc w:val="both"/>
        <w:rPr>
          <w:rFonts w:ascii="Calibri" w:hAnsi="Calibri" w:cs="Arial"/>
          <w:color w:val="000000" w:themeColor="text1"/>
          <w:lang w:val="en-US"/>
        </w:rPr>
      </w:pPr>
      <w:r w:rsidRPr="0090438F">
        <w:rPr>
          <w:rFonts w:ascii="Calibri" w:hAnsi="Calibri" w:cs="Arial"/>
          <w:color w:val="000000" w:themeColor="text1"/>
          <w:lang w:val="en-US"/>
        </w:rPr>
        <w:t>In addition to recognizing Iraq’s commitments under</w:t>
      </w:r>
      <w:r w:rsidR="00A13544" w:rsidRPr="0090438F">
        <w:rPr>
          <w:rFonts w:ascii="Calibri" w:hAnsi="Calibri" w:cs="Arial"/>
          <w:color w:val="000000" w:themeColor="text1"/>
          <w:lang w:val="en-US"/>
        </w:rPr>
        <w:t xml:space="preserve"> SCR 1325, the NAP</w:t>
      </w:r>
      <w:r w:rsidR="00067A86" w:rsidRPr="0090438F">
        <w:rPr>
          <w:rFonts w:ascii="Calibri" w:hAnsi="Calibri" w:cs="Arial"/>
          <w:color w:val="000000" w:themeColor="text1"/>
          <w:lang w:val="en-US"/>
        </w:rPr>
        <w:t xml:space="preserve"> reflects Iraq’s obligations under the legal framework on women, peace and security. While the NAP is situated as complementary to Iraq’s existing international and domestic commitments on gender equality, the </w:t>
      </w:r>
      <w:r w:rsidR="00C67173" w:rsidRPr="00471761">
        <w:rPr>
          <w:rFonts w:ascii="Calibri" w:hAnsi="Calibri" w:cs="Arial"/>
          <w:b/>
          <w:color w:val="4F81BD" w:themeColor="accent1"/>
          <w:lang w:val="en-US"/>
        </w:rPr>
        <w:t>government</w:t>
      </w:r>
      <w:r w:rsidR="00A13544" w:rsidRPr="00471761">
        <w:rPr>
          <w:rFonts w:ascii="Calibri" w:hAnsi="Calibri" w:cs="Arial"/>
          <w:b/>
          <w:color w:val="4F81BD" w:themeColor="accent1"/>
          <w:lang w:val="en-US"/>
        </w:rPr>
        <w:t xml:space="preserve"> is frank in admitting that while Iraq has ratified CEDAW and the Convention on the Rights of the Child </w:t>
      </w:r>
      <w:r w:rsidR="00067A86" w:rsidRPr="00471761">
        <w:rPr>
          <w:rFonts w:ascii="Calibri" w:hAnsi="Calibri" w:cs="Arial"/>
          <w:b/>
          <w:color w:val="4F81BD" w:themeColor="accent1"/>
          <w:lang w:val="en-US"/>
        </w:rPr>
        <w:t>1989 (CRC) it has not yet met its obligations</w:t>
      </w:r>
      <w:r w:rsidR="00067A86" w:rsidRPr="0090438F">
        <w:rPr>
          <w:rFonts w:ascii="Calibri" w:hAnsi="Calibri" w:cs="Arial"/>
          <w:color w:val="000000" w:themeColor="text1"/>
          <w:lang w:val="en-US"/>
        </w:rPr>
        <w:t xml:space="preserve"> under these treaties. Like Nepal, the NAP is </w:t>
      </w:r>
      <w:r w:rsidR="00067A86" w:rsidRPr="00471761">
        <w:rPr>
          <w:rFonts w:ascii="Calibri" w:hAnsi="Calibri" w:cs="Arial"/>
          <w:b/>
          <w:color w:val="4F81BD" w:themeColor="accent1"/>
          <w:lang w:val="en-US"/>
        </w:rPr>
        <w:t xml:space="preserve">notable for </w:t>
      </w:r>
      <w:r w:rsidR="005A5F20" w:rsidRPr="00471761">
        <w:rPr>
          <w:rFonts w:ascii="Calibri" w:hAnsi="Calibri" w:cs="Arial"/>
          <w:b/>
          <w:color w:val="4F81BD" w:themeColor="accent1"/>
          <w:lang w:val="en-US"/>
        </w:rPr>
        <w:t>its honesty and openness</w:t>
      </w:r>
      <w:r w:rsidR="005A5F20" w:rsidRPr="00471761">
        <w:rPr>
          <w:rFonts w:ascii="Calibri" w:hAnsi="Calibri" w:cs="Arial"/>
          <w:color w:val="4F81BD" w:themeColor="accent1"/>
          <w:lang w:val="en-US"/>
        </w:rPr>
        <w:t xml:space="preserve"> </w:t>
      </w:r>
      <w:r w:rsidR="00C67173" w:rsidRPr="0090438F">
        <w:rPr>
          <w:rFonts w:ascii="Calibri" w:hAnsi="Calibri" w:cs="Arial"/>
          <w:color w:val="000000" w:themeColor="text1"/>
          <w:lang w:val="en-US"/>
        </w:rPr>
        <w:t xml:space="preserve">regarding Iraq’s </w:t>
      </w:r>
      <w:r w:rsidR="00067A86" w:rsidRPr="0090438F">
        <w:rPr>
          <w:rFonts w:ascii="Calibri" w:hAnsi="Calibri" w:cs="Arial"/>
          <w:color w:val="000000" w:themeColor="text1"/>
          <w:lang w:val="en-US"/>
        </w:rPr>
        <w:t xml:space="preserve">conflict-related issues, as well as </w:t>
      </w:r>
      <w:r w:rsidR="00C67173" w:rsidRPr="0090438F">
        <w:rPr>
          <w:rFonts w:ascii="Calibri" w:hAnsi="Calibri" w:cs="Arial"/>
          <w:color w:val="000000" w:themeColor="text1"/>
          <w:lang w:val="en-US"/>
        </w:rPr>
        <w:t>financial</w:t>
      </w:r>
      <w:r w:rsidRPr="0090438F">
        <w:rPr>
          <w:rFonts w:ascii="Calibri" w:hAnsi="Calibri" w:cs="Arial"/>
          <w:color w:val="000000" w:themeColor="text1"/>
          <w:lang w:val="en-US"/>
        </w:rPr>
        <w:t xml:space="preserve"> obstacles to implementing its obligations</w:t>
      </w:r>
      <w:r w:rsidR="00067A86" w:rsidRPr="0090438F">
        <w:rPr>
          <w:rFonts w:ascii="Calibri" w:hAnsi="Calibri" w:cs="Arial"/>
          <w:color w:val="000000" w:themeColor="text1"/>
          <w:lang w:val="en-US"/>
        </w:rPr>
        <w:t>. For instance,</w:t>
      </w:r>
      <w:r w:rsidR="00CA51D0" w:rsidRPr="0090438F">
        <w:rPr>
          <w:rFonts w:ascii="Calibri" w:hAnsi="Calibri" w:cs="Arial"/>
          <w:color w:val="000000" w:themeColor="text1"/>
          <w:lang w:val="en-US"/>
        </w:rPr>
        <w:t xml:space="preserve"> while</w:t>
      </w:r>
      <w:r w:rsidR="00067A86" w:rsidRPr="0090438F">
        <w:rPr>
          <w:rFonts w:ascii="Calibri" w:hAnsi="Calibri" w:cs="Arial"/>
          <w:color w:val="000000" w:themeColor="text1"/>
          <w:lang w:val="en-US"/>
        </w:rPr>
        <w:t xml:space="preserve"> the NAP notes the importance of the </w:t>
      </w:r>
      <w:r w:rsidR="00067A86" w:rsidRPr="0090438F">
        <w:rPr>
          <w:rFonts w:ascii="Calibri" w:hAnsi="Calibri" w:cs="Arial"/>
          <w:color w:val="000000" w:themeColor="text1"/>
        </w:rPr>
        <w:t xml:space="preserve">National Strategies </w:t>
      </w:r>
      <w:r w:rsidR="0090438F">
        <w:rPr>
          <w:rFonts w:ascii="Calibri" w:hAnsi="Calibri" w:cs="Arial"/>
          <w:color w:val="000000" w:themeColor="text1"/>
        </w:rPr>
        <w:t>to Combat Violence a</w:t>
      </w:r>
      <w:r w:rsidR="00067A86" w:rsidRPr="0090438F">
        <w:rPr>
          <w:rFonts w:ascii="Calibri" w:hAnsi="Calibri" w:cs="Arial"/>
          <w:color w:val="000000" w:themeColor="text1"/>
        </w:rPr>
        <w:t>gainst Women, a</w:t>
      </w:r>
      <w:r w:rsidRPr="0090438F">
        <w:rPr>
          <w:rFonts w:ascii="Calibri" w:hAnsi="Calibri" w:cs="Arial"/>
          <w:color w:val="000000" w:themeColor="text1"/>
        </w:rPr>
        <w:t xml:space="preserve">nd on the Advancement of Women, </w:t>
      </w:r>
      <w:r w:rsidR="00CA51D0" w:rsidRPr="0090438F">
        <w:rPr>
          <w:rFonts w:ascii="Calibri" w:hAnsi="Calibri" w:cs="Arial"/>
          <w:color w:val="000000" w:themeColor="text1"/>
        </w:rPr>
        <w:t>it</w:t>
      </w:r>
      <w:r w:rsidRPr="0090438F">
        <w:rPr>
          <w:rFonts w:ascii="Calibri" w:hAnsi="Calibri" w:cs="Arial"/>
          <w:color w:val="000000" w:themeColor="text1"/>
        </w:rPr>
        <w:t xml:space="preserve"> also notes that both strategies lack budgets for implementation.</w:t>
      </w:r>
      <w:r w:rsidRPr="0090438F">
        <w:rPr>
          <w:rStyle w:val="FootnoteReference"/>
          <w:rFonts w:ascii="Calibri" w:hAnsi="Calibri" w:cs="Arial"/>
          <w:color w:val="000000" w:themeColor="text1"/>
        </w:rPr>
        <w:footnoteReference w:id="249"/>
      </w:r>
      <w:r w:rsidRPr="0090438F">
        <w:rPr>
          <w:rFonts w:ascii="Calibri" w:hAnsi="Calibri" w:cs="Arial"/>
          <w:color w:val="000000" w:themeColor="text1"/>
        </w:rPr>
        <w:t xml:space="preserve"> </w:t>
      </w:r>
    </w:p>
    <w:p w14:paraId="6E4C985A" w14:textId="77777777" w:rsidR="00067A86" w:rsidRPr="0090438F" w:rsidRDefault="00067A86" w:rsidP="005C68CA">
      <w:pPr>
        <w:jc w:val="both"/>
        <w:rPr>
          <w:rFonts w:ascii="Calibri" w:hAnsi="Calibri" w:cs="Arial"/>
          <w:color w:val="000000" w:themeColor="text1"/>
          <w:lang w:val="en-US"/>
        </w:rPr>
      </w:pPr>
    </w:p>
    <w:p w14:paraId="38FAABFA" w14:textId="77777777" w:rsidR="005C68CA" w:rsidRPr="003742A9" w:rsidRDefault="005C68CA" w:rsidP="007F364C">
      <w:pPr>
        <w:pStyle w:val="ListParagraph"/>
        <w:numPr>
          <w:ilvl w:val="0"/>
          <w:numId w:val="14"/>
        </w:numPr>
        <w:jc w:val="both"/>
        <w:rPr>
          <w:rFonts w:ascii="Calibri" w:hAnsi="Calibri" w:cs="Arial"/>
          <w:b/>
          <w:color w:val="002060"/>
          <w:lang w:val="en-US"/>
        </w:rPr>
      </w:pPr>
      <w:r w:rsidRPr="003742A9">
        <w:rPr>
          <w:rFonts w:ascii="Calibri" w:hAnsi="Calibri" w:cs="Arial"/>
          <w:b/>
          <w:color w:val="002060"/>
          <w:lang w:val="en-US"/>
        </w:rPr>
        <w:t>Implementation of the NAP by the Government, Development Agencies and Civil Society</w:t>
      </w:r>
    </w:p>
    <w:p w14:paraId="03A46DCA" w14:textId="77777777" w:rsidR="005C68CA" w:rsidRPr="00471761" w:rsidRDefault="005C68CA" w:rsidP="005C68CA">
      <w:pPr>
        <w:jc w:val="both"/>
        <w:rPr>
          <w:rFonts w:ascii="Calibri" w:hAnsi="Calibri" w:cs="Arial"/>
          <w:b/>
          <w:color w:val="4F81BD" w:themeColor="accent1"/>
          <w:lang w:val="en-US"/>
        </w:rPr>
      </w:pPr>
    </w:p>
    <w:p w14:paraId="56149B4C" w14:textId="4A03E61D" w:rsidR="005C68CA" w:rsidRPr="003742A9" w:rsidRDefault="005C68CA" w:rsidP="005C68CA">
      <w:pPr>
        <w:jc w:val="both"/>
        <w:rPr>
          <w:rFonts w:ascii="Calibri" w:hAnsi="Calibri" w:cs="Arial"/>
          <w:b/>
          <w:color w:val="002060"/>
          <w:u w:val="single"/>
          <w:lang w:val="en-US"/>
        </w:rPr>
      </w:pPr>
      <w:r w:rsidRPr="003742A9">
        <w:rPr>
          <w:rFonts w:ascii="Calibri" w:hAnsi="Calibri" w:cs="Arial"/>
          <w:b/>
          <w:color w:val="002060"/>
          <w:u w:val="single"/>
          <w:lang w:val="en-US"/>
        </w:rPr>
        <w:t xml:space="preserve">Government </w:t>
      </w:r>
    </w:p>
    <w:p w14:paraId="6F96A64C" w14:textId="77777777" w:rsidR="005C68CA" w:rsidRPr="0090438F" w:rsidRDefault="005C68CA" w:rsidP="005C68CA">
      <w:pPr>
        <w:jc w:val="both"/>
        <w:rPr>
          <w:rFonts w:ascii="Calibri" w:hAnsi="Calibri" w:cs="Arial"/>
          <w:b/>
          <w:color w:val="000000" w:themeColor="text1"/>
          <w:lang w:val="en-US"/>
        </w:rPr>
      </w:pPr>
    </w:p>
    <w:p w14:paraId="3A7BC7AC" w14:textId="44AE51A5" w:rsidR="005C68CA" w:rsidRPr="0090438F" w:rsidRDefault="005C68CA" w:rsidP="00EE3EF9">
      <w:pPr>
        <w:widowControl w:val="0"/>
        <w:autoSpaceDE w:val="0"/>
        <w:autoSpaceDN w:val="0"/>
        <w:adjustRightInd w:val="0"/>
        <w:spacing w:line="360" w:lineRule="auto"/>
        <w:jc w:val="both"/>
        <w:rPr>
          <w:rFonts w:ascii="Calibri" w:hAnsi="Calibri" w:cs="Arial"/>
          <w:color w:val="000000" w:themeColor="text1"/>
          <w:lang w:val="en-US"/>
        </w:rPr>
      </w:pPr>
      <w:r w:rsidRPr="0090438F">
        <w:rPr>
          <w:rFonts w:ascii="Calibri" w:hAnsi="Calibri" w:cs="Arial"/>
          <w:color w:val="000000" w:themeColor="text1"/>
          <w:lang w:val="en-US"/>
        </w:rPr>
        <w:t xml:space="preserve">To date, a little more than a year after </w:t>
      </w:r>
      <w:r w:rsidR="00213F5E" w:rsidRPr="0090438F">
        <w:rPr>
          <w:rFonts w:ascii="Calibri" w:hAnsi="Calibri" w:cs="Arial"/>
          <w:color w:val="000000" w:themeColor="text1"/>
          <w:lang w:val="en-US"/>
        </w:rPr>
        <w:t>the NAP was adopted</w:t>
      </w:r>
      <w:r w:rsidRPr="0090438F">
        <w:rPr>
          <w:rFonts w:ascii="Calibri" w:hAnsi="Calibri" w:cs="Arial"/>
          <w:color w:val="000000" w:themeColor="text1"/>
          <w:lang w:val="en-US"/>
        </w:rPr>
        <w:t>, obstacles stall implementation efforts.  On</w:t>
      </w:r>
      <w:r w:rsidR="00A33528" w:rsidRPr="0090438F">
        <w:rPr>
          <w:rFonts w:ascii="Calibri" w:hAnsi="Calibri" w:cs="Arial"/>
          <w:color w:val="000000" w:themeColor="text1"/>
          <w:lang w:val="en-US"/>
        </w:rPr>
        <w:t xml:space="preserve"> an</w:t>
      </w:r>
      <w:r w:rsidR="00213F5E" w:rsidRPr="0090438F">
        <w:rPr>
          <w:rFonts w:ascii="Calibri" w:hAnsi="Calibri" w:cs="Arial"/>
          <w:color w:val="000000" w:themeColor="text1"/>
          <w:lang w:val="en-US"/>
        </w:rPr>
        <w:t xml:space="preserve"> SCR 1325 “Open Day</w:t>
      </w:r>
      <w:r w:rsidRPr="0090438F">
        <w:rPr>
          <w:rFonts w:ascii="Calibri" w:hAnsi="Calibri" w:cs="Arial"/>
          <w:color w:val="000000" w:themeColor="text1"/>
          <w:lang w:val="en-US"/>
        </w:rPr>
        <w:t xml:space="preserve">” on October 15, 2014 in Baghdad, the </w:t>
      </w:r>
      <w:r w:rsidRPr="00471761">
        <w:rPr>
          <w:rFonts w:ascii="Calibri" w:hAnsi="Calibri" w:cs="Arial"/>
          <w:b/>
          <w:color w:val="4F81BD" w:themeColor="accent1"/>
          <w:lang w:val="en-US"/>
        </w:rPr>
        <w:t xml:space="preserve">Special Representative of the United Nations Secretary-General for Iraq, Mr. </w:t>
      </w:r>
      <w:r w:rsidRPr="00471761">
        <w:rPr>
          <w:rFonts w:ascii="Calibri" w:hAnsi="Calibri" w:cs="Arial"/>
          <w:b/>
          <w:bCs/>
          <w:color w:val="4F81BD" w:themeColor="accent1"/>
          <w:lang w:val="en-US"/>
        </w:rPr>
        <w:t>Nickolay Mladenov</w:t>
      </w:r>
      <w:r w:rsidRPr="0090438F">
        <w:rPr>
          <w:rFonts w:ascii="Calibri" w:hAnsi="Calibri" w:cs="Arial"/>
          <w:color w:val="000000" w:themeColor="text1"/>
          <w:lang w:val="en-US"/>
        </w:rPr>
        <w:t xml:space="preserve">, participated in a forum at the headquarters of the United Nations Assistance Mission for Iraq.  Civil </w:t>
      </w:r>
      <w:r w:rsidR="00213F5E" w:rsidRPr="0090438F">
        <w:rPr>
          <w:rFonts w:ascii="Calibri" w:hAnsi="Calibri" w:cs="Arial"/>
          <w:color w:val="000000" w:themeColor="text1"/>
          <w:lang w:val="en-US"/>
        </w:rPr>
        <w:t>s</w:t>
      </w:r>
      <w:r w:rsidRPr="0090438F">
        <w:rPr>
          <w:rFonts w:ascii="Calibri" w:hAnsi="Calibri" w:cs="Arial"/>
          <w:color w:val="000000" w:themeColor="text1"/>
          <w:lang w:val="en-US"/>
        </w:rPr>
        <w:t xml:space="preserve">ociety representatives and women leaders were also present to debate a broad range of issues concerning women’s rights and gender equality.  Mr. </w:t>
      </w:r>
      <w:r w:rsidRPr="0090438F">
        <w:rPr>
          <w:rFonts w:ascii="Calibri" w:hAnsi="Calibri" w:cs="Arial"/>
          <w:bCs/>
          <w:color w:val="000000" w:themeColor="text1"/>
          <w:lang w:val="en-US"/>
        </w:rPr>
        <w:t>Mladenov</w:t>
      </w:r>
      <w:r w:rsidRPr="0090438F">
        <w:rPr>
          <w:rFonts w:ascii="Calibri" w:hAnsi="Calibri" w:cs="Arial"/>
          <w:color w:val="000000" w:themeColor="text1"/>
          <w:lang w:val="en-US"/>
        </w:rPr>
        <w:t xml:space="preserve"> told the participants that </w:t>
      </w:r>
      <w:r w:rsidRPr="00471761">
        <w:rPr>
          <w:rFonts w:ascii="Calibri" w:hAnsi="Calibri" w:cs="Arial"/>
          <w:b/>
          <w:color w:val="4F81BD" w:themeColor="accent1"/>
          <w:lang w:val="en-US"/>
        </w:rPr>
        <w:t>more cooperation and collaboration was needed between the civil society and the government</w:t>
      </w:r>
      <w:r w:rsidRPr="0090438F">
        <w:rPr>
          <w:rFonts w:ascii="Calibri" w:hAnsi="Calibri" w:cs="Arial"/>
          <w:color w:val="000000" w:themeColor="text1"/>
          <w:lang w:val="en-US"/>
        </w:rPr>
        <w:t xml:space="preserve"> </w:t>
      </w:r>
      <w:r w:rsidR="00213F5E" w:rsidRPr="0090438F">
        <w:rPr>
          <w:rFonts w:ascii="Calibri" w:hAnsi="Calibri" w:cs="Arial"/>
          <w:color w:val="000000" w:themeColor="text1"/>
          <w:lang w:val="en-US"/>
        </w:rPr>
        <w:t>to implement</w:t>
      </w:r>
      <w:r w:rsidRPr="0090438F">
        <w:rPr>
          <w:rFonts w:ascii="Calibri" w:hAnsi="Calibri" w:cs="Arial"/>
          <w:color w:val="000000" w:themeColor="text1"/>
          <w:lang w:val="en-US"/>
        </w:rPr>
        <w:t xml:space="preserve"> the NAP</w:t>
      </w:r>
      <w:r w:rsidR="00213F5E" w:rsidRPr="0090438F">
        <w:rPr>
          <w:rFonts w:ascii="Calibri" w:hAnsi="Calibri" w:cs="Arial"/>
          <w:color w:val="000000" w:themeColor="text1"/>
          <w:lang w:val="en-US"/>
        </w:rPr>
        <w:t xml:space="preserve">. He also stressed the </w:t>
      </w:r>
      <w:r w:rsidR="00213F5E" w:rsidRPr="00471761">
        <w:rPr>
          <w:rFonts w:ascii="Calibri" w:hAnsi="Calibri" w:cs="Arial"/>
          <w:b/>
          <w:color w:val="4F81BD" w:themeColor="accent1"/>
          <w:lang w:val="en-US"/>
        </w:rPr>
        <w:t>importance of</w:t>
      </w:r>
      <w:r w:rsidRPr="00471761">
        <w:rPr>
          <w:rFonts w:ascii="Calibri" w:hAnsi="Calibri" w:cs="Arial"/>
          <w:b/>
          <w:color w:val="4F81BD" w:themeColor="accent1"/>
          <w:lang w:val="en-US"/>
        </w:rPr>
        <w:t xml:space="preserve"> additional commitments including CEDAW and the National Strategy for the Advancement of Women</w:t>
      </w:r>
      <w:r w:rsidRPr="0090438F">
        <w:rPr>
          <w:rFonts w:ascii="Calibri" w:hAnsi="Calibri" w:cs="Arial"/>
          <w:color w:val="000000" w:themeColor="text1"/>
          <w:lang w:val="en-US"/>
        </w:rPr>
        <w:t xml:space="preserve">.  Mr. Mladenov also encouraged civil society and women organizations to better coordinate with UN </w:t>
      </w:r>
      <w:r w:rsidR="00213F5E" w:rsidRPr="0090438F">
        <w:rPr>
          <w:rFonts w:ascii="Calibri" w:hAnsi="Calibri" w:cs="Arial"/>
          <w:color w:val="000000" w:themeColor="text1"/>
          <w:lang w:val="en-US"/>
        </w:rPr>
        <w:t>a</w:t>
      </w:r>
      <w:r w:rsidRPr="0090438F">
        <w:rPr>
          <w:rFonts w:ascii="Calibri" w:hAnsi="Calibri" w:cs="Arial"/>
          <w:color w:val="000000" w:themeColor="text1"/>
          <w:lang w:val="en-US"/>
        </w:rPr>
        <w:t xml:space="preserve">gencies to fulfill the urgent humanitarian needs of displaced persons, and urged them to share their findings on the human rights abuses, including </w:t>
      </w:r>
      <w:r w:rsidR="00C67173" w:rsidRPr="0090438F">
        <w:rPr>
          <w:rFonts w:ascii="Calibri" w:hAnsi="Calibri" w:cs="Arial"/>
          <w:color w:val="000000" w:themeColor="text1"/>
          <w:lang w:val="en-US"/>
        </w:rPr>
        <w:t>SGBV</w:t>
      </w:r>
      <w:r w:rsidRPr="0090438F">
        <w:rPr>
          <w:rFonts w:ascii="Calibri" w:hAnsi="Calibri" w:cs="Arial"/>
          <w:color w:val="000000" w:themeColor="text1"/>
          <w:lang w:val="en-US"/>
        </w:rPr>
        <w:t xml:space="preserve"> committed by </w:t>
      </w:r>
      <w:r w:rsidR="00213F5E" w:rsidRPr="0090438F">
        <w:rPr>
          <w:rFonts w:ascii="Calibri" w:hAnsi="Calibri" w:cs="Arial"/>
          <w:color w:val="000000" w:themeColor="text1"/>
          <w:lang w:val="en-US"/>
        </w:rPr>
        <w:t>ISIL</w:t>
      </w:r>
      <w:r w:rsidRPr="0090438F">
        <w:rPr>
          <w:rFonts w:ascii="Calibri" w:hAnsi="Calibri" w:cs="Arial"/>
          <w:color w:val="000000" w:themeColor="text1"/>
          <w:lang w:val="en-US"/>
        </w:rPr>
        <w:t xml:space="preserve"> and other armed groups, with the </w:t>
      </w:r>
      <w:r w:rsidR="00C67173" w:rsidRPr="0090438F">
        <w:rPr>
          <w:rFonts w:ascii="Calibri" w:hAnsi="Calibri" w:cs="Arial"/>
          <w:color w:val="000000" w:themeColor="text1"/>
          <w:lang w:val="en-US"/>
        </w:rPr>
        <w:t xml:space="preserve">Office of the High Commissioner for </w:t>
      </w:r>
      <w:r w:rsidRPr="0090438F">
        <w:rPr>
          <w:rFonts w:ascii="Calibri" w:hAnsi="Calibri" w:cs="Arial"/>
          <w:color w:val="000000" w:themeColor="text1"/>
          <w:lang w:val="en-US"/>
        </w:rPr>
        <w:t>Human Rights.</w:t>
      </w:r>
      <w:r w:rsidR="002C24D1" w:rsidRPr="0090438F">
        <w:rPr>
          <w:rStyle w:val="FootnoteReference"/>
          <w:rFonts w:ascii="Calibri" w:hAnsi="Calibri" w:cs="Arial"/>
          <w:color w:val="000000" w:themeColor="text1"/>
          <w:lang w:val="en-US"/>
        </w:rPr>
        <w:footnoteReference w:id="250"/>
      </w:r>
    </w:p>
    <w:p w14:paraId="39A7F13E" w14:textId="43C30035" w:rsidR="005C68CA" w:rsidRPr="0090438F" w:rsidRDefault="005C68CA" w:rsidP="00EE3EF9">
      <w:pPr>
        <w:spacing w:before="100" w:beforeAutospacing="1" w:after="100" w:afterAutospacing="1" w:line="360" w:lineRule="auto"/>
        <w:jc w:val="both"/>
        <w:rPr>
          <w:rFonts w:ascii="Calibri" w:hAnsi="Calibri" w:cs="Arial"/>
          <w:color w:val="000000" w:themeColor="text1"/>
          <w:lang w:val="en-US"/>
        </w:rPr>
      </w:pPr>
      <w:r w:rsidRPr="0090438F">
        <w:rPr>
          <w:rFonts w:ascii="Calibri" w:hAnsi="Calibri" w:cs="Arial"/>
          <w:color w:val="000000" w:themeColor="text1"/>
          <w:lang w:val="en-US"/>
        </w:rPr>
        <w:t>On February 4-5, 2015, representatives from the Task Force CPA1325 and the Executive Director of Euromed Feminist Initiat</w:t>
      </w:r>
      <w:r w:rsidR="002C24D1" w:rsidRPr="0090438F">
        <w:rPr>
          <w:rFonts w:ascii="Calibri" w:hAnsi="Calibri" w:cs="Arial"/>
          <w:color w:val="000000" w:themeColor="text1"/>
          <w:lang w:val="en-US"/>
        </w:rPr>
        <w:t>ive IFE-EFI (the Delegation</w:t>
      </w:r>
      <w:r w:rsidRPr="0090438F">
        <w:rPr>
          <w:rFonts w:ascii="Calibri" w:hAnsi="Calibri" w:cs="Arial"/>
          <w:color w:val="000000" w:themeColor="text1"/>
          <w:lang w:val="en-US"/>
        </w:rPr>
        <w:t>) met with Iraq’s President, Deputy Prime Minister, and the Minister of Women Affairs.  Over the course of two days the group discussed the obstacles to implementation as well as the political commitment of the government relating thereto.</w:t>
      </w:r>
      <w:r w:rsidRPr="0090438F">
        <w:rPr>
          <w:rStyle w:val="FootnoteReference"/>
          <w:rFonts w:ascii="Calibri" w:hAnsi="Calibri" w:cs="Arial"/>
          <w:color w:val="000000" w:themeColor="text1"/>
          <w:lang w:val="en-US"/>
        </w:rPr>
        <w:footnoteReference w:id="251"/>
      </w:r>
      <w:r w:rsidRPr="0090438F">
        <w:rPr>
          <w:rFonts w:ascii="Calibri" w:hAnsi="Calibri" w:cs="Arial"/>
          <w:color w:val="000000" w:themeColor="text1"/>
          <w:lang w:val="en-US"/>
        </w:rPr>
        <w:t xml:space="preserve">  The Delegation requested the government’s commitment to implementing the NAP and stressed the necessity of government commitment to implementation.  The Deputy Prime Minister expressed his support and intention to discuss the NAP with Iraqi government officials.</w:t>
      </w:r>
      <w:r w:rsidRPr="0090438F">
        <w:rPr>
          <w:rStyle w:val="FootnoteReference"/>
          <w:rFonts w:ascii="Calibri" w:hAnsi="Calibri" w:cs="Arial"/>
          <w:color w:val="000000" w:themeColor="text1"/>
          <w:lang w:val="en-US"/>
        </w:rPr>
        <w:footnoteReference w:id="252"/>
      </w:r>
    </w:p>
    <w:p w14:paraId="38EAABC6" w14:textId="38FC0A4B" w:rsidR="00A33528" w:rsidRPr="0090438F" w:rsidRDefault="00A33528" w:rsidP="00EE3EF9">
      <w:pPr>
        <w:widowControl w:val="0"/>
        <w:autoSpaceDE w:val="0"/>
        <w:autoSpaceDN w:val="0"/>
        <w:adjustRightInd w:val="0"/>
        <w:spacing w:line="360" w:lineRule="auto"/>
        <w:jc w:val="both"/>
        <w:rPr>
          <w:rFonts w:ascii="Calibri" w:hAnsi="Calibri" w:cs="Arial"/>
          <w:color w:val="000000" w:themeColor="text1"/>
          <w:lang w:val="en-US"/>
        </w:rPr>
      </w:pPr>
      <w:r w:rsidRPr="0090438F">
        <w:rPr>
          <w:rFonts w:ascii="Calibri" w:hAnsi="Calibri" w:cs="Arial"/>
          <w:color w:val="000000" w:themeColor="text1"/>
          <w:lang w:val="en-US"/>
        </w:rPr>
        <w:t>In February 2014, the CEDAW Committee</w:t>
      </w:r>
      <w:r w:rsidR="00213F5E" w:rsidRPr="0090438F">
        <w:rPr>
          <w:rFonts w:ascii="Calibri" w:hAnsi="Calibri" w:cs="Arial"/>
          <w:color w:val="000000" w:themeColor="text1"/>
          <w:lang w:val="en-US"/>
        </w:rPr>
        <w:t xml:space="preserve"> issued its Concluding O</w:t>
      </w:r>
      <w:r w:rsidRPr="0090438F">
        <w:rPr>
          <w:rFonts w:ascii="Calibri" w:hAnsi="Calibri" w:cs="Arial"/>
          <w:color w:val="000000" w:themeColor="text1"/>
          <w:lang w:val="en-US"/>
        </w:rPr>
        <w:t xml:space="preserve">bservations on the combined fourth to sixth periodic reports of Iraq. While noting the efforts and commitments of Iraq in the face of challenges of political instability, insecurity and violence, the Committee expressed serious concerns with respect to the persistence of discriminatory laws, the increase of violence against women by state and non-state actors, and government reinforcement of deep-rooted patriarchal attitudes and stereotypes that perpetuate the </w:t>
      </w:r>
      <w:r w:rsidRPr="0090438F">
        <w:rPr>
          <w:rFonts w:ascii="Calibri" w:hAnsi="Calibri" w:cs="Arial"/>
          <w:color w:val="000000" w:themeColor="text1"/>
          <w:lang w:val="en-US"/>
        </w:rPr>
        <w:lastRenderedPageBreak/>
        <w:t xml:space="preserve">subordination of women within the family and society and limit </w:t>
      </w:r>
      <w:r w:rsidR="005A5F20" w:rsidRPr="0090438F">
        <w:rPr>
          <w:rFonts w:ascii="Calibri" w:hAnsi="Calibri" w:cs="Arial"/>
          <w:color w:val="000000" w:themeColor="text1"/>
          <w:lang w:val="en-US"/>
        </w:rPr>
        <w:t>the rights of women and girls</w:t>
      </w:r>
      <w:r w:rsidRPr="0090438F">
        <w:rPr>
          <w:rFonts w:ascii="Calibri" w:hAnsi="Calibri" w:cs="Arial"/>
          <w:color w:val="000000" w:themeColor="text1"/>
          <w:lang w:val="en-US"/>
        </w:rPr>
        <w:t>.</w:t>
      </w:r>
      <w:r w:rsidRPr="0090438F">
        <w:rPr>
          <w:rStyle w:val="FootnoteReference"/>
          <w:rFonts w:ascii="Calibri" w:hAnsi="Calibri" w:cs="Arial"/>
          <w:color w:val="000000" w:themeColor="text1"/>
          <w:lang w:val="en-US"/>
        </w:rPr>
        <w:footnoteReference w:id="253"/>
      </w:r>
    </w:p>
    <w:p w14:paraId="7FD3375C" w14:textId="77777777" w:rsidR="00213F5E" w:rsidRPr="0090438F" w:rsidRDefault="00213F5E" w:rsidP="005C68CA">
      <w:pPr>
        <w:jc w:val="both"/>
        <w:rPr>
          <w:rFonts w:ascii="Calibri" w:hAnsi="Calibri" w:cs="Arial"/>
          <w:color w:val="000000" w:themeColor="text1"/>
          <w:lang w:val="en-US"/>
        </w:rPr>
      </w:pPr>
    </w:p>
    <w:p w14:paraId="7ADEB69B" w14:textId="79DF1FC8" w:rsidR="005C68CA" w:rsidRPr="003742A9" w:rsidRDefault="005C68CA" w:rsidP="005C68CA">
      <w:pPr>
        <w:jc w:val="both"/>
        <w:rPr>
          <w:rFonts w:ascii="Calibri" w:hAnsi="Calibri" w:cs="Arial"/>
          <w:b/>
          <w:color w:val="002060"/>
          <w:u w:val="single"/>
          <w:lang w:val="en-US"/>
        </w:rPr>
      </w:pPr>
      <w:r w:rsidRPr="003742A9">
        <w:rPr>
          <w:rFonts w:ascii="Calibri" w:hAnsi="Calibri" w:cs="Arial"/>
          <w:b/>
          <w:color w:val="002060"/>
          <w:u w:val="single"/>
          <w:lang w:val="en-US"/>
        </w:rPr>
        <w:t>Civil Society</w:t>
      </w:r>
    </w:p>
    <w:p w14:paraId="4D104567" w14:textId="77777777" w:rsidR="005C68CA" w:rsidRPr="0090438F" w:rsidRDefault="005C68CA" w:rsidP="005C68CA">
      <w:pPr>
        <w:jc w:val="both"/>
        <w:rPr>
          <w:rFonts w:ascii="Calibri" w:hAnsi="Calibri" w:cs="Arial"/>
          <w:color w:val="000000" w:themeColor="text1"/>
        </w:rPr>
      </w:pPr>
    </w:p>
    <w:p w14:paraId="04436C3E" w14:textId="4ADCD10E" w:rsidR="005C68CA" w:rsidRPr="0090438F" w:rsidRDefault="005C68CA" w:rsidP="00EE3EF9">
      <w:pPr>
        <w:spacing w:line="360" w:lineRule="auto"/>
        <w:jc w:val="both"/>
        <w:rPr>
          <w:rFonts w:ascii="Calibri" w:hAnsi="Calibri" w:cs="Arial"/>
          <w:color w:val="000000" w:themeColor="text1"/>
        </w:rPr>
      </w:pPr>
      <w:r w:rsidRPr="0090438F">
        <w:rPr>
          <w:rFonts w:ascii="Calibri" w:hAnsi="Calibri" w:cs="Arial"/>
          <w:color w:val="000000" w:themeColor="text1"/>
        </w:rPr>
        <w:t xml:space="preserve">Based on SCR 1325, local NGOs have led successful campaigns to prevent violence against women in Kirkuk and to empower illiterate women.  Additionally, they have organized non- violent campaigns by collecting signatures and organizing sit-ins.  These activities illustrate the ability of the civil society to build bridges of trust between citizens to reduce sectarian divisions fostered by politicians.  </w:t>
      </w:r>
      <w:r w:rsidR="005A5F20" w:rsidRPr="0090438F">
        <w:rPr>
          <w:rFonts w:ascii="Calibri" w:hAnsi="Calibri" w:cs="Arial"/>
          <w:color w:val="000000" w:themeColor="text1"/>
        </w:rPr>
        <w:t>The work of NGOs has also</w:t>
      </w:r>
      <w:r w:rsidRPr="0090438F">
        <w:rPr>
          <w:rFonts w:ascii="Calibri" w:hAnsi="Calibri" w:cs="Arial"/>
          <w:color w:val="000000" w:themeColor="text1"/>
        </w:rPr>
        <w:t xml:space="preserve"> impacted the government with respect to its adoption of the concepts of gender and gender based violence.</w:t>
      </w:r>
      <w:r w:rsidRPr="0090438F">
        <w:rPr>
          <w:rStyle w:val="FootnoteReference"/>
          <w:rFonts w:ascii="Calibri" w:hAnsi="Calibri" w:cs="Arial"/>
          <w:color w:val="000000" w:themeColor="text1"/>
        </w:rPr>
        <w:footnoteReference w:id="254"/>
      </w:r>
    </w:p>
    <w:p w14:paraId="299C489D" w14:textId="77777777" w:rsidR="005C68CA" w:rsidRPr="00471761" w:rsidRDefault="005C68CA" w:rsidP="005C68CA">
      <w:pPr>
        <w:ind w:left="720" w:hanging="720"/>
        <w:jc w:val="both"/>
        <w:rPr>
          <w:rFonts w:ascii="Calibri" w:hAnsi="Calibri" w:cs="Arial"/>
          <w:b/>
          <w:color w:val="4F81BD" w:themeColor="accent1"/>
        </w:rPr>
      </w:pPr>
    </w:p>
    <w:p w14:paraId="6B9A6A73" w14:textId="77777777" w:rsidR="005C68CA" w:rsidRPr="003742A9" w:rsidRDefault="005C68CA" w:rsidP="007F364C">
      <w:pPr>
        <w:pStyle w:val="ListParagraph"/>
        <w:numPr>
          <w:ilvl w:val="0"/>
          <w:numId w:val="14"/>
        </w:numPr>
        <w:jc w:val="both"/>
        <w:rPr>
          <w:rFonts w:ascii="Calibri" w:hAnsi="Calibri" w:cs="Arial"/>
          <w:b/>
          <w:color w:val="002060"/>
          <w:lang w:val="en-US"/>
        </w:rPr>
      </w:pPr>
      <w:r w:rsidRPr="003742A9">
        <w:rPr>
          <w:rFonts w:ascii="Calibri" w:hAnsi="Calibri" w:cs="Arial"/>
          <w:b/>
          <w:color w:val="002060"/>
          <w:lang w:val="en-US"/>
        </w:rPr>
        <w:t xml:space="preserve">Other Actions by Government, Development Agencies, and Civil Society Concerning Women, Peace, and Security </w:t>
      </w:r>
    </w:p>
    <w:p w14:paraId="1DF2BF8E" w14:textId="77777777" w:rsidR="005C68CA" w:rsidRPr="003742A9" w:rsidRDefault="005C68CA" w:rsidP="005C68CA">
      <w:pPr>
        <w:widowControl w:val="0"/>
        <w:autoSpaceDE w:val="0"/>
        <w:autoSpaceDN w:val="0"/>
        <w:adjustRightInd w:val="0"/>
        <w:ind w:left="360" w:hanging="360"/>
        <w:jc w:val="both"/>
        <w:rPr>
          <w:rFonts w:ascii="Calibri" w:hAnsi="Calibri" w:cs="Arial"/>
          <w:b/>
          <w:color w:val="002060"/>
          <w:lang w:val="en-US"/>
        </w:rPr>
      </w:pPr>
      <w:r w:rsidRPr="003742A9">
        <w:rPr>
          <w:rFonts w:ascii="Calibri" w:hAnsi="Calibri" w:cs="Arial"/>
          <w:b/>
          <w:color w:val="002060"/>
          <w:lang w:val="en-US"/>
        </w:rPr>
        <w:t xml:space="preserve"> </w:t>
      </w:r>
    </w:p>
    <w:p w14:paraId="00C6C4EB" w14:textId="512C353B" w:rsidR="005C68CA" w:rsidRPr="003742A9" w:rsidRDefault="00213F5E" w:rsidP="005C68CA">
      <w:pPr>
        <w:widowControl w:val="0"/>
        <w:autoSpaceDE w:val="0"/>
        <w:autoSpaceDN w:val="0"/>
        <w:adjustRightInd w:val="0"/>
        <w:jc w:val="both"/>
        <w:rPr>
          <w:rFonts w:ascii="Calibri" w:hAnsi="Calibri" w:cs="Arial"/>
          <w:b/>
          <w:color w:val="002060"/>
          <w:u w:val="single"/>
          <w:lang w:val="en-US"/>
        </w:rPr>
      </w:pPr>
      <w:r w:rsidRPr="003742A9">
        <w:rPr>
          <w:rFonts w:ascii="Calibri" w:hAnsi="Calibri" w:cs="Arial"/>
          <w:b/>
          <w:color w:val="002060"/>
          <w:u w:val="single"/>
          <w:lang w:val="en-US"/>
        </w:rPr>
        <w:t xml:space="preserve">Government </w:t>
      </w:r>
      <w:r w:rsidR="005C68CA" w:rsidRPr="003742A9">
        <w:rPr>
          <w:rFonts w:ascii="Calibri" w:hAnsi="Calibri" w:cs="Arial"/>
          <w:b/>
          <w:color w:val="002060"/>
          <w:u w:val="single"/>
          <w:lang w:val="en-US"/>
        </w:rPr>
        <w:t xml:space="preserve"> </w:t>
      </w:r>
    </w:p>
    <w:p w14:paraId="300C7162" w14:textId="57CF27DC" w:rsidR="005C68CA" w:rsidRPr="0090438F" w:rsidRDefault="00213F5E" w:rsidP="00EE3EF9">
      <w:pPr>
        <w:spacing w:before="100" w:beforeAutospacing="1" w:after="100" w:afterAutospacing="1" w:line="360" w:lineRule="auto"/>
        <w:jc w:val="both"/>
        <w:rPr>
          <w:rFonts w:ascii="Calibri" w:hAnsi="Calibri" w:cs="Arial"/>
          <w:color w:val="000000" w:themeColor="text1"/>
        </w:rPr>
      </w:pPr>
      <w:r w:rsidRPr="0090438F">
        <w:rPr>
          <w:rFonts w:ascii="Calibri" w:hAnsi="Calibri" w:cs="Arial"/>
          <w:color w:val="000000" w:themeColor="text1"/>
          <w:lang w:val="en-US"/>
        </w:rPr>
        <w:t xml:space="preserve">In March </w:t>
      </w:r>
      <w:r w:rsidR="005C68CA" w:rsidRPr="0090438F">
        <w:rPr>
          <w:rFonts w:ascii="Calibri" w:hAnsi="Calibri" w:cs="Arial"/>
          <w:color w:val="000000" w:themeColor="text1"/>
          <w:lang w:val="en-US"/>
        </w:rPr>
        <w:t xml:space="preserve">2013, the Iraqi government </w:t>
      </w:r>
      <w:r w:rsidR="005C68CA" w:rsidRPr="0090438F">
        <w:rPr>
          <w:rFonts w:ascii="Calibri" w:hAnsi="Calibri" w:cs="Arial"/>
          <w:color w:val="000000" w:themeColor="text1"/>
        </w:rPr>
        <w:t xml:space="preserve">ratified the National Strategy to Combat Violence </w:t>
      </w:r>
      <w:r w:rsidR="0090438F">
        <w:rPr>
          <w:rFonts w:ascii="Calibri" w:hAnsi="Calibri" w:cs="Arial"/>
          <w:color w:val="000000" w:themeColor="text1"/>
        </w:rPr>
        <w:t>a</w:t>
      </w:r>
      <w:r w:rsidR="005C68CA" w:rsidRPr="0090438F">
        <w:rPr>
          <w:rFonts w:ascii="Calibri" w:hAnsi="Calibri" w:cs="Arial"/>
          <w:color w:val="000000" w:themeColor="text1"/>
        </w:rPr>
        <w:t>gai</w:t>
      </w:r>
      <w:r w:rsidR="005A5F20" w:rsidRPr="0090438F">
        <w:rPr>
          <w:rFonts w:ascii="Calibri" w:hAnsi="Calibri" w:cs="Arial"/>
          <w:color w:val="000000" w:themeColor="text1"/>
        </w:rPr>
        <w:t>nst Women (</w:t>
      </w:r>
      <w:r w:rsidR="0090438F">
        <w:rPr>
          <w:rFonts w:ascii="Calibri" w:hAnsi="Calibri" w:cs="Arial"/>
          <w:color w:val="000000" w:themeColor="text1"/>
        </w:rPr>
        <w:t xml:space="preserve">the </w:t>
      </w:r>
      <w:r w:rsidR="005A5F20" w:rsidRPr="0090438F">
        <w:rPr>
          <w:rFonts w:ascii="Calibri" w:hAnsi="Calibri" w:cs="Arial"/>
          <w:color w:val="000000" w:themeColor="text1"/>
        </w:rPr>
        <w:t>Strategy</w:t>
      </w:r>
      <w:r w:rsidRPr="0090438F">
        <w:rPr>
          <w:rFonts w:ascii="Calibri" w:hAnsi="Calibri" w:cs="Arial"/>
          <w:color w:val="000000" w:themeColor="text1"/>
        </w:rPr>
        <w:t>).  Civil s</w:t>
      </w:r>
      <w:r w:rsidR="005C68CA" w:rsidRPr="0090438F">
        <w:rPr>
          <w:rFonts w:ascii="Calibri" w:hAnsi="Calibri" w:cs="Arial"/>
          <w:color w:val="000000" w:themeColor="text1"/>
        </w:rPr>
        <w:t xml:space="preserve">ociety </w:t>
      </w:r>
      <w:r w:rsidRPr="0090438F">
        <w:rPr>
          <w:rFonts w:ascii="Calibri" w:hAnsi="Calibri" w:cs="Arial"/>
          <w:color w:val="000000" w:themeColor="text1"/>
        </w:rPr>
        <w:t>o</w:t>
      </w:r>
      <w:r w:rsidR="005C68CA" w:rsidRPr="0090438F">
        <w:rPr>
          <w:rFonts w:ascii="Calibri" w:hAnsi="Calibri" w:cs="Arial"/>
          <w:color w:val="000000" w:themeColor="text1"/>
        </w:rPr>
        <w:t>rganizations participated in dev</w:t>
      </w:r>
      <w:r w:rsidRPr="0090438F">
        <w:rPr>
          <w:rFonts w:ascii="Calibri" w:hAnsi="Calibri" w:cs="Arial"/>
          <w:color w:val="000000" w:themeColor="text1"/>
        </w:rPr>
        <w:t>eloping the Strategy.  For the p</w:t>
      </w:r>
      <w:r w:rsidR="005C68CA" w:rsidRPr="0090438F">
        <w:rPr>
          <w:rFonts w:ascii="Calibri" w:hAnsi="Calibri" w:cs="Arial"/>
          <w:color w:val="000000" w:themeColor="text1"/>
        </w:rPr>
        <w:t xml:space="preserve">ast several years, the State Ministry of Women’s Affairs, with international support, has been working to develop a National Strategy for the Advancement of Women, which the Government of Iraq has yet to approve. </w:t>
      </w:r>
      <w:r w:rsidR="000F406A" w:rsidRPr="0090438F">
        <w:rPr>
          <w:rFonts w:ascii="Calibri" w:hAnsi="Calibri" w:cs="Arial"/>
          <w:color w:val="000000" w:themeColor="text1"/>
        </w:rPr>
        <w:t xml:space="preserve"> </w:t>
      </w:r>
      <w:r w:rsidR="005C68CA" w:rsidRPr="0090438F">
        <w:rPr>
          <w:rFonts w:ascii="Calibri" w:hAnsi="Calibri" w:cs="Arial"/>
          <w:color w:val="000000" w:themeColor="text1"/>
        </w:rPr>
        <w:t>In 2011, the KRG approved a law against domestic violence.  Its application is still facing obstructions.  Moreover, it did not achieve its intended purpose in creating legal protection for women due to the absence of guidelines concerning implementation and the failure to form the reconciliation committee stipulated therein.</w:t>
      </w:r>
    </w:p>
    <w:p w14:paraId="68669850" w14:textId="4CEFF63B" w:rsidR="005C68CA" w:rsidRPr="003742A9" w:rsidRDefault="005C68CA" w:rsidP="005C68CA">
      <w:pPr>
        <w:widowControl w:val="0"/>
        <w:autoSpaceDE w:val="0"/>
        <w:autoSpaceDN w:val="0"/>
        <w:adjustRightInd w:val="0"/>
        <w:jc w:val="both"/>
        <w:rPr>
          <w:rFonts w:ascii="Calibri" w:hAnsi="Calibri" w:cs="Arial"/>
          <w:b/>
          <w:color w:val="002060"/>
          <w:u w:val="single"/>
          <w:lang w:val="en-US"/>
        </w:rPr>
      </w:pPr>
      <w:r w:rsidRPr="003742A9">
        <w:rPr>
          <w:rFonts w:ascii="Calibri" w:hAnsi="Calibri" w:cs="Arial"/>
          <w:b/>
          <w:color w:val="002060"/>
          <w:u w:val="single"/>
          <w:lang w:val="en-US"/>
        </w:rPr>
        <w:t xml:space="preserve">Civil Society </w:t>
      </w:r>
    </w:p>
    <w:p w14:paraId="42EE1B7D" w14:textId="77777777" w:rsidR="005C68CA" w:rsidRPr="0090438F" w:rsidRDefault="005C68CA" w:rsidP="005C68CA">
      <w:pPr>
        <w:widowControl w:val="0"/>
        <w:autoSpaceDE w:val="0"/>
        <w:autoSpaceDN w:val="0"/>
        <w:adjustRightInd w:val="0"/>
        <w:jc w:val="both"/>
        <w:rPr>
          <w:rFonts w:ascii="Calibri" w:hAnsi="Calibri" w:cs="Arial"/>
          <w:color w:val="000000" w:themeColor="text1"/>
          <w:lang w:val="en-US"/>
        </w:rPr>
      </w:pPr>
    </w:p>
    <w:p w14:paraId="43A16FDD" w14:textId="2CC61066" w:rsidR="005C68CA" w:rsidRPr="0090438F" w:rsidRDefault="005C68CA" w:rsidP="0090438F">
      <w:pPr>
        <w:widowControl w:val="0"/>
        <w:autoSpaceDE w:val="0"/>
        <w:autoSpaceDN w:val="0"/>
        <w:adjustRightInd w:val="0"/>
        <w:spacing w:line="360" w:lineRule="auto"/>
        <w:jc w:val="both"/>
        <w:rPr>
          <w:rFonts w:ascii="Calibri" w:hAnsi="Calibri" w:cs="Arial"/>
          <w:color w:val="000000" w:themeColor="text1"/>
          <w:lang w:val="en-US"/>
        </w:rPr>
      </w:pPr>
      <w:r w:rsidRPr="0090438F">
        <w:rPr>
          <w:rFonts w:ascii="Calibri" w:hAnsi="Calibri" w:cs="Arial"/>
          <w:color w:val="000000" w:themeColor="text1"/>
        </w:rPr>
        <w:t>While significant obstacles stand in the way of progress for women in Iraq, effective and sustainable local organizations are making a difference.</w:t>
      </w:r>
      <w:r w:rsidRPr="0090438F">
        <w:rPr>
          <w:rFonts w:ascii="Calibri" w:hAnsi="Calibri" w:cs="Arial"/>
          <w:color w:val="000000" w:themeColor="text1"/>
          <w:lang w:val="en-US"/>
        </w:rPr>
        <w:t xml:space="preserve">  </w:t>
      </w:r>
      <w:r w:rsidRPr="0090438F">
        <w:rPr>
          <w:rFonts w:ascii="Calibri" w:hAnsi="Calibri" w:cs="Arial"/>
          <w:color w:val="000000" w:themeColor="text1"/>
        </w:rPr>
        <w:t>For example, the Iraqi Women Network, founded in 2003, is a collection of more than eighty organizations from different parts of Iraq.  The network works to coordinate the efforts of women’s NGOs and gatherings with the aim of fostering democracy, the rule of law and human rights, and achieving the elimination of violence and all forms of discrimination against women in Iraq.</w:t>
      </w:r>
    </w:p>
    <w:p w14:paraId="234D48E1" w14:textId="77777777" w:rsidR="005C68CA" w:rsidRPr="0090438F" w:rsidRDefault="005C68CA" w:rsidP="0090438F">
      <w:pPr>
        <w:widowControl w:val="0"/>
        <w:autoSpaceDE w:val="0"/>
        <w:autoSpaceDN w:val="0"/>
        <w:adjustRightInd w:val="0"/>
        <w:spacing w:line="360" w:lineRule="auto"/>
        <w:jc w:val="both"/>
        <w:rPr>
          <w:rFonts w:ascii="Calibri" w:hAnsi="Calibri" w:cs="Arial"/>
          <w:color w:val="000000" w:themeColor="text1"/>
        </w:rPr>
      </w:pPr>
    </w:p>
    <w:p w14:paraId="66F1A02D" w14:textId="72A8B3A5" w:rsidR="005C68CA" w:rsidRPr="0090438F" w:rsidRDefault="000F406A" w:rsidP="0090438F">
      <w:pPr>
        <w:widowControl w:val="0"/>
        <w:autoSpaceDE w:val="0"/>
        <w:autoSpaceDN w:val="0"/>
        <w:adjustRightInd w:val="0"/>
        <w:spacing w:line="360" w:lineRule="auto"/>
        <w:jc w:val="both"/>
        <w:rPr>
          <w:rFonts w:ascii="Calibri" w:hAnsi="Calibri" w:cs="Arial"/>
          <w:color w:val="000000" w:themeColor="text1"/>
          <w:lang w:val="en-US"/>
        </w:rPr>
      </w:pPr>
      <w:r w:rsidRPr="0090438F">
        <w:rPr>
          <w:rFonts w:ascii="Calibri" w:hAnsi="Calibri" w:cs="Arial"/>
          <w:color w:val="000000" w:themeColor="text1"/>
          <w:lang w:val="en-US"/>
        </w:rPr>
        <w:t>In February</w:t>
      </w:r>
      <w:r w:rsidR="005C68CA" w:rsidRPr="0090438F">
        <w:rPr>
          <w:rFonts w:ascii="Calibri" w:hAnsi="Calibri" w:cs="Arial"/>
          <w:color w:val="000000" w:themeColor="text1"/>
          <w:lang w:val="en-US"/>
        </w:rPr>
        <w:t xml:space="preserve"> 2014, an NGO commission submitted a Shadow Report concerning women in armed conflict </w:t>
      </w:r>
      <w:r w:rsidR="005C68CA" w:rsidRPr="0090438F">
        <w:rPr>
          <w:rFonts w:ascii="Calibri" w:hAnsi="Calibri" w:cs="Arial"/>
          <w:color w:val="000000" w:themeColor="text1"/>
          <w:lang w:val="en-US"/>
        </w:rPr>
        <w:lastRenderedPageBreak/>
        <w:t>and post conflict in Iraq to CEDAW.  The commission consisted of several Iraqi women’s organizations, including the Iraqi Women Network (comprised of more than 80 organizations) and the Coalition of Al Rafidain Women (5 organizations), among others.  In the summer of 2014, when ISIS led extremists seized control of several cities, the Organization of Women’s Freedom in Iraq (OWFI) worked with an American NGO to relocate residents in of women’s shelters to safer areas and to provide emergency food and shelter.</w:t>
      </w:r>
      <w:r w:rsidR="005C68CA" w:rsidRPr="0090438F">
        <w:rPr>
          <w:rStyle w:val="FootnoteReference"/>
          <w:rFonts w:ascii="Calibri" w:hAnsi="Calibri" w:cs="Arial"/>
          <w:color w:val="000000" w:themeColor="text1"/>
          <w:lang w:val="en-US"/>
        </w:rPr>
        <w:footnoteReference w:id="255"/>
      </w:r>
    </w:p>
    <w:p w14:paraId="5E9AC047" w14:textId="77777777" w:rsidR="005C68CA" w:rsidRPr="0090438F" w:rsidRDefault="005C68CA" w:rsidP="005C68CA">
      <w:pPr>
        <w:widowControl w:val="0"/>
        <w:autoSpaceDE w:val="0"/>
        <w:autoSpaceDN w:val="0"/>
        <w:adjustRightInd w:val="0"/>
        <w:jc w:val="both"/>
        <w:rPr>
          <w:rFonts w:ascii="Calibri" w:hAnsi="Calibri" w:cs="Arial"/>
          <w:color w:val="000000" w:themeColor="text1"/>
          <w:lang w:val="en-US"/>
        </w:rPr>
      </w:pPr>
    </w:p>
    <w:p w14:paraId="71CF4D24" w14:textId="1A8AB6F1" w:rsidR="003B6A14" w:rsidRPr="0090438F" w:rsidRDefault="005C68CA" w:rsidP="00EE3EF9">
      <w:pPr>
        <w:widowControl w:val="0"/>
        <w:autoSpaceDE w:val="0"/>
        <w:autoSpaceDN w:val="0"/>
        <w:adjustRightInd w:val="0"/>
        <w:spacing w:line="360" w:lineRule="auto"/>
        <w:jc w:val="both"/>
        <w:rPr>
          <w:rFonts w:ascii="Calibri" w:hAnsi="Calibri" w:cs="Arial"/>
          <w:color w:val="000000" w:themeColor="text1"/>
        </w:rPr>
      </w:pPr>
      <w:r w:rsidRPr="0090438F">
        <w:rPr>
          <w:rFonts w:ascii="Calibri" w:hAnsi="Calibri" w:cs="Arial"/>
          <w:color w:val="000000" w:themeColor="text1"/>
        </w:rPr>
        <w:t xml:space="preserve">Additionally, in the majority of Iraqi provinces, </w:t>
      </w:r>
      <w:r w:rsidR="00213F5E" w:rsidRPr="0090438F">
        <w:rPr>
          <w:rFonts w:ascii="Calibri" w:hAnsi="Calibri" w:cs="Arial"/>
          <w:color w:val="000000" w:themeColor="text1"/>
        </w:rPr>
        <w:t>NGOs</w:t>
      </w:r>
      <w:r w:rsidRPr="0090438F">
        <w:rPr>
          <w:rFonts w:ascii="Calibri" w:hAnsi="Calibri" w:cs="Arial"/>
          <w:color w:val="000000" w:themeColor="text1"/>
        </w:rPr>
        <w:t xml:space="preserve"> a</w:t>
      </w:r>
      <w:r w:rsidR="00213F5E" w:rsidRPr="0090438F">
        <w:rPr>
          <w:rFonts w:ascii="Calibri" w:hAnsi="Calibri" w:cs="Arial"/>
          <w:color w:val="000000" w:themeColor="text1"/>
        </w:rPr>
        <w:t>re in charge of family counselling c</w:t>
      </w:r>
      <w:r w:rsidRPr="0090438F">
        <w:rPr>
          <w:rFonts w:ascii="Calibri" w:hAnsi="Calibri" w:cs="Arial"/>
          <w:color w:val="000000" w:themeColor="text1"/>
        </w:rPr>
        <w:t xml:space="preserve">entres, which offer social, psychological and legal consulting.  These services are free for victims of domestic and community violence. These centres have played a significant role in breaking the silence </w:t>
      </w:r>
      <w:r w:rsidR="00213F5E" w:rsidRPr="0090438F">
        <w:rPr>
          <w:rFonts w:ascii="Calibri" w:hAnsi="Calibri" w:cs="Arial"/>
          <w:color w:val="000000" w:themeColor="text1"/>
        </w:rPr>
        <w:t>on</w:t>
      </w:r>
      <w:r w:rsidRPr="0090438F">
        <w:rPr>
          <w:rFonts w:ascii="Calibri" w:hAnsi="Calibri" w:cs="Arial"/>
          <w:color w:val="000000" w:themeColor="text1"/>
        </w:rPr>
        <w:t xml:space="preserve"> to violence against women and in monitoring and documenting the violations </w:t>
      </w:r>
      <w:r w:rsidR="00213F5E" w:rsidRPr="0090438F">
        <w:rPr>
          <w:rFonts w:ascii="Calibri" w:hAnsi="Calibri" w:cs="Arial"/>
          <w:color w:val="000000" w:themeColor="text1"/>
        </w:rPr>
        <w:t>women</w:t>
      </w:r>
      <w:r w:rsidRPr="0090438F">
        <w:rPr>
          <w:rFonts w:ascii="Calibri" w:hAnsi="Calibri" w:cs="Arial"/>
          <w:color w:val="000000" w:themeColor="text1"/>
        </w:rPr>
        <w:t xml:space="preserve"> experience. These </w:t>
      </w:r>
      <w:r w:rsidR="00213F5E" w:rsidRPr="0090438F">
        <w:rPr>
          <w:rFonts w:ascii="Calibri" w:hAnsi="Calibri" w:cs="Arial"/>
          <w:color w:val="000000" w:themeColor="text1"/>
        </w:rPr>
        <w:t>c</w:t>
      </w:r>
      <w:r w:rsidRPr="0090438F">
        <w:rPr>
          <w:rFonts w:ascii="Calibri" w:hAnsi="Calibri" w:cs="Arial"/>
          <w:color w:val="000000" w:themeColor="text1"/>
        </w:rPr>
        <w:t>entres also raise awareness and education among women in communities as well as official institutions about violence and discrimination against wome</w:t>
      </w:r>
      <w:r w:rsidR="000F406A" w:rsidRPr="0090438F">
        <w:rPr>
          <w:rFonts w:ascii="Calibri" w:hAnsi="Calibri" w:cs="Arial"/>
          <w:color w:val="000000" w:themeColor="text1"/>
        </w:rPr>
        <w:t>n in the context of CEDAW and</w:t>
      </w:r>
      <w:r w:rsidR="00213F5E" w:rsidRPr="0090438F">
        <w:rPr>
          <w:rFonts w:ascii="Calibri" w:hAnsi="Calibri" w:cs="Arial"/>
          <w:color w:val="000000" w:themeColor="text1"/>
        </w:rPr>
        <w:t xml:space="preserve"> the</w:t>
      </w:r>
      <w:r w:rsidR="000F406A" w:rsidRPr="0090438F">
        <w:rPr>
          <w:rFonts w:ascii="Calibri" w:hAnsi="Calibri" w:cs="Arial"/>
          <w:color w:val="000000" w:themeColor="text1"/>
        </w:rPr>
        <w:t xml:space="preserve"> </w:t>
      </w:r>
      <w:r w:rsidRPr="0090438F">
        <w:rPr>
          <w:rFonts w:ascii="Calibri" w:hAnsi="Calibri" w:cs="Arial"/>
          <w:color w:val="000000" w:themeColor="text1"/>
        </w:rPr>
        <w:t xml:space="preserve">SCR 1325. </w:t>
      </w:r>
    </w:p>
    <w:p w14:paraId="0D66579B" w14:textId="77777777" w:rsidR="00265C8E" w:rsidRPr="00471761" w:rsidRDefault="00265C8E" w:rsidP="005C68CA">
      <w:pPr>
        <w:widowControl w:val="0"/>
        <w:autoSpaceDE w:val="0"/>
        <w:autoSpaceDN w:val="0"/>
        <w:adjustRightInd w:val="0"/>
        <w:jc w:val="both"/>
        <w:rPr>
          <w:rFonts w:ascii="Calibri" w:hAnsi="Calibri" w:cs="Arial"/>
          <w:color w:val="4F81BD" w:themeColor="accent1"/>
        </w:rPr>
      </w:pPr>
    </w:p>
    <w:p w14:paraId="2A3B7F0C" w14:textId="6E4A2B40" w:rsidR="00265C8E" w:rsidRPr="003742A9" w:rsidRDefault="00265C8E" w:rsidP="007F364C">
      <w:pPr>
        <w:pStyle w:val="ListParagraph"/>
        <w:widowControl w:val="0"/>
        <w:numPr>
          <w:ilvl w:val="0"/>
          <w:numId w:val="13"/>
        </w:numPr>
        <w:autoSpaceDE w:val="0"/>
        <w:autoSpaceDN w:val="0"/>
        <w:adjustRightInd w:val="0"/>
        <w:jc w:val="both"/>
        <w:rPr>
          <w:rFonts w:ascii="Calibri" w:hAnsi="Calibri" w:cs="Arial"/>
          <w:b/>
          <w:color w:val="002060"/>
        </w:rPr>
      </w:pPr>
      <w:r w:rsidRPr="003742A9">
        <w:rPr>
          <w:rFonts w:ascii="Calibri" w:hAnsi="Calibri" w:cs="Arial"/>
          <w:b/>
          <w:color w:val="002060"/>
        </w:rPr>
        <w:t>Conclusion</w:t>
      </w:r>
    </w:p>
    <w:p w14:paraId="05216C73" w14:textId="77777777" w:rsidR="00265C8E" w:rsidRPr="00471761" w:rsidRDefault="00265C8E" w:rsidP="00265C8E">
      <w:pPr>
        <w:widowControl w:val="0"/>
        <w:autoSpaceDE w:val="0"/>
        <w:autoSpaceDN w:val="0"/>
        <w:adjustRightInd w:val="0"/>
        <w:jc w:val="both"/>
        <w:rPr>
          <w:rFonts w:ascii="Calibri" w:hAnsi="Calibri" w:cs="Arial"/>
          <w:b/>
          <w:color w:val="4F81BD" w:themeColor="accent1"/>
        </w:rPr>
      </w:pPr>
    </w:p>
    <w:p w14:paraId="063CC056" w14:textId="5202B117" w:rsidR="00265C8E" w:rsidRPr="0090438F" w:rsidRDefault="00265C8E" w:rsidP="00EE3EF9">
      <w:pPr>
        <w:widowControl w:val="0"/>
        <w:autoSpaceDE w:val="0"/>
        <w:autoSpaceDN w:val="0"/>
        <w:adjustRightInd w:val="0"/>
        <w:spacing w:line="360" w:lineRule="auto"/>
        <w:jc w:val="both"/>
        <w:rPr>
          <w:rFonts w:ascii="Calibri" w:hAnsi="Calibri" w:cs="Arial"/>
          <w:color w:val="000000" w:themeColor="text1"/>
        </w:rPr>
      </w:pPr>
      <w:r w:rsidRPr="0090438F">
        <w:rPr>
          <w:rFonts w:ascii="Calibri" w:hAnsi="Calibri" w:cs="Arial"/>
          <w:color w:val="000000" w:themeColor="text1"/>
        </w:rPr>
        <w:t xml:space="preserve">Iraq is a country deeply affected by its </w:t>
      </w:r>
      <w:r w:rsidRPr="00471761">
        <w:rPr>
          <w:rFonts w:ascii="Calibri" w:hAnsi="Calibri" w:cs="Arial"/>
          <w:b/>
          <w:color w:val="4F81BD" w:themeColor="accent1"/>
        </w:rPr>
        <w:t>current conflict, an</w:t>
      </w:r>
      <w:r w:rsidR="00C67173" w:rsidRPr="00471761">
        <w:rPr>
          <w:rFonts w:ascii="Calibri" w:hAnsi="Calibri" w:cs="Arial"/>
          <w:b/>
          <w:color w:val="4F81BD" w:themeColor="accent1"/>
        </w:rPr>
        <w:t>d the long-lasting effects of</w:t>
      </w:r>
      <w:r w:rsidRPr="00471761">
        <w:rPr>
          <w:rFonts w:ascii="Calibri" w:hAnsi="Calibri" w:cs="Arial"/>
          <w:b/>
          <w:color w:val="4F81BD" w:themeColor="accent1"/>
        </w:rPr>
        <w:t xml:space="preserve"> political, economic and social instability </w:t>
      </w:r>
      <w:r w:rsidR="00C67173" w:rsidRPr="00471761">
        <w:rPr>
          <w:rFonts w:ascii="Calibri" w:hAnsi="Calibri" w:cs="Arial"/>
          <w:b/>
          <w:color w:val="4F81BD" w:themeColor="accent1"/>
        </w:rPr>
        <w:t>as a result of</w:t>
      </w:r>
      <w:r w:rsidRPr="00471761">
        <w:rPr>
          <w:rFonts w:ascii="Calibri" w:hAnsi="Calibri" w:cs="Arial"/>
          <w:b/>
          <w:color w:val="4F81BD" w:themeColor="accent1"/>
        </w:rPr>
        <w:t xml:space="preserve"> war and occupation</w:t>
      </w:r>
      <w:r w:rsidRPr="00471761">
        <w:rPr>
          <w:rFonts w:ascii="Calibri" w:hAnsi="Calibri" w:cs="Arial"/>
          <w:color w:val="000000" w:themeColor="text1"/>
        </w:rPr>
        <w:t>.</w:t>
      </w:r>
      <w:r w:rsidRPr="0090438F">
        <w:rPr>
          <w:rFonts w:ascii="Calibri" w:hAnsi="Calibri" w:cs="Arial"/>
          <w:color w:val="000000" w:themeColor="text1"/>
        </w:rPr>
        <w:t xml:space="preserve"> Crucial to the implementation of the NAP will be the </w:t>
      </w:r>
      <w:r w:rsidR="004A47CB" w:rsidRPr="0090438F">
        <w:rPr>
          <w:rFonts w:ascii="Calibri" w:hAnsi="Calibri" w:cs="Arial"/>
          <w:color w:val="000000" w:themeColor="text1"/>
        </w:rPr>
        <w:t xml:space="preserve">sustained </w:t>
      </w:r>
      <w:r w:rsidRPr="0090438F">
        <w:rPr>
          <w:rFonts w:ascii="Calibri" w:hAnsi="Calibri" w:cs="Arial"/>
          <w:color w:val="000000" w:themeColor="text1"/>
        </w:rPr>
        <w:t xml:space="preserve">involvement of Iraq’s active civil society sector, especially women’s organizations. However, as in the DRC, the actions of civil society </w:t>
      </w:r>
      <w:r w:rsidR="00C67173" w:rsidRPr="0090438F">
        <w:rPr>
          <w:rFonts w:ascii="Calibri" w:hAnsi="Calibri" w:cs="Arial"/>
          <w:color w:val="000000" w:themeColor="text1"/>
        </w:rPr>
        <w:t xml:space="preserve">and the UN </w:t>
      </w:r>
      <w:r w:rsidRPr="0090438F">
        <w:rPr>
          <w:rFonts w:ascii="Calibri" w:hAnsi="Calibri" w:cs="Arial"/>
          <w:color w:val="000000" w:themeColor="text1"/>
        </w:rPr>
        <w:t>should supplement, and not replace</w:t>
      </w:r>
      <w:r w:rsidR="004A47CB" w:rsidRPr="0090438F">
        <w:rPr>
          <w:rFonts w:ascii="Calibri" w:hAnsi="Calibri" w:cs="Arial"/>
          <w:color w:val="000000" w:themeColor="text1"/>
        </w:rPr>
        <w:t>,</w:t>
      </w:r>
      <w:r w:rsidRPr="0090438F">
        <w:rPr>
          <w:rFonts w:ascii="Calibri" w:hAnsi="Calibri" w:cs="Arial"/>
          <w:color w:val="000000" w:themeColor="text1"/>
        </w:rPr>
        <w:t xml:space="preserve"> the work of the Iraqi</w:t>
      </w:r>
      <w:r w:rsidR="004A47CB" w:rsidRPr="0090438F">
        <w:rPr>
          <w:rFonts w:ascii="Calibri" w:hAnsi="Calibri" w:cs="Arial"/>
          <w:color w:val="000000" w:themeColor="text1"/>
        </w:rPr>
        <w:t xml:space="preserve"> Government. The </w:t>
      </w:r>
      <w:r w:rsidR="00C67173" w:rsidRPr="0090438F">
        <w:rPr>
          <w:rFonts w:ascii="Calibri" w:hAnsi="Calibri" w:cs="Arial"/>
          <w:color w:val="000000" w:themeColor="text1"/>
        </w:rPr>
        <w:t xml:space="preserve">state </w:t>
      </w:r>
      <w:r w:rsidRPr="0090438F">
        <w:rPr>
          <w:rFonts w:ascii="Calibri" w:hAnsi="Calibri" w:cs="Arial"/>
          <w:color w:val="000000" w:themeColor="text1"/>
        </w:rPr>
        <w:t>retains primary responsibility for implementing the NAP and upholding Iraq’s obligations under the wider legal framework</w:t>
      </w:r>
      <w:r w:rsidR="004A47CB" w:rsidRPr="0090438F">
        <w:rPr>
          <w:rFonts w:ascii="Calibri" w:hAnsi="Calibri" w:cs="Arial"/>
          <w:color w:val="000000" w:themeColor="text1"/>
        </w:rPr>
        <w:t xml:space="preserve"> on women, peace and security. It remains to be seen whether the Taskforce CPA1325 will be able to effectively implement the provisions of the NAP amidst the military campaign presently being waged by ISIL, and the </w:t>
      </w:r>
      <w:r w:rsidR="00C67173" w:rsidRPr="0090438F">
        <w:rPr>
          <w:rFonts w:ascii="Calibri" w:hAnsi="Calibri" w:cs="Arial"/>
          <w:color w:val="000000" w:themeColor="text1"/>
        </w:rPr>
        <w:t>prevailing</w:t>
      </w:r>
      <w:r w:rsidR="004A47CB" w:rsidRPr="0090438F">
        <w:rPr>
          <w:rFonts w:ascii="Calibri" w:hAnsi="Calibri" w:cs="Arial"/>
          <w:color w:val="000000" w:themeColor="text1"/>
        </w:rPr>
        <w:t xml:space="preserve"> insecurity in a country that remains a live conflict zone. </w:t>
      </w:r>
    </w:p>
    <w:p w14:paraId="7D67AF8C" w14:textId="77777777" w:rsidR="003B6A14" w:rsidRPr="0090438F" w:rsidRDefault="003B6A14">
      <w:pPr>
        <w:rPr>
          <w:rFonts w:ascii="Calibri" w:hAnsi="Calibri" w:cs="Arial"/>
          <w:color w:val="000000" w:themeColor="text1"/>
        </w:rPr>
      </w:pPr>
      <w:r w:rsidRPr="0090438F">
        <w:rPr>
          <w:rFonts w:ascii="Calibri" w:hAnsi="Calibri" w:cs="Arial"/>
          <w:color w:val="000000" w:themeColor="text1"/>
        </w:rPr>
        <w:br w:type="page"/>
      </w:r>
    </w:p>
    <w:p w14:paraId="70C68115" w14:textId="4B4237BE" w:rsidR="003330F3" w:rsidRPr="00471761" w:rsidRDefault="003330F3" w:rsidP="003330F3">
      <w:pPr>
        <w:pStyle w:val="Heading3"/>
        <w:keepLines/>
        <w:spacing w:before="20" w:after="0"/>
        <w:jc w:val="center"/>
        <w:rPr>
          <w:b w:val="0"/>
          <w:color w:val="1F497D" w:themeColor="text2"/>
          <w:spacing w:val="14"/>
          <w:sz w:val="32"/>
          <w:szCs w:val="32"/>
          <w:lang w:val="en-GB"/>
        </w:rPr>
      </w:pPr>
      <w:bookmarkStart w:id="21" w:name="_Toc416867099"/>
      <w:r>
        <w:rPr>
          <w:b w:val="0"/>
          <w:color w:val="1F497D" w:themeColor="text2"/>
          <w:spacing w:val="14"/>
          <w:sz w:val="32"/>
          <w:szCs w:val="32"/>
          <w:lang w:val="en-GB"/>
        </w:rPr>
        <w:lastRenderedPageBreak/>
        <w:t>SECTION 2 CONCLUSIONS AND RECOMMENDATIONS</w:t>
      </w:r>
      <w:bookmarkEnd w:id="21"/>
    </w:p>
    <w:p w14:paraId="1639227F" w14:textId="77777777" w:rsidR="003B6A14" w:rsidRDefault="003B6A14" w:rsidP="003B6A14"/>
    <w:p w14:paraId="28ED1025" w14:textId="5638EE47" w:rsidR="003B6A14" w:rsidRPr="0090438F" w:rsidRDefault="00793F4F" w:rsidP="00EE3EF9">
      <w:pPr>
        <w:spacing w:line="360" w:lineRule="auto"/>
        <w:jc w:val="both"/>
        <w:rPr>
          <w:rFonts w:ascii="Calibri" w:hAnsi="Calibri"/>
        </w:rPr>
      </w:pPr>
      <w:r w:rsidRPr="0090438F">
        <w:rPr>
          <w:rFonts w:ascii="Calibri" w:hAnsi="Calibri"/>
        </w:rPr>
        <w:t xml:space="preserve">Section 2 </w:t>
      </w:r>
      <w:r w:rsidR="003B6A14" w:rsidRPr="0090438F">
        <w:rPr>
          <w:rFonts w:ascii="Calibri" w:hAnsi="Calibri"/>
        </w:rPr>
        <w:t xml:space="preserve">of this submission </w:t>
      </w:r>
      <w:r w:rsidR="003742A9">
        <w:rPr>
          <w:rFonts w:ascii="Calibri" w:hAnsi="Calibri"/>
        </w:rPr>
        <w:t xml:space="preserve">makes the following conclusions and recommendations. </w:t>
      </w:r>
    </w:p>
    <w:p w14:paraId="4E3218F9" w14:textId="77777777" w:rsidR="00265C8E" w:rsidRPr="0090438F" w:rsidRDefault="00265C8E" w:rsidP="003B6A14">
      <w:pPr>
        <w:rPr>
          <w:rFonts w:ascii="Calibri" w:hAnsi="Calibri"/>
        </w:rPr>
      </w:pPr>
    </w:p>
    <w:p w14:paraId="7B88A8A4" w14:textId="79467461" w:rsidR="00E03D99" w:rsidRPr="0090438F" w:rsidRDefault="00C152BC" w:rsidP="00EE3EF9">
      <w:pPr>
        <w:spacing w:line="360" w:lineRule="auto"/>
        <w:jc w:val="both"/>
        <w:rPr>
          <w:rFonts w:ascii="Calibri" w:hAnsi="Calibri"/>
        </w:rPr>
      </w:pPr>
      <w:r w:rsidRPr="0090438F">
        <w:rPr>
          <w:rFonts w:ascii="Calibri" w:hAnsi="Calibri"/>
        </w:rPr>
        <w:t>The diverse country case studies showcase the NAP process, from design to implementation an</w:t>
      </w:r>
      <w:r w:rsidR="00690142" w:rsidRPr="0090438F">
        <w:rPr>
          <w:rFonts w:ascii="Calibri" w:hAnsi="Calibri"/>
        </w:rPr>
        <w:t>d monitoring and evaluation (and</w:t>
      </w:r>
      <w:r w:rsidR="003C10BB" w:rsidRPr="0090438F">
        <w:rPr>
          <w:rFonts w:ascii="Calibri" w:hAnsi="Calibri"/>
        </w:rPr>
        <w:t>, for BiH and Chile,</w:t>
      </w:r>
      <w:r w:rsidRPr="0090438F">
        <w:rPr>
          <w:rFonts w:ascii="Calibri" w:hAnsi="Calibri"/>
        </w:rPr>
        <w:t xml:space="preserve"> creating new NAPs from lesson</w:t>
      </w:r>
      <w:r w:rsidR="003C10BB" w:rsidRPr="0090438F">
        <w:rPr>
          <w:rFonts w:ascii="Calibri" w:hAnsi="Calibri"/>
        </w:rPr>
        <w:t>s learned</w:t>
      </w:r>
      <w:r w:rsidR="00690142" w:rsidRPr="0090438F">
        <w:rPr>
          <w:rFonts w:ascii="Calibri" w:hAnsi="Calibri"/>
        </w:rPr>
        <w:t>)</w:t>
      </w:r>
      <w:r w:rsidRPr="0090438F">
        <w:rPr>
          <w:rFonts w:ascii="Calibri" w:hAnsi="Calibri"/>
        </w:rPr>
        <w:t xml:space="preserve">. The case studies also consider the success factors that make for an effective NAP process, </w:t>
      </w:r>
      <w:r w:rsidR="00E03D99" w:rsidRPr="0090438F">
        <w:rPr>
          <w:rFonts w:ascii="Calibri" w:hAnsi="Calibri"/>
        </w:rPr>
        <w:t xml:space="preserve">such as </w:t>
      </w:r>
      <w:r w:rsidR="00E03D99" w:rsidRPr="0090438F">
        <w:rPr>
          <w:rFonts w:ascii="Calibri" w:hAnsi="Calibri"/>
          <w:b/>
          <w:color w:val="4F81BD" w:themeColor="accent1"/>
        </w:rPr>
        <w:t>capacity-building for women’s political participation</w:t>
      </w:r>
      <w:r w:rsidR="00E03D99" w:rsidRPr="0090438F">
        <w:rPr>
          <w:rFonts w:ascii="Calibri" w:hAnsi="Calibri"/>
          <w:color w:val="4F81BD" w:themeColor="accent1"/>
        </w:rPr>
        <w:t xml:space="preserve"> </w:t>
      </w:r>
      <w:r w:rsidR="00E03D99" w:rsidRPr="0090438F">
        <w:rPr>
          <w:rFonts w:ascii="Calibri" w:hAnsi="Calibri"/>
        </w:rPr>
        <w:t xml:space="preserve">in </w:t>
      </w:r>
      <w:r w:rsidR="00690142" w:rsidRPr="0090438F">
        <w:rPr>
          <w:rFonts w:ascii="Calibri" w:hAnsi="Calibri"/>
        </w:rPr>
        <w:t xml:space="preserve">creating and enforcing </w:t>
      </w:r>
      <w:r w:rsidR="00E03D99" w:rsidRPr="0090438F">
        <w:rPr>
          <w:rFonts w:ascii="Calibri" w:hAnsi="Calibri"/>
        </w:rPr>
        <w:t xml:space="preserve">a NAP, as in Nepal. In Myanmar, the journey towards a NAP has been strengthened by the adoption of a </w:t>
      </w:r>
      <w:r w:rsidR="00E03D99" w:rsidRPr="0090438F">
        <w:rPr>
          <w:rFonts w:ascii="Calibri" w:hAnsi="Calibri"/>
          <w:b/>
          <w:color w:val="4F81BD" w:themeColor="accent1"/>
        </w:rPr>
        <w:t>comprehensive strategy to advance women’s rights</w:t>
      </w:r>
      <w:r w:rsidR="00E03D99" w:rsidRPr="0090438F">
        <w:rPr>
          <w:rFonts w:ascii="Calibri" w:hAnsi="Calibri"/>
        </w:rPr>
        <w:t xml:space="preserve">, as well as innovative work by a </w:t>
      </w:r>
      <w:r w:rsidR="00E03D99" w:rsidRPr="0090438F">
        <w:rPr>
          <w:rFonts w:ascii="Calibri" w:hAnsi="Calibri"/>
          <w:b/>
          <w:color w:val="4F81BD" w:themeColor="accent1"/>
        </w:rPr>
        <w:t>dynamic civil society sector</w:t>
      </w:r>
      <w:r w:rsidR="00E03D99" w:rsidRPr="0090438F">
        <w:rPr>
          <w:rFonts w:ascii="Calibri" w:hAnsi="Calibri"/>
        </w:rPr>
        <w:t xml:space="preserve">. All countries in the case studies face </w:t>
      </w:r>
      <w:r w:rsidRPr="0090438F">
        <w:rPr>
          <w:rFonts w:ascii="Calibri" w:hAnsi="Calibri"/>
        </w:rPr>
        <w:t>obstacles to fully implementing not only SCR 1325, but also the broader legal framework on women, peace and security.</w:t>
      </w:r>
      <w:r w:rsidR="00E03D99" w:rsidRPr="0090438F">
        <w:rPr>
          <w:rFonts w:ascii="Calibri" w:hAnsi="Calibri"/>
        </w:rPr>
        <w:t xml:space="preserve"> Most notably, </w:t>
      </w:r>
      <w:r w:rsidR="00690142" w:rsidRPr="0090438F">
        <w:rPr>
          <w:rFonts w:ascii="Calibri" w:hAnsi="Calibri"/>
        </w:rPr>
        <w:t xml:space="preserve">BiH, </w:t>
      </w:r>
      <w:r w:rsidR="00E03D99" w:rsidRPr="0090438F">
        <w:rPr>
          <w:rFonts w:ascii="Calibri" w:hAnsi="Calibri"/>
        </w:rPr>
        <w:t>the DRC and Iraq must address the ongoing effects of conflict and instability to make meaningful gains on gender equality.</w:t>
      </w:r>
    </w:p>
    <w:p w14:paraId="103F75CC" w14:textId="77777777" w:rsidR="00E03D99" w:rsidRPr="0090438F" w:rsidRDefault="00E03D99" w:rsidP="00C152BC">
      <w:pPr>
        <w:jc w:val="both"/>
        <w:rPr>
          <w:rFonts w:ascii="Calibri" w:hAnsi="Calibri"/>
        </w:rPr>
      </w:pPr>
    </w:p>
    <w:p w14:paraId="72F4EE5B" w14:textId="593D0D6E" w:rsidR="00265C8E" w:rsidRPr="0090438F" w:rsidRDefault="00C152BC" w:rsidP="00A7184C">
      <w:pPr>
        <w:spacing w:line="360" w:lineRule="auto"/>
        <w:jc w:val="both"/>
        <w:rPr>
          <w:rFonts w:ascii="Calibri" w:hAnsi="Calibri"/>
        </w:rPr>
      </w:pPr>
      <w:r w:rsidRPr="0090438F">
        <w:rPr>
          <w:rFonts w:ascii="Calibri" w:hAnsi="Calibri"/>
        </w:rPr>
        <w:t xml:space="preserve">A useful starting point is the </w:t>
      </w:r>
      <w:r w:rsidR="0028281F" w:rsidRPr="0090438F">
        <w:rPr>
          <w:rFonts w:ascii="Calibri" w:hAnsi="Calibri"/>
        </w:rPr>
        <w:t xml:space="preserve">support for </w:t>
      </w:r>
      <w:r w:rsidR="00C36CB6" w:rsidRPr="0090438F">
        <w:rPr>
          <w:rFonts w:ascii="Calibri" w:hAnsi="Calibri"/>
          <w:b/>
          <w:color w:val="4F81BD" w:themeColor="accent1"/>
        </w:rPr>
        <w:t>women and girls’ meaningful participation</w:t>
      </w:r>
      <w:r w:rsidR="00F01CF0" w:rsidRPr="0090438F">
        <w:rPr>
          <w:rFonts w:ascii="Calibri" w:hAnsi="Calibri"/>
          <w:b/>
          <w:color w:val="4F81BD" w:themeColor="accent1"/>
        </w:rPr>
        <w:t xml:space="preserve"> and inclusion</w:t>
      </w:r>
      <w:r w:rsidR="00C36CB6" w:rsidRPr="0090438F">
        <w:rPr>
          <w:rFonts w:ascii="Calibri" w:hAnsi="Calibri"/>
        </w:rPr>
        <w:t xml:space="preserve"> in designing and implementing NAPs, together with a whole-of-government approach that involves political leaders, legislators, policy-makers and officials at all levels of government, and across ministries and agencies.</w:t>
      </w:r>
      <w:r w:rsidR="00E03D99" w:rsidRPr="0090438F">
        <w:rPr>
          <w:rFonts w:ascii="Calibri" w:hAnsi="Calibri"/>
        </w:rPr>
        <w:t xml:space="preserve"> Governments retain primary respo</w:t>
      </w:r>
      <w:r w:rsidR="005E4AD1" w:rsidRPr="0090438F">
        <w:rPr>
          <w:rFonts w:ascii="Calibri" w:hAnsi="Calibri"/>
        </w:rPr>
        <w:t xml:space="preserve">nsibility for implementing NAPs. Women’s ministries, </w:t>
      </w:r>
      <w:r w:rsidR="00E03D99" w:rsidRPr="0090438F">
        <w:rPr>
          <w:rFonts w:ascii="Calibri" w:hAnsi="Calibri"/>
        </w:rPr>
        <w:t xml:space="preserve">national women’s </w:t>
      </w:r>
      <w:r w:rsidR="005E4AD1" w:rsidRPr="0090438F">
        <w:rPr>
          <w:rFonts w:ascii="Calibri" w:hAnsi="Calibri"/>
        </w:rPr>
        <w:t>machineries, and women leaders must lead implementation, supported by the highest levels of government.</w:t>
      </w:r>
      <w:r w:rsidR="00E03D99" w:rsidRPr="0090438F">
        <w:rPr>
          <w:rFonts w:ascii="Calibri" w:hAnsi="Calibri"/>
        </w:rPr>
        <w:t xml:space="preserve"> </w:t>
      </w:r>
      <w:r w:rsidR="005E4AD1" w:rsidRPr="0090438F">
        <w:rPr>
          <w:rFonts w:ascii="Calibri" w:hAnsi="Calibri"/>
        </w:rPr>
        <w:t>The NAP process must take</w:t>
      </w:r>
      <w:r w:rsidR="00E03D99" w:rsidRPr="0090438F">
        <w:rPr>
          <w:rFonts w:ascii="Calibri" w:hAnsi="Calibri"/>
        </w:rPr>
        <w:t xml:space="preserve"> a </w:t>
      </w:r>
      <w:r w:rsidR="00E03D99" w:rsidRPr="0090438F">
        <w:rPr>
          <w:rFonts w:ascii="Calibri" w:hAnsi="Calibri"/>
          <w:b/>
          <w:color w:val="4F81BD" w:themeColor="accent1"/>
        </w:rPr>
        <w:t>holistic, multi-stakeholder and multi-sectoral approach</w:t>
      </w:r>
      <w:r w:rsidR="00E03D99" w:rsidRPr="0090438F">
        <w:rPr>
          <w:rFonts w:ascii="Calibri" w:hAnsi="Calibri"/>
        </w:rPr>
        <w:t xml:space="preserve">. However, governments are not working alone, and the </w:t>
      </w:r>
      <w:r w:rsidR="00E03D99" w:rsidRPr="0090438F">
        <w:rPr>
          <w:rFonts w:ascii="Calibri" w:hAnsi="Calibri"/>
          <w:b/>
          <w:color w:val="4F81BD" w:themeColor="accent1"/>
        </w:rPr>
        <w:t>contributions of civil society must be both recognised and supported</w:t>
      </w:r>
      <w:r w:rsidR="00E03D99" w:rsidRPr="0090438F">
        <w:rPr>
          <w:rFonts w:ascii="Calibri" w:hAnsi="Calibri"/>
        </w:rPr>
        <w:t xml:space="preserve">, via adequate financial and human resources to facilitate their </w:t>
      </w:r>
      <w:r w:rsidR="005E4AD1" w:rsidRPr="0090438F">
        <w:rPr>
          <w:rFonts w:ascii="Calibri" w:hAnsi="Calibri"/>
        </w:rPr>
        <w:t>role i</w:t>
      </w:r>
      <w:r w:rsidR="00E03D99" w:rsidRPr="0090438F">
        <w:rPr>
          <w:rFonts w:ascii="Calibri" w:hAnsi="Calibri"/>
        </w:rPr>
        <w:t xml:space="preserve">n decision-making processes at all levels. </w:t>
      </w:r>
      <w:r w:rsidR="00C36CB6" w:rsidRPr="0090438F">
        <w:rPr>
          <w:rFonts w:ascii="Calibri" w:hAnsi="Calibri"/>
        </w:rPr>
        <w:t xml:space="preserve"> </w:t>
      </w:r>
      <w:r w:rsidRPr="0090438F">
        <w:rPr>
          <w:rFonts w:ascii="Calibri" w:hAnsi="Calibri"/>
        </w:rPr>
        <w:t xml:space="preserve">  </w:t>
      </w:r>
    </w:p>
    <w:p w14:paraId="77752AA3" w14:textId="77777777" w:rsidR="00793F4F" w:rsidRPr="0090438F" w:rsidRDefault="00793F4F" w:rsidP="003B6A14">
      <w:pPr>
        <w:rPr>
          <w:rFonts w:ascii="Calibri" w:hAnsi="Calibri"/>
        </w:rPr>
      </w:pPr>
    </w:p>
    <w:p w14:paraId="4487E81B" w14:textId="77777777" w:rsidR="005E4AD1" w:rsidRPr="0090438F" w:rsidRDefault="005E4AD1" w:rsidP="00B00BCE">
      <w:pPr>
        <w:pStyle w:val="ListParagraph"/>
        <w:spacing w:after="180"/>
        <w:ind w:left="0"/>
        <w:jc w:val="both"/>
        <w:rPr>
          <w:rFonts w:ascii="Calibri" w:eastAsiaTheme="minorHAnsi" w:hAnsi="Calibri" w:cs="Times New Roman"/>
          <w:b/>
          <w:color w:val="1F497D" w:themeColor="text2"/>
          <w:u w:val="single"/>
        </w:rPr>
      </w:pPr>
      <w:r w:rsidRPr="0090438F">
        <w:rPr>
          <w:rFonts w:ascii="Calibri" w:eastAsiaTheme="minorHAnsi" w:hAnsi="Calibri" w:cs="Times New Roman"/>
          <w:b/>
          <w:color w:val="1F497D" w:themeColor="text2"/>
          <w:u w:val="single"/>
        </w:rPr>
        <w:t xml:space="preserve">Recommendation 2: Implement SCR 1325 and the legal framework by increasing women and girls’ meaningful participation and inclusion in the National Action Plan (NAP) process (design, implementation, monitoring and evaluation) </w:t>
      </w:r>
    </w:p>
    <w:p w14:paraId="2CE02E19" w14:textId="77777777" w:rsidR="005E4AD1" w:rsidRPr="0090438F" w:rsidRDefault="005E4AD1" w:rsidP="005E4AD1">
      <w:pPr>
        <w:jc w:val="both"/>
        <w:rPr>
          <w:rFonts w:ascii="Calibri" w:hAnsi="Calibri" w:cs="Times New Roman"/>
        </w:rPr>
      </w:pPr>
    </w:p>
    <w:p w14:paraId="2F554A34" w14:textId="77777777" w:rsidR="005E4AD1" w:rsidRPr="0090438F" w:rsidRDefault="005E4AD1" w:rsidP="00A7184C">
      <w:pPr>
        <w:pStyle w:val="ListParagraph"/>
        <w:numPr>
          <w:ilvl w:val="0"/>
          <w:numId w:val="9"/>
        </w:numPr>
        <w:spacing w:line="360" w:lineRule="auto"/>
        <w:jc w:val="both"/>
        <w:rPr>
          <w:rFonts w:ascii="Calibri" w:hAnsi="Calibri" w:cs="Times New Roman"/>
        </w:rPr>
      </w:pPr>
      <w:r w:rsidRPr="0090438F">
        <w:rPr>
          <w:rFonts w:ascii="Calibri" w:hAnsi="Calibri" w:cs="Times New Roman"/>
        </w:rPr>
        <w:t xml:space="preserve">SCR 1325 National Action Plans (NAPs) must be created with the meaningful participation and inclusion of women and girls and their non-governmental organizations (NGOs) and allies. Women and girls, and their civil society organizations, should be empowered to jointly design, implement, monitor and evaluate NAPs together with governments, development partners, and other stakeholders, including private actors (especially non-state actors involved in post-conflict reconstruction and transitional justice situations). </w:t>
      </w:r>
    </w:p>
    <w:p w14:paraId="760C6D8D" w14:textId="77777777" w:rsidR="005E4AD1" w:rsidRPr="0090438F" w:rsidRDefault="005E4AD1" w:rsidP="005E4AD1">
      <w:pPr>
        <w:pStyle w:val="ListParagraph"/>
        <w:jc w:val="both"/>
        <w:rPr>
          <w:rFonts w:ascii="Calibri" w:hAnsi="Calibri" w:cs="Times New Roman"/>
        </w:rPr>
      </w:pPr>
    </w:p>
    <w:p w14:paraId="55D3B10F" w14:textId="77777777" w:rsidR="005E4AD1" w:rsidRPr="0090438F" w:rsidRDefault="005E4AD1" w:rsidP="00A7184C">
      <w:pPr>
        <w:pStyle w:val="ListParagraph"/>
        <w:spacing w:line="360" w:lineRule="auto"/>
        <w:jc w:val="both"/>
        <w:rPr>
          <w:rFonts w:ascii="Calibri" w:hAnsi="Calibri" w:cs="Times New Roman"/>
        </w:rPr>
      </w:pPr>
      <w:r w:rsidRPr="0090438F">
        <w:rPr>
          <w:rFonts w:ascii="Calibri" w:hAnsi="Calibri" w:cs="Times New Roman"/>
        </w:rPr>
        <w:lastRenderedPageBreak/>
        <w:t xml:space="preserve">An active and engaged civil society plays a key role in ensuring that NAPs are substantively implemented. States must budget for adequate financial and human resources so that the following groups can shape, enforce and continually improve the NAP process: female political leaders, women’s and girls’ organizations, victims and survivors of conflict-related violence, and women, girls, men and boys affected by conflict. </w:t>
      </w:r>
    </w:p>
    <w:p w14:paraId="353C6996" w14:textId="77777777" w:rsidR="005E4AD1" w:rsidRPr="0090438F" w:rsidRDefault="005E4AD1" w:rsidP="005E4AD1">
      <w:pPr>
        <w:jc w:val="both"/>
        <w:rPr>
          <w:rFonts w:ascii="Calibri" w:hAnsi="Calibri" w:cs="Times New Roman"/>
        </w:rPr>
      </w:pPr>
    </w:p>
    <w:p w14:paraId="69AB70DD" w14:textId="77777777" w:rsidR="005E4AD1" w:rsidRPr="0090438F" w:rsidRDefault="005E4AD1" w:rsidP="00B00BCE">
      <w:pPr>
        <w:pStyle w:val="ListParagraph"/>
        <w:spacing w:after="180"/>
        <w:ind w:left="0"/>
        <w:jc w:val="both"/>
        <w:rPr>
          <w:rFonts w:ascii="Calibri" w:eastAsiaTheme="minorHAnsi" w:hAnsi="Calibri" w:cs="Times New Roman"/>
          <w:b/>
          <w:color w:val="1F497D" w:themeColor="text2"/>
          <w:u w:val="single"/>
        </w:rPr>
      </w:pPr>
      <w:r w:rsidRPr="0090438F">
        <w:rPr>
          <w:rFonts w:ascii="Calibri" w:eastAsiaTheme="minorHAnsi" w:hAnsi="Calibri" w:cs="Times New Roman"/>
          <w:b/>
          <w:color w:val="1F497D" w:themeColor="text2"/>
          <w:u w:val="single"/>
        </w:rPr>
        <w:t xml:space="preserve">Recommendation 3: Implement SCR 1325 and the legal framework by ensuring government buy-in at all levels (national, regional, provincial/district and local) and across all of government </w:t>
      </w:r>
    </w:p>
    <w:p w14:paraId="7115B229" w14:textId="77777777" w:rsidR="005E4AD1" w:rsidRPr="0090438F" w:rsidRDefault="005E4AD1" w:rsidP="005E4AD1">
      <w:pPr>
        <w:jc w:val="both"/>
        <w:rPr>
          <w:rFonts w:ascii="Calibri" w:hAnsi="Calibri" w:cs="Times New Roman"/>
          <w:b/>
          <w:i/>
        </w:rPr>
      </w:pPr>
    </w:p>
    <w:p w14:paraId="6860D3F7" w14:textId="77777777" w:rsidR="005E4AD1" w:rsidRPr="0090438F" w:rsidRDefault="005E4AD1" w:rsidP="00A7184C">
      <w:pPr>
        <w:pStyle w:val="ListParagraph"/>
        <w:numPr>
          <w:ilvl w:val="0"/>
          <w:numId w:val="9"/>
        </w:numPr>
        <w:spacing w:line="360" w:lineRule="auto"/>
        <w:jc w:val="both"/>
        <w:rPr>
          <w:rFonts w:ascii="Calibri" w:hAnsi="Calibri" w:cs="Times New Roman"/>
          <w:b/>
          <w:i/>
        </w:rPr>
      </w:pPr>
      <w:r w:rsidRPr="0090438F">
        <w:rPr>
          <w:rFonts w:ascii="Calibri" w:hAnsi="Calibri" w:cs="Times New Roman"/>
        </w:rPr>
        <w:t xml:space="preserve">Government buy-in is essential to creating NAPs via a robust process, and to holding states accountable to their obligations under SCR 1325, the other resolutions on WPS, and the entire legal framework. Key decision-makers should lead the NAP process including legislators, policy-makers and political leaders, especially women, supported by the highest levels of government. The NAP process should involve all levels of government (national, regional, provincial/district and local government, including urban and rural authorities). </w:t>
      </w:r>
    </w:p>
    <w:p w14:paraId="65B09B59" w14:textId="77777777" w:rsidR="005E4AD1" w:rsidRPr="0090438F" w:rsidRDefault="005E4AD1" w:rsidP="005E4AD1">
      <w:pPr>
        <w:pStyle w:val="ListParagraph"/>
        <w:jc w:val="both"/>
        <w:rPr>
          <w:rFonts w:ascii="Calibri" w:hAnsi="Calibri" w:cs="Times New Roman"/>
          <w:b/>
          <w:i/>
        </w:rPr>
      </w:pPr>
    </w:p>
    <w:p w14:paraId="43447F65" w14:textId="77777777" w:rsidR="005E4AD1" w:rsidRPr="0090438F" w:rsidRDefault="005E4AD1" w:rsidP="00A7184C">
      <w:pPr>
        <w:pStyle w:val="ListParagraph"/>
        <w:numPr>
          <w:ilvl w:val="0"/>
          <w:numId w:val="9"/>
        </w:numPr>
        <w:spacing w:line="360" w:lineRule="auto"/>
        <w:jc w:val="both"/>
        <w:rPr>
          <w:rFonts w:ascii="Calibri" w:hAnsi="Calibri" w:cs="Times New Roman"/>
          <w:b/>
          <w:i/>
        </w:rPr>
      </w:pPr>
      <w:r w:rsidRPr="0090438F">
        <w:rPr>
          <w:rFonts w:ascii="Calibri" w:hAnsi="Calibri" w:cs="Times New Roman"/>
        </w:rPr>
        <w:t xml:space="preserve">The NAP process should take a multi-stakeholder, multi-sectoral cross-government approach, and provide adequate financial and human resources to involve the following government bodies: women’s and children’s ministries; national women’s machineries and government bodies dealing with children’s rights e.g. children’s commissions; national human rights institutions; truth and reconciliation commissions and other transitional justice bodies; and ministries and agencies responsible for: justice, security, peace and reconstruction, migration, economic and social development, labour and employment, education, foreign affairs, and all issues relevant to the legal framework.  It should budget for adequate financial and human resources build political will across of all relevant levels of government, especially women leaders. </w:t>
      </w:r>
    </w:p>
    <w:p w14:paraId="35D82C45" w14:textId="77777777" w:rsidR="005E4AD1" w:rsidRDefault="005E4AD1" w:rsidP="005E4AD1">
      <w:pPr>
        <w:jc w:val="both"/>
        <w:rPr>
          <w:rFonts w:ascii="Calibri" w:hAnsi="Calibri" w:cs="Times New Roman"/>
        </w:rPr>
      </w:pPr>
    </w:p>
    <w:p w14:paraId="36697E9E" w14:textId="77777777" w:rsidR="005C68CA" w:rsidRDefault="005C68CA" w:rsidP="005C68CA">
      <w:pPr>
        <w:widowControl w:val="0"/>
        <w:autoSpaceDE w:val="0"/>
        <w:autoSpaceDN w:val="0"/>
        <w:adjustRightInd w:val="0"/>
        <w:jc w:val="both"/>
        <w:rPr>
          <w:rFonts w:ascii="Calibri" w:hAnsi="Calibri" w:cs="Arial"/>
        </w:rPr>
      </w:pPr>
    </w:p>
    <w:p w14:paraId="69353650" w14:textId="77777777" w:rsidR="004E5EBC" w:rsidRDefault="004E5EBC" w:rsidP="004E5EBC">
      <w:pPr>
        <w:widowControl w:val="0"/>
        <w:autoSpaceDE w:val="0"/>
        <w:autoSpaceDN w:val="0"/>
        <w:adjustRightInd w:val="0"/>
        <w:jc w:val="both"/>
        <w:rPr>
          <w:rFonts w:ascii="Calibri" w:hAnsi="Calibri" w:cs="Arial"/>
        </w:rPr>
      </w:pPr>
    </w:p>
    <w:p w14:paraId="397192A6" w14:textId="77777777" w:rsidR="004E5EBC" w:rsidRDefault="004E5EBC" w:rsidP="004E5EBC">
      <w:pPr>
        <w:rPr>
          <w:rFonts w:ascii="Calibri" w:hAnsi="Calibri" w:cs="Arial"/>
        </w:rPr>
      </w:pPr>
      <w:r>
        <w:rPr>
          <w:rFonts w:ascii="Calibri" w:hAnsi="Calibri" w:cs="Arial"/>
        </w:rPr>
        <w:br w:type="page"/>
      </w:r>
    </w:p>
    <w:p w14:paraId="5513C03F" w14:textId="2415CCDC" w:rsidR="004E5EBC" w:rsidRPr="003742A9" w:rsidRDefault="004E5EBC" w:rsidP="0090438F">
      <w:pPr>
        <w:pStyle w:val="Heading1"/>
        <w:keepLines/>
        <w:spacing w:before="360" w:after="0"/>
        <w:jc w:val="center"/>
        <w:rPr>
          <w:color w:val="4F81BD" w:themeColor="accent1"/>
          <w:spacing w:val="20"/>
          <w:kern w:val="0"/>
          <w:szCs w:val="28"/>
          <w:lang w:val="en-GB"/>
        </w:rPr>
      </w:pPr>
      <w:bookmarkStart w:id="22" w:name="_Toc416867100"/>
      <w:r w:rsidRPr="003742A9">
        <w:rPr>
          <w:color w:val="4F81BD" w:themeColor="accent1"/>
          <w:spacing w:val="20"/>
          <w:kern w:val="0"/>
          <w:szCs w:val="28"/>
          <w:lang w:val="en-GB"/>
        </w:rPr>
        <w:lastRenderedPageBreak/>
        <w:t xml:space="preserve">SECTION 3: </w:t>
      </w:r>
      <w:r w:rsidR="00B66B32" w:rsidRPr="003742A9">
        <w:rPr>
          <w:color w:val="4F81BD" w:themeColor="accent1"/>
          <w:spacing w:val="20"/>
          <w:kern w:val="0"/>
          <w:szCs w:val="28"/>
          <w:lang w:val="en-GB"/>
        </w:rPr>
        <w:t xml:space="preserve">RE-ENVISIONING </w:t>
      </w:r>
      <w:r w:rsidRPr="003742A9">
        <w:rPr>
          <w:color w:val="4F81BD" w:themeColor="accent1"/>
          <w:spacing w:val="20"/>
          <w:kern w:val="0"/>
          <w:szCs w:val="28"/>
          <w:lang w:val="en-GB"/>
        </w:rPr>
        <w:t xml:space="preserve">REMEDIES – </w:t>
      </w:r>
      <w:r w:rsidR="00EF479B" w:rsidRPr="003742A9">
        <w:rPr>
          <w:color w:val="4F81BD" w:themeColor="accent1"/>
          <w:spacing w:val="20"/>
          <w:kern w:val="0"/>
          <w:szCs w:val="28"/>
          <w:lang w:val="en-GB"/>
        </w:rPr>
        <w:t xml:space="preserve">IMPROVING </w:t>
      </w:r>
      <w:r w:rsidR="00B66B32" w:rsidRPr="003742A9">
        <w:rPr>
          <w:color w:val="4F81BD" w:themeColor="accent1"/>
          <w:spacing w:val="20"/>
          <w:kern w:val="0"/>
          <w:szCs w:val="28"/>
          <w:lang w:val="en-GB"/>
        </w:rPr>
        <w:t xml:space="preserve">EXISTING UN </w:t>
      </w:r>
      <w:r w:rsidR="00616F81" w:rsidRPr="003742A9">
        <w:rPr>
          <w:color w:val="4F81BD" w:themeColor="accent1"/>
          <w:spacing w:val="20"/>
          <w:kern w:val="0"/>
          <w:szCs w:val="28"/>
          <w:lang w:val="en-GB"/>
        </w:rPr>
        <w:t xml:space="preserve">MONITORING AND ACCOUNTABILITY </w:t>
      </w:r>
      <w:r w:rsidR="00194BCA" w:rsidRPr="003742A9">
        <w:rPr>
          <w:color w:val="4F81BD" w:themeColor="accent1"/>
          <w:spacing w:val="20"/>
          <w:kern w:val="0"/>
          <w:szCs w:val="28"/>
          <w:lang w:val="en-GB"/>
        </w:rPr>
        <w:t>PROCESSES</w:t>
      </w:r>
      <w:r w:rsidR="00765944" w:rsidRPr="003742A9">
        <w:rPr>
          <w:color w:val="4F81BD" w:themeColor="accent1"/>
          <w:spacing w:val="20"/>
          <w:kern w:val="0"/>
          <w:szCs w:val="28"/>
          <w:lang w:val="en-GB"/>
        </w:rPr>
        <w:t xml:space="preserve"> </w:t>
      </w:r>
      <w:r w:rsidRPr="003742A9">
        <w:rPr>
          <w:color w:val="4F81BD" w:themeColor="accent1"/>
          <w:spacing w:val="20"/>
          <w:kern w:val="0"/>
          <w:szCs w:val="28"/>
          <w:lang w:val="en-GB"/>
        </w:rPr>
        <w:t xml:space="preserve">AND </w:t>
      </w:r>
      <w:r w:rsidR="00616F81" w:rsidRPr="003742A9">
        <w:rPr>
          <w:color w:val="4F81BD" w:themeColor="accent1"/>
          <w:spacing w:val="20"/>
          <w:kern w:val="0"/>
          <w:szCs w:val="28"/>
          <w:lang w:val="en-GB"/>
        </w:rPr>
        <w:t xml:space="preserve">PROVIDING </w:t>
      </w:r>
      <w:r w:rsidR="00B66B32" w:rsidRPr="003742A9">
        <w:rPr>
          <w:color w:val="4F81BD" w:themeColor="accent1"/>
          <w:spacing w:val="20"/>
          <w:kern w:val="0"/>
          <w:szCs w:val="28"/>
          <w:lang w:val="en-GB"/>
        </w:rPr>
        <w:t>TRANSFORMATIVE REMEDIES</w:t>
      </w:r>
      <w:bookmarkEnd w:id="22"/>
    </w:p>
    <w:p w14:paraId="7A8189AD" w14:textId="5DF4C1A1" w:rsidR="001F7E33" w:rsidRPr="0090438F" w:rsidRDefault="00ED0533" w:rsidP="00A7184C">
      <w:pPr>
        <w:spacing w:before="100" w:beforeAutospacing="1" w:after="100" w:afterAutospacing="1" w:line="360" w:lineRule="auto"/>
        <w:jc w:val="both"/>
        <w:rPr>
          <w:rFonts w:ascii="Calibri" w:hAnsi="Calibri"/>
        </w:rPr>
      </w:pPr>
      <w:r w:rsidRPr="0090438F">
        <w:rPr>
          <w:rFonts w:ascii="Calibri" w:hAnsi="Calibri"/>
        </w:rPr>
        <w:t xml:space="preserve">Section 3 </w:t>
      </w:r>
      <w:r w:rsidR="00DB6A68" w:rsidRPr="0090438F">
        <w:rPr>
          <w:rFonts w:ascii="Calibri" w:hAnsi="Calibri"/>
        </w:rPr>
        <w:t xml:space="preserve">of this submission considers the </w:t>
      </w:r>
      <w:r w:rsidR="00DB6A68" w:rsidRPr="0090438F">
        <w:rPr>
          <w:rFonts w:ascii="Calibri" w:hAnsi="Calibri"/>
          <w:b/>
          <w:color w:val="4F81BD" w:themeColor="accent1"/>
        </w:rPr>
        <w:t>monitoring and accountability processes</w:t>
      </w:r>
      <w:r w:rsidR="00CA5BBE" w:rsidRPr="0090438F">
        <w:rPr>
          <w:rFonts w:ascii="Calibri" w:hAnsi="Calibri"/>
        </w:rPr>
        <w:t xml:space="preserve">, and </w:t>
      </w:r>
      <w:r w:rsidR="00CA5BBE" w:rsidRPr="0090438F">
        <w:rPr>
          <w:rFonts w:ascii="Calibri" w:hAnsi="Calibri"/>
          <w:b/>
          <w:color w:val="4F81BD" w:themeColor="accent1"/>
        </w:rPr>
        <w:t>avenues for remedies</w:t>
      </w:r>
      <w:r w:rsidR="00CA5BBE" w:rsidRPr="0090438F">
        <w:rPr>
          <w:rFonts w:ascii="Calibri" w:hAnsi="Calibri"/>
        </w:rPr>
        <w:t xml:space="preserve">, </w:t>
      </w:r>
      <w:r w:rsidR="00DF056B" w:rsidRPr="0090438F">
        <w:rPr>
          <w:rFonts w:ascii="Calibri" w:hAnsi="Calibri"/>
        </w:rPr>
        <w:t xml:space="preserve">relevant to </w:t>
      </w:r>
      <w:r w:rsidR="008D2530" w:rsidRPr="0090438F">
        <w:rPr>
          <w:rFonts w:ascii="Calibri" w:hAnsi="Calibri"/>
        </w:rPr>
        <w:t>Security Council Resolution 1325 (SCR 1325)</w:t>
      </w:r>
      <w:r w:rsidR="008D2530" w:rsidRPr="0090438F">
        <w:rPr>
          <w:rStyle w:val="FootnoteReference"/>
          <w:rFonts w:ascii="Calibri" w:hAnsi="Calibri"/>
        </w:rPr>
        <w:footnoteReference w:id="256"/>
      </w:r>
      <w:r w:rsidR="008D2530" w:rsidRPr="0090438F">
        <w:rPr>
          <w:rFonts w:ascii="Calibri" w:hAnsi="Calibri"/>
        </w:rPr>
        <w:t xml:space="preserve"> and </w:t>
      </w:r>
      <w:r w:rsidR="00DF056B" w:rsidRPr="0090438F">
        <w:rPr>
          <w:rFonts w:ascii="Calibri" w:hAnsi="Calibri"/>
        </w:rPr>
        <w:t>t</w:t>
      </w:r>
      <w:r w:rsidR="00DB6A68" w:rsidRPr="0090438F">
        <w:rPr>
          <w:rFonts w:ascii="Calibri" w:hAnsi="Calibri"/>
        </w:rPr>
        <w:t xml:space="preserve">he legal framework on women, peace and security (WPS) </w:t>
      </w:r>
      <w:r w:rsidR="00CA5BBE" w:rsidRPr="0090438F">
        <w:rPr>
          <w:rFonts w:ascii="Calibri" w:hAnsi="Calibri"/>
        </w:rPr>
        <w:t>outlined</w:t>
      </w:r>
      <w:r w:rsidR="00DB6A68" w:rsidRPr="0090438F">
        <w:rPr>
          <w:rFonts w:ascii="Calibri" w:hAnsi="Calibri"/>
        </w:rPr>
        <w:t xml:space="preserve"> in Section 1. </w:t>
      </w:r>
      <w:r w:rsidR="00DF056B" w:rsidRPr="0090438F">
        <w:rPr>
          <w:rFonts w:ascii="Calibri" w:hAnsi="Calibri"/>
        </w:rPr>
        <w:t xml:space="preserve">The current patchwork of </w:t>
      </w:r>
      <w:r w:rsidR="007D3ED3" w:rsidRPr="0090438F">
        <w:rPr>
          <w:rFonts w:ascii="Calibri" w:hAnsi="Calibri"/>
        </w:rPr>
        <w:t>processes</w:t>
      </w:r>
      <w:r w:rsidR="00DF056B" w:rsidRPr="0090438F">
        <w:rPr>
          <w:rFonts w:ascii="Calibri" w:hAnsi="Calibri"/>
        </w:rPr>
        <w:t xml:space="preserve"> at the United Nations (UN) to monitor states’ progress on achieving their obligations under the legal framework is fragmented</w:t>
      </w:r>
      <w:r w:rsidR="00175F42" w:rsidRPr="0090438F">
        <w:rPr>
          <w:rFonts w:ascii="Calibri" w:hAnsi="Calibri"/>
        </w:rPr>
        <w:t xml:space="preserve">, </w:t>
      </w:r>
      <w:r w:rsidR="00A072CA" w:rsidRPr="0090438F">
        <w:rPr>
          <w:rFonts w:ascii="Calibri" w:hAnsi="Calibri"/>
        </w:rPr>
        <w:t>with inadequate f</w:t>
      </w:r>
      <w:r w:rsidR="00DF056B" w:rsidRPr="0090438F">
        <w:rPr>
          <w:rFonts w:ascii="Calibri" w:hAnsi="Calibri"/>
        </w:rPr>
        <w:t xml:space="preserve">inancial and human resources. </w:t>
      </w:r>
      <w:r w:rsidR="001F7E33" w:rsidRPr="0090438F">
        <w:rPr>
          <w:rFonts w:ascii="Calibri" w:hAnsi="Calibri"/>
        </w:rPr>
        <w:t xml:space="preserve">The fragmentation and lack of resourcing for these processes must be addressed, to </w:t>
      </w:r>
      <w:r w:rsidR="00616F81" w:rsidRPr="0090438F">
        <w:rPr>
          <w:rFonts w:ascii="Calibri" w:hAnsi="Calibri"/>
        </w:rPr>
        <w:t>enable access for</w:t>
      </w:r>
      <w:r w:rsidR="001F7E33" w:rsidRPr="0090438F">
        <w:rPr>
          <w:rFonts w:ascii="Calibri" w:hAnsi="Calibri"/>
        </w:rPr>
        <w:t xml:space="preserve"> women and girls’ to </w:t>
      </w:r>
      <w:r w:rsidR="007D3ED3" w:rsidRPr="0090438F">
        <w:rPr>
          <w:rFonts w:ascii="Calibri" w:hAnsi="Calibri"/>
        </w:rPr>
        <w:t xml:space="preserve">hold states accountable to </w:t>
      </w:r>
      <w:r w:rsidR="00370DC0" w:rsidRPr="0090438F">
        <w:rPr>
          <w:rFonts w:ascii="Calibri" w:hAnsi="Calibri"/>
        </w:rPr>
        <w:t xml:space="preserve">their commitments under the legal framework, and </w:t>
      </w:r>
      <w:r w:rsidR="007D3ED3" w:rsidRPr="0090438F">
        <w:rPr>
          <w:rFonts w:ascii="Calibri" w:hAnsi="Calibri"/>
        </w:rPr>
        <w:t>to end impunity for all</w:t>
      </w:r>
      <w:r w:rsidR="00370DC0" w:rsidRPr="0090438F">
        <w:rPr>
          <w:rFonts w:ascii="Calibri" w:hAnsi="Calibri"/>
        </w:rPr>
        <w:t xml:space="preserve"> </w:t>
      </w:r>
      <w:r w:rsidR="003741BB" w:rsidRPr="0090438F">
        <w:rPr>
          <w:rFonts w:ascii="Calibri" w:hAnsi="Calibri"/>
        </w:rPr>
        <w:t>those</w:t>
      </w:r>
      <w:r w:rsidR="00370DC0" w:rsidRPr="0090438F">
        <w:rPr>
          <w:rFonts w:ascii="Calibri" w:hAnsi="Calibri"/>
        </w:rPr>
        <w:t xml:space="preserve"> </w:t>
      </w:r>
      <w:r w:rsidR="007D3ED3" w:rsidRPr="0090438F">
        <w:rPr>
          <w:rFonts w:ascii="Calibri" w:hAnsi="Calibri"/>
        </w:rPr>
        <w:t>responsible for rights violations</w:t>
      </w:r>
      <w:r w:rsidR="001F7E33" w:rsidRPr="0090438F">
        <w:rPr>
          <w:rFonts w:ascii="Calibri" w:hAnsi="Calibri"/>
        </w:rPr>
        <w:t xml:space="preserve">. </w:t>
      </w:r>
      <w:r w:rsidR="003829A3" w:rsidRPr="0090438F">
        <w:rPr>
          <w:rFonts w:ascii="Calibri" w:hAnsi="Calibri"/>
        </w:rPr>
        <w:t>R</w:t>
      </w:r>
      <w:r w:rsidR="00175F42" w:rsidRPr="0090438F">
        <w:rPr>
          <w:rFonts w:ascii="Calibri" w:hAnsi="Calibri"/>
        </w:rPr>
        <w:t xml:space="preserve">emedies at the UN and elsewhere are also considered, </w:t>
      </w:r>
      <w:r w:rsidR="00370DC0" w:rsidRPr="0090438F">
        <w:rPr>
          <w:rFonts w:ascii="Calibri" w:hAnsi="Calibri"/>
        </w:rPr>
        <w:t xml:space="preserve">in light of the legal framework’s </w:t>
      </w:r>
      <w:r w:rsidR="00616F81" w:rsidRPr="0090438F">
        <w:rPr>
          <w:rFonts w:ascii="Calibri" w:hAnsi="Calibri"/>
        </w:rPr>
        <w:t>guarantee</w:t>
      </w:r>
      <w:r w:rsidR="003741BB" w:rsidRPr="0090438F">
        <w:rPr>
          <w:rFonts w:ascii="Calibri" w:hAnsi="Calibri"/>
        </w:rPr>
        <w:t xml:space="preserve"> of substantive and</w:t>
      </w:r>
      <w:r w:rsidR="005E76A5" w:rsidRPr="0090438F">
        <w:rPr>
          <w:rFonts w:ascii="Calibri" w:hAnsi="Calibri"/>
        </w:rPr>
        <w:t xml:space="preserve"> transformative equality, especially under the Convention on the Elimination of All Forms of Discrimination Against Women 1979 (CEDAW)</w:t>
      </w:r>
      <w:r w:rsidR="008D2530" w:rsidRPr="0090438F">
        <w:rPr>
          <w:rStyle w:val="FootnoteReference"/>
          <w:rFonts w:ascii="Calibri" w:hAnsi="Calibri"/>
        </w:rPr>
        <w:footnoteReference w:id="257"/>
      </w:r>
      <w:r w:rsidR="005E76A5" w:rsidRPr="0090438F">
        <w:rPr>
          <w:rFonts w:ascii="Calibri" w:hAnsi="Calibri"/>
        </w:rPr>
        <w:t xml:space="preserve"> </w:t>
      </w:r>
      <w:r w:rsidR="00BD3456" w:rsidRPr="0090438F">
        <w:rPr>
          <w:rFonts w:ascii="Calibri" w:hAnsi="Calibri"/>
        </w:rPr>
        <w:t xml:space="preserve">and its General Recommendation No. 30 on women in conflict prevention, conflict and post-conflict situations (CEDAW GR No. 30) </w:t>
      </w:r>
      <w:r w:rsidR="00175F42" w:rsidRPr="0090438F">
        <w:rPr>
          <w:rFonts w:ascii="Calibri" w:hAnsi="Calibri"/>
        </w:rPr>
        <w:t>(</w:t>
      </w:r>
      <w:r w:rsidR="00616F81" w:rsidRPr="0090438F">
        <w:rPr>
          <w:rFonts w:ascii="Calibri" w:hAnsi="Calibri"/>
        </w:rPr>
        <w:t xml:space="preserve">see </w:t>
      </w:r>
      <w:r w:rsidR="00A072CA" w:rsidRPr="0090438F">
        <w:rPr>
          <w:rFonts w:ascii="Calibri" w:hAnsi="Calibri"/>
        </w:rPr>
        <w:t>Section 1</w:t>
      </w:r>
      <w:r w:rsidR="00175F42" w:rsidRPr="0090438F">
        <w:rPr>
          <w:rFonts w:ascii="Calibri" w:hAnsi="Calibri"/>
        </w:rPr>
        <w:t xml:space="preserve">). </w:t>
      </w:r>
      <w:r w:rsidR="00616F81" w:rsidRPr="0090438F">
        <w:rPr>
          <w:rFonts w:ascii="Calibri" w:hAnsi="Calibri"/>
        </w:rPr>
        <w:t>The UN’s existing processes may need to be supplemented by transformative remedies for women and girl v</w:t>
      </w:r>
      <w:r w:rsidR="003741BB" w:rsidRPr="0090438F">
        <w:rPr>
          <w:rFonts w:ascii="Calibri" w:hAnsi="Calibri"/>
        </w:rPr>
        <w:t>ictims of rights violations.</w:t>
      </w:r>
    </w:p>
    <w:p w14:paraId="2ADE4943" w14:textId="696C30EF" w:rsidR="005E76A5" w:rsidRPr="0090438F" w:rsidRDefault="001F7E33" w:rsidP="00A7184C">
      <w:pPr>
        <w:spacing w:before="100" w:beforeAutospacing="1" w:after="100" w:afterAutospacing="1" w:line="360" w:lineRule="auto"/>
        <w:jc w:val="both"/>
        <w:rPr>
          <w:rFonts w:ascii="Calibri" w:hAnsi="Calibri"/>
        </w:rPr>
      </w:pPr>
      <w:r w:rsidRPr="0090438F">
        <w:rPr>
          <w:rFonts w:ascii="Calibri" w:hAnsi="Calibri"/>
        </w:rPr>
        <w:t>T</w:t>
      </w:r>
      <w:r w:rsidR="00DF056B" w:rsidRPr="0090438F">
        <w:rPr>
          <w:rFonts w:ascii="Calibri" w:hAnsi="Calibri"/>
        </w:rPr>
        <w:t>h</w:t>
      </w:r>
      <w:r w:rsidR="004849D9" w:rsidRPr="0090438F">
        <w:rPr>
          <w:rFonts w:ascii="Calibri" w:hAnsi="Calibri"/>
        </w:rPr>
        <w:t xml:space="preserve">ree </w:t>
      </w:r>
      <w:r w:rsidR="004849D9" w:rsidRPr="0090438F">
        <w:rPr>
          <w:rFonts w:ascii="Calibri" w:hAnsi="Calibri"/>
          <w:b/>
          <w:color w:val="4F81BD" w:themeColor="accent1"/>
        </w:rPr>
        <w:t>UN</w:t>
      </w:r>
      <w:r w:rsidR="00120146" w:rsidRPr="0090438F">
        <w:rPr>
          <w:rFonts w:ascii="Calibri" w:hAnsi="Calibri"/>
          <w:b/>
          <w:color w:val="4F81BD" w:themeColor="accent1"/>
        </w:rPr>
        <w:t xml:space="preserve"> monitoring and accountability</w:t>
      </w:r>
      <w:r w:rsidRPr="0090438F">
        <w:rPr>
          <w:rFonts w:ascii="Calibri" w:hAnsi="Calibri"/>
          <w:b/>
          <w:color w:val="4F81BD" w:themeColor="accent1"/>
        </w:rPr>
        <w:t xml:space="preserve"> </w:t>
      </w:r>
      <w:r w:rsidR="00DF056B" w:rsidRPr="0090438F">
        <w:rPr>
          <w:rFonts w:ascii="Calibri" w:hAnsi="Calibri"/>
          <w:b/>
          <w:color w:val="4F81BD" w:themeColor="accent1"/>
        </w:rPr>
        <w:t>proce</w:t>
      </w:r>
      <w:r w:rsidRPr="0090438F">
        <w:rPr>
          <w:rFonts w:ascii="Calibri" w:hAnsi="Calibri"/>
          <w:b/>
          <w:color w:val="4F81BD" w:themeColor="accent1"/>
        </w:rPr>
        <w:t>sses</w:t>
      </w:r>
      <w:r w:rsidRPr="0090438F">
        <w:rPr>
          <w:rFonts w:ascii="Calibri" w:hAnsi="Calibri"/>
        </w:rPr>
        <w:t xml:space="preserve"> are considered in </w:t>
      </w:r>
      <w:r w:rsidR="001B4D62" w:rsidRPr="0090438F">
        <w:rPr>
          <w:rFonts w:ascii="Calibri" w:hAnsi="Calibri"/>
        </w:rPr>
        <w:t>terms</w:t>
      </w:r>
      <w:r w:rsidRPr="0090438F">
        <w:rPr>
          <w:rFonts w:ascii="Calibri" w:hAnsi="Calibri"/>
        </w:rPr>
        <w:t xml:space="preserve"> of their relevance to</w:t>
      </w:r>
      <w:r w:rsidR="008D2530" w:rsidRPr="0090438F">
        <w:rPr>
          <w:rFonts w:ascii="Calibri" w:hAnsi="Calibri"/>
        </w:rPr>
        <w:t xml:space="preserve"> </w:t>
      </w:r>
      <w:r w:rsidR="0044651F" w:rsidRPr="0090438F">
        <w:rPr>
          <w:rFonts w:ascii="Calibri" w:hAnsi="Calibri"/>
        </w:rPr>
        <w:t>tracking states’ progress in implementing their obligations under</w:t>
      </w:r>
      <w:r w:rsidR="008D2530" w:rsidRPr="0090438F">
        <w:rPr>
          <w:rFonts w:ascii="Calibri" w:hAnsi="Calibri"/>
        </w:rPr>
        <w:t xml:space="preserve"> SCR 1325 and</w:t>
      </w:r>
      <w:r w:rsidRPr="0090438F">
        <w:rPr>
          <w:rFonts w:ascii="Calibri" w:hAnsi="Calibri"/>
        </w:rPr>
        <w:t xml:space="preserve"> the legal framework, </w:t>
      </w:r>
      <w:r w:rsidR="008D2530" w:rsidRPr="0090438F">
        <w:rPr>
          <w:rFonts w:ascii="Calibri" w:hAnsi="Calibri"/>
        </w:rPr>
        <w:t>and their facilitation of access to justice</w:t>
      </w:r>
      <w:r w:rsidR="0044651F" w:rsidRPr="0090438F">
        <w:rPr>
          <w:rFonts w:ascii="Calibri" w:hAnsi="Calibri"/>
        </w:rPr>
        <w:t xml:space="preserve"> to provide </w:t>
      </w:r>
      <w:r w:rsidR="0044651F" w:rsidRPr="0090438F">
        <w:rPr>
          <w:rFonts w:ascii="Calibri" w:hAnsi="Calibri"/>
          <w:b/>
          <w:color w:val="4F81BD" w:themeColor="accent1"/>
        </w:rPr>
        <w:t>substantive equality</w:t>
      </w:r>
      <w:r w:rsidR="0044651F" w:rsidRPr="0090438F">
        <w:rPr>
          <w:rFonts w:ascii="Calibri" w:hAnsi="Calibri"/>
        </w:rPr>
        <w:t xml:space="preserve"> </w:t>
      </w:r>
      <w:r w:rsidR="003741BB" w:rsidRPr="0090438F">
        <w:rPr>
          <w:rFonts w:ascii="Calibri" w:hAnsi="Calibri"/>
        </w:rPr>
        <w:t>under</w:t>
      </w:r>
      <w:r w:rsidR="0044651F" w:rsidRPr="0090438F">
        <w:rPr>
          <w:rFonts w:ascii="Calibri" w:hAnsi="Calibri"/>
        </w:rPr>
        <w:t xml:space="preserve"> the legal framework</w:t>
      </w:r>
      <w:r w:rsidR="009A5909" w:rsidRPr="0090438F">
        <w:rPr>
          <w:rFonts w:ascii="Calibri" w:hAnsi="Calibri"/>
        </w:rPr>
        <w:t xml:space="preserve">. These include </w:t>
      </w:r>
      <w:r w:rsidR="008D2530" w:rsidRPr="0090438F">
        <w:rPr>
          <w:rFonts w:ascii="Calibri" w:hAnsi="Calibri"/>
        </w:rPr>
        <w:t>t</w:t>
      </w:r>
      <w:r w:rsidR="005E76A5" w:rsidRPr="0090438F">
        <w:rPr>
          <w:rFonts w:ascii="Calibri" w:hAnsi="Calibri"/>
        </w:rPr>
        <w:t>he Universal Periodic Review (U</w:t>
      </w:r>
      <w:r w:rsidR="00C648C8" w:rsidRPr="0090438F">
        <w:rPr>
          <w:rFonts w:ascii="Calibri" w:hAnsi="Calibri"/>
        </w:rPr>
        <w:t>PR</w:t>
      </w:r>
      <w:r w:rsidR="00267552" w:rsidRPr="0090438F">
        <w:rPr>
          <w:rFonts w:ascii="Calibri" w:hAnsi="Calibri"/>
        </w:rPr>
        <w:t>) of the Human Rights Council</w:t>
      </w:r>
      <w:r w:rsidR="007B54BE" w:rsidRPr="0090438F">
        <w:rPr>
          <w:rFonts w:ascii="Calibri" w:hAnsi="Calibri"/>
        </w:rPr>
        <w:t>,</w:t>
      </w:r>
      <w:r w:rsidR="00267552" w:rsidRPr="0090438F">
        <w:rPr>
          <w:rFonts w:ascii="Calibri" w:hAnsi="Calibri"/>
        </w:rPr>
        <w:t xml:space="preserve"> </w:t>
      </w:r>
      <w:r w:rsidR="008D2530" w:rsidRPr="0090438F">
        <w:rPr>
          <w:rFonts w:ascii="Calibri" w:hAnsi="Calibri"/>
        </w:rPr>
        <w:t>t</w:t>
      </w:r>
      <w:r w:rsidR="00C648C8" w:rsidRPr="0090438F">
        <w:rPr>
          <w:rFonts w:ascii="Calibri" w:hAnsi="Calibri"/>
        </w:rPr>
        <w:t>he</w:t>
      </w:r>
      <w:r w:rsidR="005E76A5" w:rsidRPr="0090438F">
        <w:rPr>
          <w:rFonts w:ascii="Calibri" w:hAnsi="Calibri"/>
        </w:rPr>
        <w:t xml:space="preserve"> </w:t>
      </w:r>
      <w:r w:rsidR="00C648C8" w:rsidRPr="0090438F">
        <w:rPr>
          <w:rFonts w:ascii="Calibri" w:hAnsi="Calibri"/>
        </w:rPr>
        <w:t>Comm</w:t>
      </w:r>
      <w:r w:rsidR="008D2530" w:rsidRPr="0090438F">
        <w:rPr>
          <w:rFonts w:ascii="Calibri" w:hAnsi="Calibri"/>
        </w:rPr>
        <w:t>ission on the Status of Women</w:t>
      </w:r>
      <w:r w:rsidR="007B54BE" w:rsidRPr="0090438F">
        <w:rPr>
          <w:rFonts w:ascii="Calibri" w:hAnsi="Calibri"/>
        </w:rPr>
        <w:t xml:space="preserve"> (CSW)</w:t>
      </w:r>
      <w:r w:rsidR="009A5909" w:rsidRPr="0090438F">
        <w:rPr>
          <w:rFonts w:ascii="Calibri" w:hAnsi="Calibri"/>
        </w:rPr>
        <w:t xml:space="preserve"> </w:t>
      </w:r>
      <w:r w:rsidR="007B54BE" w:rsidRPr="0090438F">
        <w:rPr>
          <w:rFonts w:ascii="Calibri" w:hAnsi="Calibri"/>
        </w:rPr>
        <w:t xml:space="preserve">and </w:t>
      </w:r>
      <w:r w:rsidR="00120146" w:rsidRPr="0090438F">
        <w:rPr>
          <w:rFonts w:ascii="Calibri" w:hAnsi="Calibri"/>
        </w:rPr>
        <w:t>Committee on the Elimination of Discri</w:t>
      </w:r>
      <w:r w:rsidR="008D2530" w:rsidRPr="0090438F">
        <w:rPr>
          <w:rFonts w:ascii="Calibri" w:hAnsi="Calibri"/>
        </w:rPr>
        <w:t>mination against Women (CEDAW</w:t>
      </w:r>
      <w:r w:rsidR="007B54BE" w:rsidRPr="0090438F">
        <w:rPr>
          <w:rFonts w:ascii="Calibri" w:hAnsi="Calibri"/>
        </w:rPr>
        <w:t xml:space="preserve"> Committee)</w:t>
      </w:r>
      <w:r w:rsidR="008D2530" w:rsidRPr="0090438F">
        <w:rPr>
          <w:rFonts w:ascii="Calibri" w:hAnsi="Calibri"/>
        </w:rPr>
        <w:t>.</w:t>
      </w:r>
      <w:r w:rsidR="00010BAF" w:rsidRPr="0090438F">
        <w:rPr>
          <w:rStyle w:val="FootnoteReference"/>
          <w:rFonts w:ascii="Calibri" w:hAnsi="Calibri"/>
        </w:rPr>
        <w:footnoteReference w:id="258"/>
      </w:r>
      <w:r w:rsidR="008D2530" w:rsidRPr="0090438F">
        <w:rPr>
          <w:rFonts w:ascii="Calibri" w:hAnsi="Calibri"/>
        </w:rPr>
        <w:t xml:space="preserve"> </w:t>
      </w:r>
    </w:p>
    <w:p w14:paraId="171D8861" w14:textId="66691C36" w:rsidR="008D2530" w:rsidRPr="0090438F" w:rsidRDefault="009A5909" w:rsidP="00A7184C">
      <w:pPr>
        <w:spacing w:before="100" w:beforeAutospacing="1" w:after="100" w:afterAutospacing="1" w:line="360" w:lineRule="auto"/>
        <w:jc w:val="both"/>
        <w:rPr>
          <w:rFonts w:ascii="Calibri" w:hAnsi="Calibri"/>
        </w:rPr>
      </w:pPr>
      <w:r w:rsidRPr="0090438F">
        <w:rPr>
          <w:rFonts w:ascii="Calibri" w:hAnsi="Calibri"/>
          <w:b/>
          <w:color w:val="4F81BD" w:themeColor="accent1"/>
        </w:rPr>
        <w:t>T</w:t>
      </w:r>
      <w:r w:rsidR="008D2530" w:rsidRPr="0090438F">
        <w:rPr>
          <w:rFonts w:ascii="Calibri" w:hAnsi="Calibri"/>
          <w:b/>
          <w:color w:val="4F81BD" w:themeColor="accent1"/>
        </w:rPr>
        <w:t>ransformative remedies</w:t>
      </w:r>
      <w:r w:rsidR="008D2530" w:rsidRPr="0090438F">
        <w:rPr>
          <w:rFonts w:ascii="Calibri" w:hAnsi="Calibri"/>
        </w:rPr>
        <w:t xml:space="preserve"> </w:t>
      </w:r>
      <w:r w:rsidR="00120146" w:rsidRPr="0090438F">
        <w:rPr>
          <w:rFonts w:ascii="Calibri" w:hAnsi="Calibri"/>
        </w:rPr>
        <w:t xml:space="preserve">are </w:t>
      </w:r>
      <w:r w:rsidR="003829A3" w:rsidRPr="0090438F">
        <w:rPr>
          <w:rFonts w:ascii="Calibri" w:hAnsi="Calibri"/>
        </w:rPr>
        <w:t>discussed</w:t>
      </w:r>
      <w:r w:rsidR="00120146" w:rsidRPr="0090438F">
        <w:rPr>
          <w:rFonts w:ascii="Calibri" w:hAnsi="Calibri"/>
        </w:rPr>
        <w:t xml:space="preserve"> </w:t>
      </w:r>
      <w:r w:rsidR="008D2530" w:rsidRPr="0090438F">
        <w:rPr>
          <w:rFonts w:ascii="Calibri" w:hAnsi="Calibri"/>
        </w:rPr>
        <w:t xml:space="preserve">in relation to </w:t>
      </w:r>
      <w:r w:rsidR="008D2530" w:rsidRPr="0090438F">
        <w:rPr>
          <w:rFonts w:ascii="Calibri" w:hAnsi="Calibri"/>
          <w:b/>
          <w:color w:val="4F81BD" w:themeColor="accent1"/>
        </w:rPr>
        <w:t>transformative equality</w:t>
      </w:r>
      <w:r w:rsidRPr="0090438F">
        <w:rPr>
          <w:rFonts w:ascii="Calibri" w:hAnsi="Calibri"/>
        </w:rPr>
        <w:t xml:space="preserve">. </w:t>
      </w:r>
      <w:r w:rsidR="00A072CA" w:rsidRPr="0090438F">
        <w:rPr>
          <w:rFonts w:ascii="Calibri" w:hAnsi="Calibri"/>
        </w:rPr>
        <w:t>The</w:t>
      </w:r>
      <w:r w:rsidRPr="0090438F">
        <w:rPr>
          <w:rFonts w:ascii="Calibri" w:hAnsi="Calibri"/>
        </w:rPr>
        <w:t xml:space="preserve"> r</w:t>
      </w:r>
      <w:r w:rsidR="008D2530" w:rsidRPr="0090438F">
        <w:rPr>
          <w:rFonts w:ascii="Calibri" w:hAnsi="Calibri"/>
        </w:rPr>
        <w:t>egional human rights law jurisprudence of the Inter-</w:t>
      </w:r>
      <w:r w:rsidR="00A072CA" w:rsidRPr="0090438F">
        <w:rPr>
          <w:rFonts w:ascii="Calibri" w:hAnsi="Calibri"/>
        </w:rPr>
        <w:t>American Court of Human Rights is considered,</w:t>
      </w:r>
      <w:r w:rsidR="008D2530" w:rsidRPr="0090438F">
        <w:rPr>
          <w:rFonts w:ascii="Calibri" w:hAnsi="Calibri"/>
        </w:rPr>
        <w:t xml:space="preserve"> namely the case of </w:t>
      </w:r>
      <w:r w:rsidR="008D2530" w:rsidRPr="0090438F">
        <w:rPr>
          <w:rFonts w:ascii="Calibri" w:hAnsi="Calibri"/>
          <w:i/>
        </w:rPr>
        <w:t xml:space="preserve">Gonzalez </w:t>
      </w:r>
      <w:r w:rsidR="008D2530" w:rsidRPr="0090438F">
        <w:rPr>
          <w:rFonts w:ascii="Calibri" w:hAnsi="Calibri"/>
          <w:i/>
        </w:rPr>
        <w:lastRenderedPageBreak/>
        <w:t>et al (‘Cotton Field’) v Mexico</w:t>
      </w:r>
      <w:r w:rsidR="008D2530" w:rsidRPr="0090438F">
        <w:rPr>
          <w:rFonts w:ascii="Calibri" w:hAnsi="Calibri"/>
        </w:rPr>
        <w:t>.</w:t>
      </w:r>
      <w:r w:rsidR="00BD3456" w:rsidRPr="0090438F">
        <w:rPr>
          <w:rStyle w:val="FootnoteReference"/>
          <w:rFonts w:ascii="Calibri" w:hAnsi="Calibri"/>
        </w:rPr>
        <w:footnoteReference w:id="259"/>
      </w:r>
      <w:r w:rsidRPr="0090438F">
        <w:rPr>
          <w:rFonts w:ascii="Calibri" w:hAnsi="Calibri"/>
        </w:rPr>
        <w:t xml:space="preserve"> </w:t>
      </w:r>
      <w:r w:rsidR="008D2530" w:rsidRPr="0090438F">
        <w:rPr>
          <w:rFonts w:ascii="Calibri" w:hAnsi="Calibri"/>
        </w:rPr>
        <w:t>The work of the Truth and Reconcilia</w:t>
      </w:r>
      <w:r w:rsidRPr="0090438F">
        <w:rPr>
          <w:rFonts w:ascii="Calibri" w:hAnsi="Calibri"/>
        </w:rPr>
        <w:t>t</w:t>
      </w:r>
      <w:r w:rsidR="0090438F">
        <w:rPr>
          <w:rFonts w:ascii="Calibri" w:hAnsi="Calibri"/>
        </w:rPr>
        <w:t>ion Commission of Sierra Leone</w:t>
      </w:r>
      <w:r w:rsidR="003741BB" w:rsidRPr="0090438F">
        <w:rPr>
          <w:rFonts w:ascii="Calibri" w:hAnsi="Calibri"/>
        </w:rPr>
        <w:t xml:space="preserve"> </w:t>
      </w:r>
      <w:r w:rsidRPr="0090438F">
        <w:rPr>
          <w:rFonts w:ascii="Calibri" w:hAnsi="Calibri"/>
        </w:rPr>
        <w:t xml:space="preserve">is also discussed </w:t>
      </w:r>
      <w:r w:rsidR="00765944" w:rsidRPr="0090438F">
        <w:rPr>
          <w:rFonts w:ascii="Calibri" w:hAnsi="Calibri"/>
        </w:rPr>
        <w:t>in providing transformative remedies for victims of rights violations, especially women</w:t>
      </w:r>
      <w:r w:rsidR="003741BB" w:rsidRPr="0090438F">
        <w:rPr>
          <w:rFonts w:ascii="Calibri" w:hAnsi="Calibri"/>
        </w:rPr>
        <w:t>, girls, their families and communities</w:t>
      </w:r>
      <w:r w:rsidR="00765944" w:rsidRPr="0090438F">
        <w:rPr>
          <w:rFonts w:ascii="Calibri" w:hAnsi="Calibri"/>
        </w:rPr>
        <w:t xml:space="preserve"> </w:t>
      </w:r>
      <w:r w:rsidR="003741BB" w:rsidRPr="0090438F">
        <w:rPr>
          <w:rFonts w:ascii="Calibri" w:hAnsi="Calibri"/>
        </w:rPr>
        <w:t>who are denied access to justice and meaningful redress</w:t>
      </w:r>
      <w:r w:rsidR="00765944" w:rsidRPr="0090438F">
        <w:rPr>
          <w:rFonts w:ascii="Calibri" w:hAnsi="Calibri"/>
        </w:rPr>
        <w:t xml:space="preserve">. </w:t>
      </w:r>
      <w:r w:rsidRPr="0090438F">
        <w:rPr>
          <w:rFonts w:ascii="Calibri" w:hAnsi="Calibri"/>
        </w:rPr>
        <w:t xml:space="preserve"> </w:t>
      </w:r>
    </w:p>
    <w:p w14:paraId="0BC09513" w14:textId="7623AD73" w:rsidR="009A5909" w:rsidRPr="0090438F" w:rsidRDefault="009A5909">
      <w:pPr>
        <w:rPr>
          <w:rFonts w:ascii="Calibri" w:hAnsi="Calibri"/>
        </w:rPr>
      </w:pPr>
      <w:r w:rsidRPr="0090438F">
        <w:rPr>
          <w:rFonts w:ascii="Calibri" w:hAnsi="Calibri"/>
        </w:rPr>
        <w:br w:type="page"/>
      </w:r>
    </w:p>
    <w:p w14:paraId="23A89BAC" w14:textId="7ED7B440" w:rsidR="003330F3" w:rsidRPr="00471761" w:rsidRDefault="003330F3" w:rsidP="003330F3">
      <w:pPr>
        <w:pStyle w:val="Heading3"/>
        <w:keepLines/>
        <w:spacing w:before="20" w:after="0"/>
        <w:jc w:val="center"/>
        <w:rPr>
          <w:b w:val="0"/>
          <w:color w:val="1F497D" w:themeColor="text2"/>
          <w:spacing w:val="14"/>
          <w:sz w:val="32"/>
          <w:szCs w:val="32"/>
          <w:lang w:val="en-GB"/>
        </w:rPr>
      </w:pPr>
      <w:bookmarkStart w:id="23" w:name="_Toc416867101"/>
      <w:r>
        <w:rPr>
          <w:b w:val="0"/>
          <w:color w:val="1F497D" w:themeColor="text2"/>
          <w:spacing w:val="14"/>
          <w:sz w:val="32"/>
          <w:szCs w:val="32"/>
          <w:lang w:val="en-GB"/>
        </w:rPr>
        <w:lastRenderedPageBreak/>
        <w:t>SCR 1325 AND UN MONITORING AND ACCOUNTABILITY PROCESSES</w:t>
      </w:r>
      <w:bookmarkEnd w:id="23"/>
      <w:r>
        <w:rPr>
          <w:b w:val="0"/>
          <w:color w:val="1F497D" w:themeColor="text2"/>
          <w:spacing w:val="14"/>
          <w:sz w:val="32"/>
          <w:szCs w:val="32"/>
          <w:lang w:val="en-GB"/>
        </w:rPr>
        <w:t xml:space="preserve"> </w:t>
      </w:r>
    </w:p>
    <w:p w14:paraId="507058E6" w14:textId="3BC7C639" w:rsidR="00ED0533" w:rsidRPr="00471761" w:rsidRDefault="00ED0533" w:rsidP="00A7184C">
      <w:pPr>
        <w:spacing w:before="100" w:beforeAutospacing="1" w:after="100" w:afterAutospacing="1" w:line="360" w:lineRule="auto"/>
        <w:jc w:val="both"/>
        <w:rPr>
          <w:rFonts w:ascii="Calibri" w:hAnsi="Calibri"/>
        </w:rPr>
      </w:pPr>
      <w:r w:rsidRPr="00471761">
        <w:rPr>
          <w:rFonts w:ascii="Calibri" w:hAnsi="Calibri"/>
        </w:rPr>
        <w:t xml:space="preserve">SCR 1325 does not </w:t>
      </w:r>
      <w:r w:rsidR="00616F81" w:rsidRPr="00471761">
        <w:rPr>
          <w:rFonts w:ascii="Calibri" w:hAnsi="Calibri"/>
        </w:rPr>
        <w:t>have</w:t>
      </w:r>
      <w:r w:rsidRPr="00471761">
        <w:rPr>
          <w:rFonts w:ascii="Calibri" w:hAnsi="Calibri"/>
        </w:rPr>
        <w:t xml:space="preserve"> a mandatory monitoring mechanism </w:t>
      </w:r>
      <w:r w:rsidR="00280629" w:rsidRPr="00471761">
        <w:rPr>
          <w:rFonts w:ascii="Calibri" w:hAnsi="Calibri"/>
        </w:rPr>
        <w:t>to hold</w:t>
      </w:r>
      <w:r w:rsidRPr="00471761">
        <w:rPr>
          <w:rFonts w:ascii="Calibri" w:hAnsi="Calibri"/>
        </w:rPr>
        <w:t xml:space="preserve"> states accountable for </w:t>
      </w:r>
      <w:r w:rsidR="00280629" w:rsidRPr="00471761">
        <w:rPr>
          <w:rFonts w:ascii="Calibri" w:hAnsi="Calibri"/>
        </w:rPr>
        <w:t>implementation, to supplement the voluntary National Action Plan (NAP) process</w:t>
      </w:r>
      <w:r w:rsidR="0025212C" w:rsidRPr="00471761">
        <w:rPr>
          <w:rFonts w:ascii="Calibri" w:hAnsi="Calibri"/>
        </w:rPr>
        <w:t xml:space="preserve"> (see Section 2)</w:t>
      </w:r>
      <w:r w:rsidRPr="00471761">
        <w:rPr>
          <w:rFonts w:ascii="Calibri" w:hAnsi="Calibri"/>
        </w:rPr>
        <w:t>.</w:t>
      </w:r>
      <w:r w:rsidRPr="00471761">
        <w:rPr>
          <w:rStyle w:val="FootnoteReference"/>
          <w:rFonts w:ascii="Calibri" w:hAnsi="Calibri"/>
        </w:rPr>
        <w:footnoteReference w:id="260"/>
      </w:r>
      <w:r w:rsidRPr="00471761">
        <w:rPr>
          <w:rFonts w:ascii="Calibri" w:hAnsi="Calibri"/>
        </w:rPr>
        <w:t xml:space="preserve"> </w:t>
      </w:r>
      <w:r w:rsidR="00B66B32" w:rsidRPr="00471761">
        <w:rPr>
          <w:rFonts w:ascii="Calibri" w:hAnsi="Calibri"/>
        </w:rPr>
        <w:t>There</w:t>
      </w:r>
      <w:r w:rsidR="00DC4486" w:rsidRPr="00471761">
        <w:rPr>
          <w:rFonts w:ascii="Calibri" w:hAnsi="Calibri"/>
        </w:rPr>
        <w:t xml:space="preserve"> are no</w:t>
      </w:r>
      <w:r w:rsidRPr="00471761">
        <w:rPr>
          <w:rFonts w:ascii="Calibri" w:hAnsi="Calibri"/>
        </w:rPr>
        <w:t xml:space="preserve"> established expectations </w:t>
      </w:r>
      <w:r w:rsidR="00B66B32" w:rsidRPr="00471761">
        <w:rPr>
          <w:rFonts w:ascii="Calibri" w:hAnsi="Calibri"/>
        </w:rPr>
        <w:t>for</w:t>
      </w:r>
      <w:r w:rsidR="00DC4486" w:rsidRPr="00471761">
        <w:rPr>
          <w:rFonts w:ascii="Calibri" w:hAnsi="Calibri"/>
        </w:rPr>
        <w:t xml:space="preserve"> </w:t>
      </w:r>
      <w:r w:rsidRPr="00471761">
        <w:rPr>
          <w:rFonts w:ascii="Calibri" w:hAnsi="Calibri"/>
        </w:rPr>
        <w:t xml:space="preserve">states </w:t>
      </w:r>
      <w:r w:rsidR="007F364C" w:rsidRPr="00471761">
        <w:rPr>
          <w:rFonts w:ascii="Calibri" w:hAnsi="Calibri"/>
        </w:rPr>
        <w:t>regarding their enforcement of</w:t>
      </w:r>
      <w:r w:rsidRPr="00471761">
        <w:rPr>
          <w:rFonts w:ascii="Calibri" w:hAnsi="Calibri"/>
        </w:rPr>
        <w:t xml:space="preserve"> SCR 1325</w:t>
      </w:r>
      <w:r w:rsidR="00B66B32" w:rsidRPr="00471761">
        <w:rPr>
          <w:rFonts w:ascii="Calibri" w:hAnsi="Calibri"/>
        </w:rPr>
        <w:t>.</w:t>
      </w:r>
      <w:r w:rsidRPr="00471761">
        <w:rPr>
          <w:rStyle w:val="FootnoteReference"/>
          <w:rFonts w:ascii="Calibri" w:hAnsi="Calibri"/>
        </w:rPr>
        <w:footnoteReference w:id="261"/>
      </w:r>
      <w:r w:rsidR="007B31DF" w:rsidRPr="00471761">
        <w:rPr>
          <w:rFonts w:ascii="Calibri" w:hAnsi="Calibri"/>
        </w:rPr>
        <w:t xml:space="preserve"> </w:t>
      </w:r>
      <w:r w:rsidR="00C65D1A" w:rsidRPr="00471761">
        <w:rPr>
          <w:rFonts w:ascii="Calibri" w:hAnsi="Calibri"/>
        </w:rPr>
        <w:t>However,</w:t>
      </w:r>
      <w:r w:rsidRPr="00471761">
        <w:rPr>
          <w:rFonts w:ascii="Calibri" w:hAnsi="Calibri"/>
        </w:rPr>
        <w:t xml:space="preserve"> the </w:t>
      </w:r>
      <w:r w:rsidRPr="00471761">
        <w:rPr>
          <w:rFonts w:ascii="Calibri" w:hAnsi="Calibri"/>
          <w:b/>
          <w:color w:val="4F81BD" w:themeColor="accent1"/>
        </w:rPr>
        <w:t>effective implementation of SCR 1325 is contingent on adequate monitoring, reporting and reviewing mechanisms</w:t>
      </w:r>
      <w:r w:rsidRPr="00471761">
        <w:rPr>
          <w:rFonts w:ascii="Calibri" w:hAnsi="Calibri"/>
        </w:rPr>
        <w:t>.</w:t>
      </w:r>
      <w:r w:rsidRPr="00471761">
        <w:rPr>
          <w:rStyle w:val="FootnoteReference"/>
          <w:rFonts w:ascii="Calibri" w:hAnsi="Calibri"/>
        </w:rPr>
        <w:footnoteReference w:id="262"/>
      </w:r>
      <w:r w:rsidRPr="00471761">
        <w:rPr>
          <w:rFonts w:ascii="Calibri" w:hAnsi="Calibri"/>
        </w:rPr>
        <w:t xml:space="preserve"> Without such mechanisms, it will prove difficult to </w:t>
      </w:r>
      <w:r w:rsidR="003741BB" w:rsidRPr="00471761">
        <w:rPr>
          <w:rFonts w:ascii="Calibri" w:hAnsi="Calibri"/>
        </w:rPr>
        <w:t>track</w:t>
      </w:r>
      <w:r w:rsidRPr="00471761">
        <w:rPr>
          <w:rFonts w:ascii="Calibri" w:hAnsi="Calibri"/>
        </w:rPr>
        <w:t xml:space="preserve"> progress on implementing </w:t>
      </w:r>
      <w:r w:rsidR="003741BB" w:rsidRPr="00471761">
        <w:rPr>
          <w:rFonts w:ascii="Calibri" w:hAnsi="Calibri"/>
        </w:rPr>
        <w:t>SCR 1325</w:t>
      </w:r>
      <w:r w:rsidR="00B66B32" w:rsidRPr="00471761">
        <w:rPr>
          <w:rFonts w:ascii="Calibri" w:hAnsi="Calibri"/>
        </w:rPr>
        <w:t xml:space="preserve"> and its related resolutions</w:t>
      </w:r>
      <w:r w:rsidR="00B66B32" w:rsidRPr="00471761">
        <w:rPr>
          <w:rStyle w:val="FootnoteReference"/>
          <w:rFonts w:ascii="Calibri" w:hAnsi="Calibri"/>
        </w:rPr>
        <w:footnoteReference w:id="263"/>
      </w:r>
      <w:r w:rsidRPr="00471761">
        <w:rPr>
          <w:rFonts w:ascii="Calibri" w:hAnsi="Calibri"/>
        </w:rPr>
        <w:t xml:space="preserve"> and to hold states accountable </w:t>
      </w:r>
      <w:r w:rsidR="007F364C" w:rsidRPr="00471761">
        <w:rPr>
          <w:rFonts w:ascii="Calibri" w:hAnsi="Calibri"/>
        </w:rPr>
        <w:t>for a lack of action or rights violations</w:t>
      </w:r>
      <w:r w:rsidRPr="00471761">
        <w:rPr>
          <w:rFonts w:ascii="Calibri" w:hAnsi="Calibri"/>
        </w:rPr>
        <w:t>.</w:t>
      </w:r>
      <w:r w:rsidRPr="00471761">
        <w:rPr>
          <w:rStyle w:val="FootnoteReference"/>
          <w:rFonts w:ascii="Calibri" w:hAnsi="Calibri"/>
        </w:rPr>
        <w:footnoteReference w:id="264"/>
      </w:r>
      <w:r w:rsidRPr="00471761">
        <w:rPr>
          <w:rFonts w:ascii="Calibri" w:hAnsi="Calibri"/>
        </w:rPr>
        <w:t xml:space="preserve"> The weakness of SCR 1325 is that it does not compel states to act.</w:t>
      </w:r>
      <w:r w:rsidRPr="00471761">
        <w:rPr>
          <w:rStyle w:val="FootnoteReference"/>
          <w:rFonts w:ascii="Calibri" w:hAnsi="Calibri"/>
        </w:rPr>
        <w:footnoteReference w:id="265"/>
      </w:r>
      <w:r w:rsidRPr="00471761">
        <w:rPr>
          <w:rFonts w:ascii="Calibri" w:hAnsi="Calibri"/>
        </w:rPr>
        <w:t xml:space="preserve"> However, </w:t>
      </w:r>
      <w:r w:rsidR="003741BB" w:rsidRPr="00471761">
        <w:rPr>
          <w:rFonts w:ascii="Calibri" w:hAnsi="Calibri"/>
        </w:rPr>
        <w:t xml:space="preserve">the strength </w:t>
      </w:r>
      <w:r w:rsidRPr="00471761">
        <w:rPr>
          <w:rFonts w:ascii="Calibri" w:hAnsi="Calibri"/>
        </w:rPr>
        <w:t xml:space="preserve">SCR 1325 </w:t>
      </w:r>
      <w:r w:rsidR="0025212C" w:rsidRPr="00471761">
        <w:rPr>
          <w:rFonts w:ascii="Calibri" w:hAnsi="Calibri"/>
        </w:rPr>
        <w:t xml:space="preserve">and its following resolutions </w:t>
      </w:r>
      <w:r w:rsidR="003741BB" w:rsidRPr="00471761">
        <w:rPr>
          <w:rFonts w:ascii="Calibri" w:hAnsi="Calibri"/>
        </w:rPr>
        <w:t xml:space="preserve">is that they </w:t>
      </w:r>
      <w:r w:rsidR="0025212C" w:rsidRPr="00471761">
        <w:rPr>
          <w:rFonts w:ascii="Calibri" w:hAnsi="Calibri"/>
        </w:rPr>
        <w:t>do</w:t>
      </w:r>
      <w:r w:rsidRPr="00471761">
        <w:rPr>
          <w:rFonts w:ascii="Calibri" w:hAnsi="Calibri"/>
        </w:rPr>
        <w:t xml:space="preserve"> not exist in isolation. </w:t>
      </w:r>
      <w:r w:rsidR="003741BB" w:rsidRPr="00471761">
        <w:rPr>
          <w:rFonts w:ascii="Calibri" w:hAnsi="Calibri"/>
        </w:rPr>
        <w:t>They are part of a legal framework</w:t>
      </w:r>
      <w:r w:rsidR="0025212C" w:rsidRPr="00471761">
        <w:rPr>
          <w:rFonts w:ascii="Calibri" w:hAnsi="Calibri"/>
        </w:rPr>
        <w:t xml:space="preserve"> which includes </w:t>
      </w:r>
      <w:r w:rsidR="00616F81" w:rsidRPr="00471761">
        <w:rPr>
          <w:rFonts w:ascii="Calibri" w:hAnsi="Calibri"/>
        </w:rPr>
        <w:t>three processes</w:t>
      </w:r>
      <w:r w:rsidR="0025212C" w:rsidRPr="00471761">
        <w:rPr>
          <w:rFonts w:ascii="Calibri" w:hAnsi="Calibri"/>
        </w:rPr>
        <w:t xml:space="preserve"> that can help </w:t>
      </w:r>
      <w:r w:rsidR="003741BB" w:rsidRPr="00471761">
        <w:rPr>
          <w:rFonts w:ascii="Calibri" w:hAnsi="Calibri"/>
        </w:rPr>
        <w:t>address the gaps in monitoring the enforcement</w:t>
      </w:r>
      <w:r w:rsidRPr="00471761">
        <w:rPr>
          <w:rFonts w:ascii="Calibri" w:hAnsi="Calibri"/>
        </w:rPr>
        <w:t xml:space="preserve"> of SCR 1325</w:t>
      </w:r>
      <w:r w:rsidR="0025212C" w:rsidRPr="00471761">
        <w:rPr>
          <w:rFonts w:ascii="Calibri" w:hAnsi="Calibri"/>
        </w:rPr>
        <w:t xml:space="preserve">. </w:t>
      </w:r>
    </w:p>
    <w:p w14:paraId="03DF6160" w14:textId="6592C047" w:rsidR="00E842DC" w:rsidRPr="00471761" w:rsidRDefault="00E842DC" w:rsidP="007F364C">
      <w:pPr>
        <w:pStyle w:val="ListParagraph"/>
        <w:numPr>
          <w:ilvl w:val="0"/>
          <w:numId w:val="7"/>
        </w:numPr>
        <w:spacing w:before="100" w:beforeAutospacing="1" w:after="100" w:afterAutospacing="1"/>
        <w:ind w:left="720"/>
        <w:jc w:val="both"/>
        <w:rPr>
          <w:rFonts w:ascii="Calibri" w:hAnsi="Calibri"/>
          <w:b/>
          <w:color w:val="1F497D" w:themeColor="text2"/>
        </w:rPr>
      </w:pPr>
      <w:r w:rsidRPr="00471761">
        <w:rPr>
          <w:rFonts w:ascii="Calibri" w:hAnsi="Calibri"/>
          <w:b/>
          <w:color w:val="1F497D" w:themeColor="text2"/>
        </w:rPr>
        <w:t xml:space="preserve">The Universal Periodic Review </w:t>
      </w:r>
    </w:p>
    <w:p w14:paraId="2F6AE9D5" w14:textId="20CF1388" w:rsidR="00630096" w:rsidRPr="00471761" w:rsidRDefault="00F03460" w:rsidP="00A7184C">
      <w:pPr>
        <w:spacing w:before="100" w:beforeAutospacing="1" w:after="100" w:afterAutospacing="1" w:line="360" w:lineRule="auto"/>
        <w:jc w:val="both"/>
        <w:rPr>
          <w:rFonts w:ascii="Calibri" w:hAnsi="Calibri"/>
        </w:rPr>
      </w:pPr>
      <w:r w:rsidRPr="00471761">
        <w:rPr>
          <w:rFonts w:ascii="Calibri" w:hAnsi="Calibri"/>
        </w:rPr>
        <w:t xml:space="preserve">The </w:t>
      </w:r>
      <w:r w:rsidR="00010BAF" w:rsidRPr="00471761">
        <w:rPr>
          <w:rFonts w:ascii="Calibri" w:hAnsi="Calibri"/>
        </w:rPr>
        <w:t>Universal Periodic Review (UPR)</w:t>
      </w:r>
      <w:r w:rsidRPr="00471761">
        <w:rPr>
          <w:rFonts w:ascii="Calibri" w:hAnsi="Calibri"/>
        </w:rPr>
        <w:t xml:space="preserve"> established in 2006</w:t>
      </w:r>
      <w:r w:rsidR="00010BAF" w:rsidRPr="00471761">
        <w:rPr>
          <w:rFonts w:ascii="Calibri" w:hAnsi="Calibri"/>
        </w:rPr>
        <w:t>,</w:t>
      </w:r>
      <w:r w:rsidRPr="00471761">
        <w:rPr>
          <w:rStyle w:val="FootnoteReference"/>
          <w:rFonts w:ascii="Calibri" w:hAnsi="Calibri"/>
        </w:rPr>
        <w:footnoteReference w:id="266"/>
      </w:r>
      <w:r w:rsidRPr="00471761">
        <w:rPr>
          <w:rFonts w:ascii="Calibri" w:hAnsi="Calibri"/>
        </w:rPr>
        <w:t xml:space="preserve"> holds potential </w:t>
      </w:r>
      <w:r w:rsidR="00017FAB" w:rsidRPr="00471761">
        <w:rPr>
          <w:rFonts w:ascii="Calibri" w:hAnsi="Calibri"/>
        </w:rPr>
        <w:t>to monitor the implementation of</w:t>
      </w:r>
      <w:r w:rsidRPr="00471761">
        <w:rPr>
          <w:rFonts w:ascii="Calibri" w:hAnsi="Calibri"/>
        </w:rPr>
        <w:t xml:space="preserve"> SCR 1325 for t</w:t>
      </w:r>
      <w:r w:rsidR="007B31DF" w:rsidRPr="00471761">
        <w:rPr>
          <w:rFonts w:ascii="Calibri" w:hAnsi="Calibri"/>
        </w:rPr>
        <w:t>hree</w:t>
      </w:r>
      <w:r w:rsidRPr="00471761">
        <w:rPr>
          <w:rFonts w:ascii="Calibri" w:hAnsi="Calibri"/>
        </w:rPr>
        <w:t xml:space="preserve"> key reasons</w:t>
      </w:r>
      <w:r w:rsidR="00017FAB" w:rsidRPr="00471761">
        <w:rPr>
          <w:rFonts w:ascii="Calibri" w:hAnsi="Calibri"/>
        </w:rPr>
        <w:t xml:space="preserve">. </w:t>
      </w:r>
      <w:r w:rsidR="00630096" w:rsidRPr="00471761">
        <w:rPr>
          <w:rFonts w:ascii="Calibri" w:hAnsi="Calibri"/>
        </w:rPr>
        <w:t xml:space="preserve">First, states have so far had a </w:t>
      </w:r>
      <w:r w:rsidR="00017FAB" w:rsidRPr="00471761">
        <w:rPr>
          <w:rFonts w:ascii="Calibri" w:hAnsi="Calibri"/>
          <w:b/>
          <w:color w:val="4F81BD" w:themeColor="accent1"/>
        </w:rPr>
        <w:t xml:space="preserve">high rate </w:t>
      </w:r>
      <w:r w:rsidR="00630096" w:rsidRPr="00471761">
        <w:rPr>
          <w:rFonts w:ascii="Calibri" w:hAnsi="Calibri"/>
          <w:b/>
          <w:color w:val="4F81BD" w:themeColor="accent1"/>
        </w:rPr>
        <w:t>of compliance</w:t>
      </w:r>
      <w:r w:rsidR="00630096" w:rsidRPr="00471761">
        <w:rPr>
          <w:rFonts w:ascii="Calibri" w:hAnsi="Calibri"/>
        </w:rPr>
        <w:t xml:space="preserve"> with </w:t>
      </w:r>
      <w:r w:rsidR="007B31DF" w:rsidRPr="00471761">
        <w:rPr>
          <w:rFonts w:ascii="Calibri" w:hAnsi="Calibri"/>
        </w:rPr>
        <w:t>the UPR</w:t>
      </w:r>
      <w:r w:rsidR="00EC0ADF" w:rsidRPr="00471761">
        <w:rPr>
          <w:rFonts w:ascii="Calibri" w:hAnsi="Calibri"/>
        </w:rPr>
        <w:t xml:space="preserve">, which is a mandatory process with </w:t>
      </w:r>
      <w:r w:rsidR="001B4D62" w:rsidRPr="00471761">
        <w:rPr>
          <w:rFonts w:ascii="Calibri" w:hAnsi="Calibri"/>
        </w:rPr>
        <w:t>significant</w:t>
      </w:r>
      <w:r w:rsidR="00EC0ADF" w:rsidRPr="00471761">
        <w:rPr>
          <w:rFonts w:ascii="Calibri" w:hAnsi="Calibri"/>
        </w:rPr>
        <w:t xml:space="preserve"> visibility within the UN system</w:t>
      </w:r>
      <w:r w:rsidR="00630096" w:rsidRPr="00471761">
        <w:rPr>
          <w:rFonts w:ascii="Calibri" w:hAnsi="Calibri"/>
        </w:rPr>
        <w:t>.</w:t>
      </w:r>
      <w:r w:rsidR="007B31DF" w:rsidRPr="00471761">
        <w:rPr>
          <w:rStyle w:val="FootnoteReference"/>
          <w:rFonts w:ascii="Calibri" w:hAnsi="Calibri"/>
        </w:rPr>
        <w:footnoteReference w:id="267"/>
      </w:r>
      <w:r w:rsidR="00630096" w:rsidRPr="00471761">
        <w:rPr>
          <w:rFonts w:ascii="Calibri" w:hAnsi="Calibri"/>
        </w:rPr>
        <w:t xml:space="preserve"> Second, </w:t>
      </w:r>
      <w:r w:rsidR="00017FAB" w:rsidRPr="00471761">
        <w:rPr>
          <w:rFonts w:ascii="Calibri" w:hAnsi="Calibri"/>
        </w:rPr>
        <w:t xml:space="preserve">in the words </w:t>
      </w:r>
      <w:r w:rsidR="007B31DF" w:rsidRPr="00471761">
        <w:rPr>
          <w:rFonts w:ascii="Calibri" w:hAnsi="Calibri"/>
        </w:rPr>
        <w:t xml:space="preserve">of the </w:t>
      </w:r>
      <w:r w:rsidR="00017FAB" w:rsidRPr="00471761">
        <w:rPr>
          <w:rFonts w:ascii="Calibri" w:hAnsi="Calibri"/>
        </w:rPr>
        <w:t>former High Commissioner fo</w:t>
      </w:r>
      <w:r w:rsidR="007B31DF" w:rsidRPr="00471761">
        <w:rPr>
          <w:rFonts w:ascii="Calibri" w:hAnsi="Calibri"/>
        </w:rPr>
        <w:t xml:space="preserve">r Human Rights, Navi Pillay, the UPR </w:t>
      </w:r>
      <w:r w:rsidR="00E05DBB" w:rsidRPr="00471761">
        <w:rPr>
          <w:rFonts w:ascii="Calibri" w:hAnsi="Calibri"/>
        </w:rPr>
        <w:t>gives</w:t>
      </w:r>
      <w:r w:rsidR="00017FAB" w:rsidRPr="00471761">
        <w:rPr>
          <w:rFonts w:ascii="Calibri" w:hAnsi="Calibri"/>
        </w:rPr>
        <w:t xml:space="preserve"> “</w:t>
      </w:r>
      <w:r w:rsidR="00630096" w:rsidRPr="00471761">
        <w:rPr>
          <w:rFonts w:ascii="Calibri" w:hAnsi="Calibri"/>
        </w:rPr>
        <w:t xml:space="preserve">a new </w:t>
      </w:r>
      <w:r w:rsidR="00017FAB" w:rsidRPr="00471761">
        <w:rPr>
          <w:rFonts w:ascii="Calibri" w:hAnsi="Calibri"/>
        </w:rPr>
        <w:t xml:space="preserve">important space to civil society’s contributions, including </w:t>
      </w:r>
      <w:r w:rsidR="00017FAB" w:rsidRPr="00471761">
        <w:rPr>
          <w:rFonts w:ascii="Calibri" w:hAnsi="Calibri"/>
          <w:b/>
          <w:color w:val="4F81BD" w:themeColor="accent1"/>
        </w:rPr>
        <w:t>women’s knowledge and perspectives</w:t>
      </w:r>
      <w:r w:rsidR="00017FAB" w:rsidRPr="00471761">
        <w:rPr>
          <w:rFonts w:ascii="Calibri" w:hAnsi="Calibri"/>
        </w:rPr>
        <w:t>.</w:t>
      </w:r>
      <w:r w:rsidR="00017FAB" w:rsidRPr="00471761">
        <w:rPr>
          <w:rStyle w:val="FootnoteReference"/>
          <w:rFonts w:ascii="Calibri" w:hAnsi="Calibri"/>
        </w:rPr>
        <w:footnoteReference w:id="268"/>
      </w:r>
      <w:r w:rsidR="00017FAB" w:rsidRPr="00471761">
        <w:rPr>
          <w:rFonts w:ascii="Calibri" w:hAnsi="Calibri"/>
        </w:rPr>
        <w:t xml:space="preserve"> </w:t>
      </w:r>
      <w:r w:rsidR="007B31DF" w:rsidRPr="00471761">
        <w:rPr>
          <w:rFonts w:ascii="Calibri" w:hAnsi="Calibri"/>
        </w:rPr>
        <w:t>Finally</w:t>
      </w:r>
      <w:r w:rsidR="00010BAF" w:rsidRPr="00471761">
        <w:rPr>
          <w:rFonts w:ascii="Calibri" w:hAnsi="Calibri"/>
        </w:rPr>
        <w:t xml:space="preserve">, because of its coverage of a spectrum of international </w:t>
      </w:r>
      <w:r w:rsidR="00583713">
        <w:rPr>
          <w:rFonts w:ascii="Calibri" w:hAnsi="Calibri"/>
        </w:rPr>
        <w:t>legal</w:t>
      </w:r>
      <w:r w:rsidR="00010BAF" w:rsidRPr="00471761">
        <w:rPr>
          <w:rFonts w:ascii="Calibri" w:hAnsi="Calibri"/>
        </w:rPr>
        <w:t xml:space="preserve"> obligations</w:t>
      </w:r>
      <w:r w:rsidR="007B31DF" w:rsidRPr="00471761">
        <w:rPr>
          <w:rFonts w:ascii="Calibri" w:hAnsi="Calibri"/>
        </w:rPr>
        <w:t xml:space="preserve">, the UPR is a unique avenue to </w:t>
      </w:r>
      <w:r w:rsidR="007B31DF" w:rsidRPr="00471761">
        <w:rPr>
          <w:rFonts w:ascii="Calibri" w:hAnsi="Calibri"/>
          <w:b/>
          <w:color w:val="4F81BD" w:themeColor="accent1"/>
        </w:rPr>
        <w:t>monitor all of states’</w:t>
      </w:r>
      <w:r w:rsidR="00010BAF" w:rsidRPr="00471761">
        <w:rPr>
          <w:rFonts w:ascii="Calibri" w:hAnsi="Calibri"/>
          <w:b/>
          <w:color w:val="4F81BD" w:themeColor="accent1"/>
        </w:rPr>
        <w:t xml:space="preserve"> compliance </w:t>
      </w:r>
      <w:r w:rsidR="007B31DF" w:rsidRPr="00471761">
        <w:rPr>
          <w:rFonts w:ascii="Calibri" w:hAnsi="Calibri"/>
        </w:rPr>
        <w:t xml:space="preserve">relevant to SCR 1325, including binding obligations </w:t>
      </w:r>
      <w:r w:rsidR="00E05DBB" w:rsidRPr="00471761">
        <w:rPr>
          <w:rFonts w:ascii="Calibri" w:hAnsi="Calibri"/>
        </w:rPr>
        <w:t>and</w:t>
      </w:r>
      <w:r w:rsidR="007B31DF" w:rsidRPr="00471761">
        <w:rPr>
          <w:rFonts w:ascii="Calibri" w:hAnsi="Calibri"/>
        </w:rPr>
        <w:t xml:space="preserve"> voluntary commitments </w:t>
      </w:r>
      <w:r w:rsidR="00E05DBB" w:rsidRPr="00471761">
        <w:rPr>
          <w:rFonts w:ascii="Calibri" w:hAnsi="Calibri"/>
        </w:rPr>
        <w:t xml:space="preserve">under the </w:t>
      </w:r>
      <w:r w:rsidR="00E05DBB" w:rsidRPr="00471761">
        <w:rPr>
          <w:rFonts w:ascii="Calibri" w:hAnsi="Calibri"/>
          <w:b/>
          <w:color w:val="4F81BD" w:themeColor="accent1"/>
        </w:rPr>
        <w:t>legal framework</w:t>
      </w:r>
      <w:r w:rsidR="00E05DBB" w:rsidRPr="00471761">
        <w:rPr>
          <w:rFonts w:ascii="Calibri" w:hAnsi="Calibri"/>
        </w:rPr>
        <w:t xml:space="preserve"> on WPS </w:t>
      </w:r>
      <w:r w:rsidR="007B31DF" w:rsidRPr="00471761">
        <w:rPr>
          <w:rFonts w:ascii="Calibri" w:hAnsi="Calibri"/>
        </w:rPr>
        <w:t xml:space="preserve">(see Section 1). </w:t>
      </w:r>
    </w:p>
    <w:p w14:paraId="383ED689" w14:textId="18431F10" w:rsidR="00E05DBB" w:rsidRPr="00471761" w:rsidRDefault="00017FAB" w:rsidP="00B71A70">
      <w:pPr>
        <w:spacing w:before="100" w:beforeAutospacing="1" w:after="100" w:afterAutospacing="1" w:line="360" w:lineRule="auto"/>
        <w:jc w:val="both"/>
        <w:rPr>
          <w:rFonts w:ascii="Calibri" w:hAnsi="Calibri"/>
        </w:rPr>
      </w:pPr>
      <w:r w:rsidRPr="00471761">
        <w:rPr>
          <w:rFonts w:ascii="Calibri" w:hAnsi="Calibri"/>
        </w:rPr>
        <w:t xml:space="preserve">The </w:t>
      </w:r>
      <w:r w:rsidR="00E842DC" w:rsidRPr="00471761">
        <w:rPr>
          <w:rFonts w:ascii="Calibri" w:hAnsi="Calibri"/>
        </w:rPr>
        <w:t xml:space="preserve">five-yearly </w:t>
      </w:r>
      <w:r w:rsidRPr="00471761">
        <w:rPr>
          <w:rFonts w:ascii="Calibri" w:hAnsi="Calibri"/>
        </w:rPr>
        <w:t>U</w:t>
      </w:r>
      <w:r w:rsidR="00E842DC" w:rsidRPr="00471761">
        <w:rPr>
          <w:rFonts w:ascii="Calibri" w:hAnsi="Calibri"/>
        </w:rPr>
        <w:t>PR process takes a holistic</w:t>
      </w:r>
      <w:r w:rsidR="007B31DF" w:rsidRPr="00471761">
        <w:rPr>
          <w:rFonts w:ascii="Calibri" w:hAnsi="Calibri"/>
        </w:rPr>
        <w:t xml:space="preserve"> </w:t>
      </w:r>
      <w:r w:rsidR="00E842DC" w:rsidRPr="00471761">
        <w:rPr>
          <w:rFonts w:ascii="Calibri" w:hAnsi="Calibri"/>
        </w:rPr>
        <w:t xml:space="preserve">view of states’ obligations that encompass: </w:t>
      </w:r>
      <w:r w:rsidR="00F03460" w:rsidRPr="00471761">
        <w:rPr>
          <w:rFonts w:ascii="Calibri" w:hAnsi="Calibri"/>
        </w:rPr>
        <w:t>the UN Charter, the Universal Declaration of Human Rights</w:t>
      </w:r>
      <w:r w:rsidR="00E842DC" w:rsidRPr="00471761">
        <w:rPr>
          <w:rFonts w:ascii="Calibri" w:hAnsi="Calibri"/>
        </w:rPr>
        <w:t xml:space="preserve"> (UDHR)</w:t>
      </w:r>
      <w:r w:rsidR="00F03460" w:rsidRPr="00471761">
        <w:rPr>
          <w:rFonts w:ascii="Calibri" w:hAnsi="Calibri"/>
        </w:rPr>
        <w:t xml:space="preserve"> human rights instruments to which the state is party as well as voluntary pledges and commitments made by the state, and</w:t>
      </w:r>
      <w:r w:rsidR="007F4F7D">
        <w:rPr>
          <w:rFonts w:ascii="Calibri" w:hAnsi="Calibri"/>
        </w:rPr>
        <w:t>, where applicable,</w:t>
      </w:r>
      <w:r w:rsidR="00F03460" w:rsidRPr="00471761">
        <w:rPr>
          <w:rFonts w:ascii="Calibri" w:hAnsi="Calibri"/>
        </w:rPr>
        <w:t xml:space="preserve"> international </w:t>
      </w:r>
      <w:r w:rsidR="00F03460" w:rsidRPr="00471761">
        <w:rPr>
          <w:rFonts w:ascii="Calibri" w:hAnsi="Calibri"/>
        </w:rPr>
        <w:lastRenderedPageBreak/>
        <w:t>humanitarian law.</w:t>
      </w:r>
      <w:r w:rsidR="00F03460" w:rsidRPr="00471761">
        <w:rPr>
          <w:rStyle w:val="FootnoteReference"/>
          <w:rFonts w:ascii="Calibri" w:hAnsi="Calibri"/>
        </w:rPr>
        <w:footnoteReference w:id="269"/>
      </w:r>
      <w:r w:rsidR="00E842DC" w:rsidRPr="00471761">
        <w:rPr>
          <w:rFonts w:ascii="Calibri" w:hAnsi="Calibri"/>
        </w:rPr>
        <w:t xml:space="preserve"> This </w:t>
      </w:r>
      <w:r w:rsidR="00630096" w:rsidRPr="00471761">
        <w:rPr>
          <w:rFonts w:ascii="Calibri" w:hAnsi="Calibri"/>
        </w:rPr>
        <w:t>creates a space</w:t>
      </w:r>
      <w:r w:rsidR="001B4D62" w:rsidRPr="00471761">
        <w:rPr>
          <w:rFonts w:ascii="Calibri" w:hAnsi="Calibri"/>
        </w:rPr>
        <w:t xml:space="preserve"> </w:t>
      </w:r>
      <w:r w:rsidR="003741BB" w:rsidRPr="00471761">
        <w:rPr>
          <w:rFonts w:ascii="Calibri" w:hAnsi="Calibri"/>
        </w:rPr>
        <w:t>to track</w:t>
      </w:r>
      <w:r w:rsidR="001B4D62" w:rsidRPr="00471761">
        <w:rPr>
          <w:rFonts w:ascii="Calibri" w:hAnsi="Calibri"/>
        </w:rPr>
        <w:t xml:space="preserve"> the implementation of</w:t>
      </w:r>
      <w:r w:rsidR="00E842DC" w:rsidRPr="00471761">
        <w:rPr>
          <w:rFonts w:ascii="Calibri" w:hAnsi="Calibri"/>
        </w:rPr>
        <w:t xml:space="preserve"> SCR 1325</w:t>
      </w:r>
      <w:r w:rsidR="00630096" w:rsidRPr="00471761">
        <w:rPr>
          <w:rFonts w:ascii="Calibri" w:hAnsi="Calibri"/>
        </w:rPr>
        <w:t xml:space="preserve"> in the context of</w:t>
      </w:r>
      <w:r w:rsidR="00E842DC" w:rsidRPr="00471761">
        <w:rPr>
          <w:rFonts w:ascii="Calibri" w:hAnsi="Calibri"/>
        </w:rPr>
        <w:t xml:space="preserve"> the </w:t>
      </w:r>
      <w:r w:rsidR="00630096" w:rsidRPr="00471761">
        <w:rPr>
          <w:rFonts w:ascii="Calibri" w:hAnsi="Calibri"/>
        </w:rPr>
        <w:t>entire legal</w:t>
      </w:r>
      <w:r w:rsidR="00E842DC" w:rsidRPr="00471761">
        <w:rPr>
          <w:rFonts w:ascii="Calibri" w:hAnsi="Calibri"/>
        </w:rPr>
        <w:t xml:space="preserve"> framework</w:t>
      </w:r>
      <w:r w:rsidR="00630096" w:rsidRPr="00471761">
        <w:rPr>
          <w:rFonts w:ascii="Calibri" w:hAnsi="Calibri"/>
        </w:rPr>
        <w:t>,</w:t>
      </w:r>
      <w:r w:rsidR="00E842DC" w:rsidRPr="00471761">
        <w:rPr>
          <w:rFonts w:ascii="Calibri" w:hAnsi="Calibri"/>
        </w:rPr>
        <w:t xml:space="preserve"> </w:t>
      </w:r>
      <w:r w:rsidR="00630096" w:rsidRPr="00471761">
        <w:rPr>
          <w:rFonts w:ascii="Calibri" w:hAnsi="Calibri"/>
        </w:rPr>
        <w:t xml:space="preserve">especially where states are parties to </w:t>
      </w:r>
      <w:r w:rsidR="001B4D62" w:rsidRPr="00471761">
        <w:rPr>
          <w:rFonts w:ascii="Calibri" w:hAnsi="Calibri"/>
        </w:rPr>
        <w:t xml:space="preserve">CEDAW and other </w:t>
      </w:r>
      <w:r w:rsidR="00630096" w:rsidRPr="00471761">
        <w:rPr>
          <w:rFonts w:ascii="Calibri" w:hAnsi="Calibri"/>
        </w:rPr>
        <w:t>treaties that are relevant to women’s rights and have made commitments under “soft law” documents like the Beijing Platform for Action (BPfA).</w:t>
      </w:r>
      <w:r w:rsidR="00630096" w:rsidRPr="00471761">
        <w:rPr>
          <w:rStyle w:val="FootnoteReference"/>
          <w:rFonts w:ascii="Calibri" w:hAnsi="Calibri"/>
        </w:rPr>
        <w:footnoteReference w:id="270"/>
      </w:r>
      <w:r w:rsidR="007B31DF" w:rsidRPr="00471761">
        <w:rPr>
          <w:rFonts w:ascii="Calibri" w:hAnsi="Calibri"/>
        </w:rPr>
        <w:t xml:space="preserve"> </w:t>
      </w:r>
    </w:p>
    <w:p w14:paraId="70D1057E" w14:textId="28F8B717" w:rsidR="00630096" w:rsidRPr="00471761" w:rsidRDefault="00EC0ADF" w:rsidP="00B71A70">
      <w:pPr>
        <w:spacing w:before="100" w:beforeAutospacing="1" w:after="100" w:afterAutospacing="1" w:line="360" w:lineRule="auto"/>
        <w:jc w:val="both"/>
        <w:rPr>
          <w:rFonts w:ascii="Calibri" w:hAnsi="Calibri"/>
        </w:rPr>
      </w:pPr>
      <w:r w:rsidRPr="00471761">
        <w:rPr>
          <w:rFonts w:ascii="Calibri" w:hAnsi="Calibri"/>
        </w:rPr>
        <w:t>G</w:t>
      </w:r>
      <w:r w:rsidR="003741BB" w:rsidRPr="00471761">
        <w:rPr>
          <w:rFonts w:ascii="Calibri" w:hAnsi="Calibri"/>
        </w:rPr>
        <w:t>overnments’ high compliance</w:t>
      </w:r>
      <w:r w:rsidRPr="00471761">
        <w:rPr>
          <w:rFonts w:ascii="Calibri" w:hAnsi="Calibri"/>
        </w:rPr>
        <w:t xml:space="preserve"> with the UPR process presents </w:t>
      </w:r>
      <w:r w:rsidR="00E05DBB" w:rsidRPr="00471761">
        <w:rPr>
          <w:rFonts w:ascii="Calibri" w:hAnsi="Calibri"/>
        </w:rPr>
        <w:t xml:space="preserve">a window of opportunity to </w:t>
      </w:r>
      <w:r w:rsidRPr="00471761">
        <w:rPr>
          <w:rFonts w:ascii="Calibri" w:hAnsi="Calibri"/>
        </w:rPr>
        <w:t xml:space="preserve">consolidate progress on </w:t>
      </w:r>
      <w:r w:rsidR="00C566AF" w:rsidRPr="00471761">
        <w:rPr>
          <w:rFonts w:ascii="Calibri" w:hAnsi="Calibri"/>
        </w:rPr>
        <w:t xml:space="preserve">fulfilling </w:t>
      </w:r>
      <w:r w:rsidR="00E05DBB" w:rsidRPr="00471761">
        <w:rPr>
          <w:rFonts w:ascii="Calibri" w:hAnsi="Calibri"/>
        </w:rPr>
        <w:t xml:space="preserve">obligations </w:t>
      </w:r>
      <w:r w:rsidR="00C566AF" w:rsidRPr="00471761">
        <w:rPr>
          <w:rFonts w:ascii="Calibri" w:hAnsi="Calibri"/>
        </w:rPr>
        <w:t>under the legal framework.</w:t>
      </w:r>
      <w:r w:rsidR="00E05DBB" w:rsidRPr="00471761">
        <w:rPr>
          <w:rFonts w:ascii="Calibri" w:hAnsi="Calibri"/>
        </w:rPr>
        <w:t xml:space="preserve"> While the UPR </w:t>
      </w:r>
      <w:r w:rsidR="00C566AF" w:rsidRPr="00471761">
        <w:rPr>
          <w:rFonts w:ascii="Calibri" w:hAnsi="Calibri"/>
        </w:rPr>
        <w:t xml:space="preserve">is </w:t>
      </w:r>
      <w:r w:rsidR="00E05DBB" w:rsidRPr="00471761">
        <w:rPr>
          <w:rFonts w:ascii="Calibri" w:hAnsi="Calibri"/>
        </w:rPr>
        <w:t xml:space="preserve">a space for civil society engagement, the process has so far been state-centric, and </w:t>
      </w:r>
      <w:r w:rsidR="00C566AF" w:rsidRPr="00471761">
        <w:rPr>
          <w:rFonts w:ascii="Calibri" w:hAnsi="Calibri"/>
        </w:rPr>
        <w:t xml:space="preserve">there is space for </w:t>
      </w:r>
      <w:r w:rsidR="00E05DBB" w:rsidRPr="00471761">
        <w:rPr>
          <w:rFonts w:ascii="Calibri" w:hAnsi="Calibri"/>
        </w:rPr>
        <w:t xml:space="preserve">women’s </w:t>
      </w:r>
      <w:r w:rsidR="00C566AF" w:rsidRPr="00471761">
        <w:rPr>
          <w:rFonts w:ascii="Calibri" w:hAnsi="Calibri"/>
        </w:rPr>
        <w:t>concerns</w:t>
      </w:r>
      <w:r w:rsidR="00E05DBB" w:rsidRPr="00471761">
        <w:rPr>
          <w:rFonts w:ascii="Calibri" w:hAnsi="Calibri"/>
        </w:rPr>
        <w:t xml:space="preserve"> </w:t>
      </w:r>
      <w:r w:rsidR="00C566AF" w:rsidRPr="00471761">
        <w:rPr>
          <w:rFonts w:ascii="Calibri" w:hAnsi="Calibri"/>
        </w:rPr>
        <w:t>to be better prioritised</w:t>
      </w:r>
      <w:r w:rsidR="00E05DBB" w:rsidRPr="00471761">
        <w:rPr>
          <w:rFonts w:ascii="Calibri" w:hAnsi="Calibri"/>
        </w:rPr>
        <w:t xml:space="preserve">. </w:t>
      </w:r>
      <w:r w:rsidR="00E05DBB" w:rsidRPr="00471761">
        <w:rPr>
          <w:rFonts w:ascii="Calibri" w:hAnsi="Calibri"/>
          <w:b/>
          <w:color w:val="4F81BD" w:themeColor="accent1"/>
        </w:rPr>
        <w:t xml:space="preserve">A “Women, Peace and Security” section </w:t>
      </w:r>
      <w:r w:rsidR="001B4D62" w:rsidRPr="00471761">
        <w:rPr>
          <w:rFonts w:ascii="Calibri" w:hAnsi="Calibri"/>
          <w:b/>
          <w:color w:val="4F81BD" w:themeColor="accent1"/>
        </w:rPr>
        <w:t xml:space="preserve">in </w:t>
      </w:r>
      <w:r w:rsidR="00C566AF" w:rsidRPr="00471761">
        <w:rPr>
          <w:rFonts w:ascii="Calibri" w:hAnsi="Calibri"/>
          <w:b/>
          <w:color w:val="4F81BD" w:themeColor="accent1"/>
        </w:rPr>
        <w:t>national reports</w:t>
      </w:r>
      <w:r w:rsidR="009712BA" w:rsidRPr="00471761">
        <w:rPr>
          <w:rFonts w:ascii="Calibri" w:hAnsi="Calibri"/>
          <w:b/>
          <w:color w:val="4F81BD" w:themeColor="accent1"/>
        </w:rPr>
        <w:t>,</w:t>
      </w:r>
      <w:r w:rsidR="00C566AF" w:rsidRPr="00471761">
        <w:rPr>
          <w:rFonts w:ascii="Calibri" w:hAnsi="Calibri"/>
          <w:b/>
          <w:color w:val="4F81BD" w:themeColor="accent1"/>
        </w:rPr>
        <w:t xml:space="preserve"> </w:t>
      </w:r>
      <w:r w:rsidR="009712BA" w:rsidRPr="00471761">
        <w:rPr>
          <w:rFonts w:ascii="Calibri" w:hAnsi="Calibri"/>
          <w:b/>
          <w:color w:val="4F81BD" w:themeColor="accent1"/>
        </w:rPr>
        <w:t>summaries of</w:t>
      </w:r>
      <w:r w:rsidR="00C566AF" w:rsidRPr="00471761">
        <w:rPr>
          <w:rFonts w:ascii="Calibri" w:hAnsi="Calibri"/>
          <w:b/>
          <w:color w:val="4F81BD" w:themeColor="accent1"/>
        </w:rPr>
        <w:t xml:space="preserve"> stakeholders’ information (NGO reporting)</w:t>
      </w:r>
      <w:r w:rsidR="009712BA" w:rsidRPr="00471761">
        <w:rPr>
          <w:rFonts w:ascii="Calibri" w:hAnsi="Calibri"/>
          <w:b/>
          <w:color w:val="4F81BD" w:themeColor="accent1"/>
        </w:rPr>
        <w:t xml:space="preserve"> and working group reports</w:t>
      </w:r>
      <w:r w:rsidR="00E05DBB" w:rsidRPr="00471761">
        <w:rPr>
          <w:rFonts w:ascii="Calibri" w:hAnsi="Calibri"/>
        </w:rPr>
        <w:t xml:space="preserve"> </w:t>
      </w:r>
      <w:r w:rsidR="009712BA" w:rsidRPr="00471761">
        <w:rPr>
          <w:rFonts w:ascii="Calibri" w:hAnsi="Calibri"/>
        </w:rPr>
        <w:t xml:space="preserve">would </w:t>
      </w:r>
      <w:r w:rsidR="003741BB" w:rsidRPr="00471761">
        <w:rPr>
          <w:rFonts w:ascii="Calibri" w:hAnsi="Calibri"/>
        </w:rPr>
        <w:t>guarantee sustained attention by states, the UN and civil society</w:t>
      </w:r>
      <w:r w:rsidR="009712BA" w:rsidRPr="00471761">
        <w:rPr>
          <w:rFonts w:ascii="Calibri" w:hAnsi="Calibri"/>
        </w:rPr>
        <w:t xml:space="preserve"> on the legal framework. N</w:t>
      </w:r>
      <w:r w:rsidR="00E05DBB" w:rsidRPr="00471761">
        <w:rPr>
          <w:rFonts w:ascii="Calibri" w:hAnsi="Calibri"/>
        </w:rPr>
        <w:t>ational women’s ministries and women’s machineries</w:t>
      </w:r>
      <w:r w:rsidR="00C566AF" w:rsidRPr="00471761">
        <w:rPr>
          <w:rFonts w:ascii="Calibri" w:hAnsi="Calibri"/>
        </w:rPr>
        <w:t xml:space="preserve"> (supported at the highest levels of government, including with </w:t>
      </w:r>
      <w:r w:rsidR="009712BA" w:rsidRPr="00471761">
        <w:rPr>
          <w:rFonts w:ascii="Calibri" w:hAnsi="Calibri"/>
        </w:rPr>
        <w:t xml:space="preserve">financial and human resources), </w:t>
      </w:r>
      <w:r w:rsidR="00C566AF" w:rsidRPr="00471761">
        <w:rPr>
          <w:rFonts w:ascii="Calibri" w:hAnsi="Calibri"/>
        </w:rPr>
        <w:t>could</w:t>
      </w:r>
      <w:r w:rsidR="00E05DBB" w:rsidRPr="00471761">
        <w:rPr>
          <w:rFonts w:ascii="Calibri" w:hAnsi="Calibri"/>
        </w:rPr>
        <w:t xml:space="preserve"> </w:t>
      </w:r>
      <w:r w:rsidR="003741BB" w:rsidRPr="00471761">
        <w:rPr>
          <w:rFonts w:ascii="Calibri" w:hAnsi="Calibri"/>
        </w:rPr>
        <w:t>build the capacity of</w:t>
      </w:r>
      <w:r w:rsidR="00C566AF" w:rsidRPr="00471761">
        <w:rPr>
          <w:rFonts w:ascii="Calibri" w:hAnsi="Calibri"/>
        </w:rPr>
        <w:t xml:space="preserve"> </w:t>
      </w:r>
      <w:r w:rsidR="00E05DBB" w:rsidRPr="00471761">
        <w:rPr>
          <w:rFonts w:ascii="Calibri" w:hAnsi="Calibri"/>
        </w:rPr>
        <w:t xml:space="preserve">women’s and girls’ organizations to provide a substantive civil society perspective on </w:t>
      </w:r>
      <w:r w:rsidRPr="00471761">
        <w:rPr>
          <w:rFonts w:ascii="Calibri" w:hAnsi="Calibri"/>
        </w:rPr>
        <w:t>state compliance with th</w:t>
      </w:r>
      <w:r w:rsidR="003741BB" w:rsidRPr="00471761">
        <w:rPr>
          <w:rFonts w:ascii="Calibri" w:hAnsi="Calibri"/>
        </w:rPr>
        <w:t>e legal framework. As discussed in Section 2, the role of civil society is crucial in monitoring</w:t>
      </w:r>
      <w:r w:rsidR="00CB538C" w:rsidRPr="00471761">
        <w:rPr>
          <w:rFonts w:ascii="Calibri" w:hAnsi="Calibri"/>
        </w:rPr>
        <w:t xml:space="preserve"> the implementation of</w:t>
      </w:r>
      <w:r w:rsidR="003741BB" w:rsidRPr="00471761">
        <w:rPr>
          <w:rFonts w:ascii="Calibri" w:hAnsi="Calibri"/>
        </w:rPr>
        <w:t xml:space="preserve"> SCR 1325.</w:t>
      </w:r>
    </w:p>
    <w:p w14:paraId="0D163757" w14:textId="0D165BD7" w:rsidR="00EC0ADF" w:rsidRPr="00471761" w:rsidRDefault="00EC0ADF" w:rsidP="007F364C">
      <w:pPr>
        <w:pStyle w:val="ListParagraph"/>
        <w:numPr>
          <w:ilvl w:val="0"/>
          <w:numId w:val="7"/>
        </w:numPr>
        <w:spacing w:before="100" w:beforeAutospacing="1" w:after="100" w:afterAutospacing="1"/>
        <w:jc w:val="both"/>
        <w:rPr>
          <w:rFonts w:ascii="Calibri" w:hAnsi="Calibri"/>
          <w:b/>
          <w:color w:val="1F497D" w:themeColor="text2"/>
        </w:rPr>
      </w:pPr>
      <w:r w:rsidRPr="00471761">
        <w:rPr>
          <w:rFonts w:ascii="Calibri" w:hAnsi="Calibri"/>
          <w:b/>
          <w:color w:val="1F497D" w:themeColor="text2"/>
        </w:rPr>
        <w:t xml:space="preserve">The Commission on the Status of Women  </w:t>
      </w:r>
    </w:p>
    <w:p w14:paraId="1A62E2BF" w14:textId="7D429340" w:rsidR="002B069A" w:rsidRPr="00471761" w:rsidRDefault="009C376F" w:rsidP="00B71A70">
      <w:pPr>
        <w:spacing w:before="100" w:beforeAutospacing="1" w:after="100" w:afterAutospacing="1" w:line="360" w:lineRule="auto"/>
        <w:jc w:val="both"/>
        <w:rPr>
          <w:rFonts w:ascii="Calibri" w:hAnsi="Calibri"/>
        </w:rPr>
      </w:pPr>
      <w:r w:rsidRPr="00471761">
        <w:rPr>
          <w:rFonts w:ascii="Calibri" w:hAnsi="Calibri"/>
        </w:rPr>
        <w:t>The</w:t>
      </w:r>
      <w:r w:rsidR="00EC0ADF" w:rsidRPr="00471761">
        <w:rPr>
          <w:rFonts w:ascii="Calibri" w:hAnsi="Calibri"/>
        </w:rPr>
        <w:t xml:space="preserve"> Commission on the Status of Women (CSW)</w:t>
      </w:r>
      <w:r w:rsidR="000C5A16" w:rsidRPr="00471761">
        <w:rPr>
          <w:rFonts w:ascii="Calibri" w:hAnsi="Calibri"/>
        </w:rPr>
        <w:t xml:space="preserve"> despite being a voluntary</w:t>
      </w:r>
      <w:r w:rsidRPr="00471761">
        <w:rPr>
          <w:rFonts w:ascii="Calibri" w:hAnsi="Calibri"/>
        </w:rPr>
        <w:t xml:space="preserve"> </w:t>
      </w:r>
      <w:r w:rsidR="001B4D62" w:rsidRPr="00471761">
        <w:rPr>
          <w:rFonts w:ascii="Calibri" w:hAnsi="Calibri"/>
        </w:rPr>
        <w:t xml:space="preserve">monitoring </w:t>
      </w:r>
      <w:r w:rsidRPr="00471761">
        <w:rPr>
          <w:rFonts w:ascii="Calibri" w:hAnsi="Calibri"/>
        </w:rPr>
        <w:t xml:space="preserve">process linked to the non-binding </w:t>
      </w:r>
      <w:proofErr w:type="gramStart"/>
      <w:r w:rsidRPr="00471761">
        <w:rPr>
          <w:rFonts w:ascii="Calibri" w:hAnsi="Calibri"/>
        </w:rPr>
        <w:t>BPfA,</w:t>
      </w:r>
      <w:proofErr w:type="gramEnd"/>
      <w:r w:rsidRPr="00471761">
        <w:rPr>
          <w:rFonts w:ascii="Calibri" w:hAnsi="Calibri"/>
        </w:rPr>
        <w:t xml:space="preserve"> is an important forum to monitor states’ progress under the legal framework, of which the BPfA i</w:t>
      </w:r>
      <w:r w:rsidR="00267552" w:rsidRPr="00471761">
        <w:rPr>
          <w:rFonts w:ascii="Calibri" w:hAnsi="Calibri"/>
        </w:rPr>
        <w:t xml:space="preserve">s a key element </w:t>
      </w:r>
      <w:r w:rsidR="002D4622">
        <w:rPr>
          <w:rFonts w:ascii="Calibri" w:hAnsi="Calibri"/>
        </w:rPr>
        <w:t>(s</w:t>
      </w:r>
      <w:r w:rsidRPr="00471761">
        <w:rPr>
          <w:rFonts w:ascii="Calibri" w:hAnsi="Calibri"/>
        </w:rPr>
        <w:t xml:space="preserve">ee Section 1). </w:t>
      </w:r>
      <w:r w:rsidR="001B4D62" w:rsidRPr="00471761">
        <w:rPr>
          <w:rFonts w:ascii="Calibri" w:hAnsi="Calibri"/>
        </w:rPr>
        <w:t xml:space="preserve">While not technically a “system-wide” process, the CSW </w:t>
      </w:r>
      <w:r w:rsidR="00C566AF" w:rsidRPr="00471761">
        <w:rPr>
          <w:rFonts w:ascii="Calibri" w:hAnsi="Calibri"/>
        </w:rPr>
        <w:t xml:space="preserve">is valuable because it brings together </w:t>
      </w:r>
      <w:r w:rsidR="001B4D62" w:rsidRPr="00471761">
        <w:rPr>
          <w:rFonts w:ascii="Calibri" w:hAnsi="Calibri"/>
        </w:rPr>
        <w:t>a</w:t>
      </w:r>
      <w:r w:rsidR="00C566AF" w:rsidRPr="00471761">
        <w:rPr>
          <w:rFonts w:ascii="Calibri" w:hAnsi="Calibri"/>
        </w:rPr>
        <w:t xml:space="preserve"> </w:t>
      </w:r>
      <w:r w:rsidR="001B4D62" w:rsidRPr="00471761">
        <w:rPr>
          <w:rFonts w:ascii="Calibri" w:hAnsi="Calibri"/>
        </w:rPr>
        <w:t>multipli</w:t>
      </w:r>
      <w:r w:rsidR="00C566AF" w:rsidRPr="00471761">
        <w:rPr>
          <w:rFonts w:ascii="Calibri" w:hAnsi="Calibri"/>
        </w:rPr>
        <w:t>city of stakeholders</w:t>
      </w:r>
      <w:r w:rsidR="00010BAF" w:rsidRPr="00471761">
        <w:rPr>
          <w:rFonts w:ascii="Calibri" w:hAnsi="Calibri"/>
        </w:rPr>
        <w:t xml:space="preserve"> discussing overall progress on gender equality by states and the UN system</w:t>
      </w:r>
      <w:r w:rsidR="001B4D62" w:rsidRPr="00471761">
        <w:rPr>
          <w:rFonts w:ascii="Calibri" w:hAnsi="Calibri"/>
        </w:rPr>
        <w:t xml:space="preserve">. </w:t>
      </w:r>
      <w:r w:rsidR="00C566AF" w:rsidRPr="00471761">
        <w:rPr>
          <w:rFonts w:ascii="Calibri" w:hAnsi="Calibri"/>
        </w:rPr>
        <w:t xml:space="preserve">The CSW involves </w:t>
      </w:r>
      <w:r w:rsidRPr="00471761">
        <w:rPr>
          <w:rFonts w:ascii="Calibri" w:hAnsi="Calibri"/>
        </w:rPr>
        <w:t xml:space="preserve">the </w:t>
      </w:r>
      <w:r w:rsidRPr="00471761">
        <w:rPr>
          <w:rFonts w:ascii="Calibri" w:hAnsi="Calibri"/>
          <w:b/>
          <w:color w:val="4F81BD" w:themeColor="accent1"/>
        </w:rPr>
        <w:t>diverse and extensive participation of women’s organizations</w:t>
      </w:r>
      <w:r w:rsidRPr="00471761">
        <w:rPr>
          <w:rFonts w:ascii="Calibri" w:hAnsi="Calibri"/>
        </w:rPr>
        <w:t>, and their annual convergence to discuss wide-ranging issues of concern to the women’s movement</w:t>
      </w:r>
      <w:r w:rsidR="00C566AF" w:rsidRPr="00471761">
        <w:rPr>
          <w:rFonts w:ascii="Calibri" w:hAnsi="Calibri"/>
        </w:rPr>
        <w:t xml:space="preserve"> is unmatched </w:t>
      </w:r>
      <w:r w:rsidR="002B069A" w:rsidRPr="00471761">
        <w:rPr>
          <w:rFonts w:ascii="Calibri" w:hAnsi="Calibri"/>
        </w:rPr>
        <w:t>elsewhere</w:t>
      </w:r>
      <w:r w:rsidR="00C566AF" w:rsidRPr="00471761">
        <w:rPr>
          <w:rFonts w:ascii="Calibri" w:hAnsi="Calibri"/>
        </w:rPr>
        <w:t xml:space="preserve"> in the UN system. This is particularly </w:t>
      </w:r>
      <w:r w:rsidR="002B069A" w:rsidRPr="00471761">
        <w:rPr>
          <w:rFonts w:ascii="Calibri" w:hAnsi="Calibri"/>
        </w:rPr>
        <w:t>important</w:t>
      </w:r>
      <w:r w:rsidR="00C566AF" w:rsidRPr="00471761">
        <w:rPr>
          <w:rFonts w:ascii="Calibri" w:hAnsi="Calibri"/>
        </w:rPr>
        <w:t xml:space="preserve"> given the lack of regular world conferences on women</w:t>
      </w:r>
      <w:r w:rsidR="00CB538C" w:rsidRPr="00471761">
        <w:rPr>
          <w:rFonts w:ascii="Calibri" w:hAnsi="Calibri"/>
        </w:rPr>
        <w:t>.</w:t>
      </w:r>
      <w:r w:rsidR="002B069A" w:rsidRPr="00471761">
        <w:rPr>
          <w:rFonts w:ascii="Calibri" w:hAnsi="Calibri"/>
        </w:rPr>
        <w:t xml:space="preserve"> </w:t>
      </w:r>
      <w:r w:rsidR="00CB538C" w:rsidRPr="00471761">
        <w:rPr>
          <w:rFonts w:ascii="Calibri" w:hAnsi="Calibri"/>
        </w:rPr>
        <w:t>The</w:t>
      </w:r>
      <w:r w:rsidR="002B069A" w:rsidRPr="00471761">
        <w:rPr>
          <w:rFonts w:ascii="Calibri" w:hAnsi="Calibri"/>
        </w:rPr>
        <w:t xml:space="preserve"> CSW is</w:t>
      </w:r>
      <w:r w:rsidR="00CB538C" w:rsidRPr="00471761">
        <w:rPr>
          <w:rFonts w:ascii="Calibri" w:hAnsi="Calibri"/>
        </w:rPr>
        <w:t>, in practical terms,</w:t>
      </w:r>
      <w:r w:rsidR="002B069A" w:rsidRPr="00471761">
        <w:rPr>
          <w:rFonts w:ascii="Calibri" w:hAnsi="Calibri"/>
        </w:rPr>
        <w:t xml:space="preserve"> </w:t>
      </w:r>
      <w:r w:rsidR="00CB538C" w:rsidRPr="00471761">
        <w:rPr>
          <w:rFonts w:ascii="Calibri" w:hAnsi="Calibri"/>
        </w:rPr>
        <w:t>the biggest platform at the UN</w:t>
      </w:r>
      <w:r w:rsidR="002B069A" w:rsidRPr="00471761">
        <w:rPr>
          <w:rFonts w:ascii="Calibri" w:hAnsi="Calibri"/>
        </w:rPr>
        <w:t xml:space="preserve"> for </w:t>
      </w:r>
      <w:r w:rsidR="00CB538C" w:rsidRPr="00471761">
        <w:rPr>
          <w:rFonts w:ascii="Calibri" w:hAnsi="Calibri"/>
        </w:rPr>
        <w:t>global</w:t>
      </w:r>
      <w:r w:rsidR="002B069A" w:rsidRPr="00471761">
        <w:rPr>
          <w:rFonts w:ascii="Calibri" w:hAnsi="Calibri"/>
        </w:rPr>
        <w:t xml:space="preserve"> women’s and girls’ </w:t>
      </w:r>
      <w:r w:rsidR="00CB538C" w:rsidRPr="00471761">
        <w:rPr>
          <w:rFonts w:ascii="Calibri" w:hAnsi="Calibri"/>
        </w:rPr>
        <w:t>network</w:t>
      </w:r>
      <w:r w:rsidR="002B069A" w:rsidRPr="00471761">
        <w:rPr>
          <w:rFonts w:ascii="Calibri" w:hAnsi="Calibri"/>
        </w:rPr>
        <w:t>s working on the WPS agenda to meet and share good practices, lessons learned, and knowledge and information from their various countries and regions</w:t>
      </w:r>
      <w:r w:rsidRPr="00471761">
        <w:rPr>
          <w:rFonts w:ascii="Calibri" w:hAnsi="Calibri"/>
        </w:rPr>
        <w:t xml:space="preserve">. Formally the CSW is an annual forum for </w:t>
      </w:r>
      <w:r w:rsidR="000C5A16" w:rsidRPr="00471761">
        <w:rPr>
          <w:rFonts w:ascii="Calibri" w:hAnsi="Calibri"/>
        </w:rPr>
        <w:t>governments</w:t>
      </w:r>
      <w:r w:rsidR="00EC0ADF" w:rsidRPr="00471761">
        <w:rPr>
          <w:rFonts w:ascii="Calibri" w:hAnsi="Calibri"/>
        </w:rPr>
        <w:t xml:space="preserve">, civil society and </w:t>
      </w:r>
      <w:r w:rsidR="000C5A16" w:rsidRPr="00471761">
        <w:rPr>
          <w:rFonts w:ascii="Calibri" w:hAnsi="Calibri"/>
        </w:rPr>
        <w:t>the UN</w:t>
      </w:r>
      <w:r w:rsidR="00EC0ADF" w:rsidRPr="00471761">
        <w:rPr>
          <w:rFonts w:ascii="Calibri" w:hAnsi="Calibri"/>
        </w:rPr>
        <w:t xml:space="preserve"> to discuss the </w:t>
      </w:r>
      <w:r w:rsidR="002B069A" w:rsidRPr="00471761">
        <w:rPr>
          <w:rFonts w:ascii="Calibri" w:hAnsi="Calibri"/>
        </w:rPr>
        <w:t>implementation of</w:t>
      </w:r>
      <w:r w:rsidR="000C5A16" w:rsidRPr="00471761">
        <w:rPr>
          <w:rFonts w:ascii="Calibri" w:hAnsi="Calibri"/>
        </w:rPr>
        <w:t xml:space="preserve"> </w:t>
      </w:r>
      <w:r w:rsidRPr="00471761">
        <w:rPr>
          <w:rFonts w:ascii="Calibri" w:hAnsi="Calibri"/>
        </w:rPr>
        <w:t>the BPfA</w:t>
      </w:r>
      <w:r w:rsidR="00EC0ADF" w:rsidRPr="00471761">
        <w:rPr>
          <w:rFonts w:ascii="Calibri" w:hAnsi="Calibri"/>
        </w:rPr>
        <w:t xml:space="preserve">. </w:t>
      </w:r>
      <w:r w:rsidR="001B4D62" w:rsidRPr="00471761">
        <w:rPr>
          <w:rFonts w:ascii="Calibri" w:hAnsi="Calibri"/>
          <w:b/>
          <w:color w:val="4F81BD" w:themeColor="accent1"/>
        </w:rPr>
        <w:t>Politically, it is a strategic a</w:t>
      </w:r>
      <w:r w:rsidR="000C5A16" w:rsidRPr="00471761">
        <w:rPr>
          <w:rFonts w:ascii="Calibri" w:hAnsi="Calibri"/>
          <w:b/>
          <w:color w:val="4F81BD" w:themeColor="accent1"/>
        </w:rPr>
        <w:t xml:space="preserve">venue for feminist organizations to </w:t>
      </w:r>
      <w:r w:rsidR="00267552" w:rsidRPr="00471761">
        <w:rPr>
          <w:rFonts w:ascii="Calibri" w:hAnsi="Calibri"/>
          <w:b/>
          <w:color w:val="4F81BD" w:themeColor="accent1"/>
        </w:rPr>
        <w:t>collaborate,</w:t>
      </w:r>
      <w:r w:rsidR="000C5A16" w:rsidRPr="00471761">
        <w:rPr>
          <w:rFonts w:ascii="Calibri" w:hAnsi="Calibri"/>
          <w:b/>
          <w:color w:val="4F81BD" w:themeColor="accent1"/>
        </w:rPr>
        <w:t xml:space="preserve"> advocate and lobby their governments and the UN</w:t>
      </w:r>
      <w:r w:rsidR="00C566AF" w:rsidRPr="00471761">
        <w:rPr>
          <w:rFonts w:ascii="Calibri" w:hAnsi="Calibri"/>
          <w:b/>
          <w:color w:val="4F81BD" w:themeColor="accent1"/>
        </w:rPr>
        <w:t xml:space="preserve"> system</w:t>
      </w:r>
      <w:r w:rsidR="000C5A16" w:rsidRPr="00471761">
        <w:rPr>
          <w:rFonts w:ascii="Calibri" w:hAnsi="Calibri"/>
          <w:b/>
          <w:color w:val="4F81BD" w:themeColor="accent1"/>
        </w:rPr>
        <w:t xml:space="preserve"> to take action on SCR 1325</w:t>
      </w:r>
      <w:r w:rsidR="000C5A16" w:rsidRPr="00471761">
        <w:rPr>
          <w:rFonts w:ascii="Calibri" w:hAnsi="Calibri"/>
          <w:color w:val="4F81BD" w:themeColor="accent1"/>
        </w:rPr>
        <w:t xml:space="preserve"> </w:t>
      </w:r>
      <w:r w:rsidR="000C5A16" w:rsidRPr="00471761">
        <w:rPr>
          <w:rFonts w:ascii="Calibri" w:hAnsi="Calibri"/>
          <w:b/>
          <w:color w:val="4F81BD" w:themeColor="accent1"/>
        </w:rPr>
        <w:t xml:space="preserve">and </w:t>
      </w:r>
      <w:r w:rsidR="00267552" w:rsidRPr="00471761">
        <w:rPr>
          <w:rFonts w:ascii="Calibri" w:hAnsi="Calibri"/>
          <w:b/>
          <w:color w:val="4F81BD" w:themeColor="accent1"/>
        </w:rPr>
        <w:t>the legal framework</w:t>
      </w:r>
      <w:r w:rsidR="000C5A16" w:rsidRPr="00471761">
        <w:rPr>
          <w:rFonts w:ascii="Calibri" w:hAnsi="Calibri"/>
          <w:color w:val="4F81BD" w:themeColor="accent1"/>
        </w:rPr>
        <w:t>.</w:t>
      </w:r>
      <w:r w:rsidR="000C5A16" w:rsidRPr="00471761">
        <w:rPr>
          <w:rFonts w:ascii="Calibri" w:hAnsi="Calibri"/>
        </w:rPr>
        <w:t xml:space="preserve"> </w:t>
      </w:r>
    </w:p>
    <w:p w14:paraId="57FF5DFA" w14:textId="6EE58ADF" w:rsidR="009C376F" w:rsidRPr="00471761" w:rsidRDefault="000C5A16" w:rsidP="00B71A70">
      <w:pPr>
        <w:spacing w:before="100" w:beforeAutospacing="1" w:after="100" w:afterAutospacing="1" w:line="360" w:lineRule="auto"/>
        <w:jc w:val="both"/>
        <w:rPr>
          <w:rFonts w:ascii="Calibri" w:hAnsi="Calibri"/>
        </w:rPr>
      </w:pPr>
      <w:r w:rsidRPr="00471761">
        <w:rPr>
          <w:rFonts w:ascii="Calibri" w:hAnsi="Calibri"/>
        </w:rPr>
        <w:t>T</w:t>
      </w:r>
      <w:r w:rsidR="009C376F" w:rsidRPr="00471761">
        <w:rPr>
          <w:rFonts w:ascii="Calibri" w:hAnsi="Calibri"/>
        </w:rPr>
        <w:t xml:space="preserve">he </w:t>
      </w:r>
      <w:r w:rsidRPr="00471761">
        <w:rPr>
          <w:rFonts w:ascii="Calibri" w:hAnsi="Calibri"/>
        </w:rPr>
        <w:t>CSW</w:t>
      </w:r>
      <w:r w:rsidR="00267552" w:rsidRPr="00471761">
        <w:rPr>
          <w:rFonts w:ascii="Calibri" w:hAnsi="Calibri"/>
        </w:rPr>
        <w:t>’s</w:t>
      </w:r>
      <w:r w:rsidRPr="00471761">
        <w:rPr>
          <w:rFonts w:ascii="Calibri" w:hAnsi="Calibri"/>
        </w:rPr>
        <w:t xml:space="preserve"> </w:t>
      </w:r>
      <w:r w:rsidR="001B4D62" w:rsidRPr="00471761">
        <w:rPr>
          <w:rFonts w:ascii="Calibri" w:hAnsi="Calibri"/>
        </w:rPr>
        <w:t>recommendations on</w:t>
      </w:r>
      <w:r w:rsidR="00267552" w:rsidRPr="00471761">
        <w:rPr>
          <w:rFonts w:ascii="Calibri" w:hAnsi="Calibri"/>
        </w:rPr>
        <w:t xml:space="preserve"> WPS </w:t>
      </w:r>
      <w:r w:rsidR="001E0A2A" w:rsidRPr="00471761">
        <w:rPr>
          <w:rFonts w:ascii="Calibri" w:hAnsi="Calibri"/>
        </w:rPr>
        <w:t>also form a key</w:t>
      </w:r>
      <w:r w:rsidR="001B4D62" w:rsidRPr="00471761">
        <w:rPr>
          <w:rFonts w:ascii="Calibri" w:hAnsi="Calibri"/>
        </w:rPr>
        <w:t xml:space="preserve"> part of </w:t>
      </w:r>
      <w:r w:rsidR="00267552" w:rsidRPr="00471761">
        <w:rPr>
          <w:rFonts w:ascii="Calibri" w:hAnsi="Calibri"/>
        </w:rPr>
        <w:t>the legal framework</w:t>
      </w:r>
      <w:r w:rsidR="009C376F" w:rsidRPr="00471761">
        <w:rPr>
          <w:rFonts w:ascii="Calibri" w:hAnsi="Calibri"/>
        </w:rPr>
        <w:t xml:space="preserve">. </w:t>
      </w:r>
      <w:r w:rsidR="009D5FC7" w:rsidRPr="00471761">
        <w:rPr>
          <w:rFonts w:ascii="Calibri" w:hAnsi="Calibri"/>
        </w:rPr>
        <w:t>The</w:t>
      </w:r>
      <w:r w:rsidR="009C376F" w:rsidRPr="00471761">
        <w:rPr>
          <w:rFonts w:ascii="Calibri" w:hAnsi="Calibri"/>
        </w:rPr>
        <w:t xml:space="preserve"> CSW Agreed Con</w:t>
      </w:r>
      <w:r w:rsidRPr="00471761">
        <w:rPr>
          <w:rFonts w:ascii="Calibri" w:hAnsi="Calibri"/>
        </w:rPr>
        <w:t xml:space="preserve">clusions of 2013 on violence against women </w:t>
      </w:r>
      <w:r w:rsidR="00267552" w:rsidRPr="00471761">
        <w:rPr>
          <w:rFonts w:ascii="Calibri" w:hAnsi="Calibri"/>
        </w:rPr>
        <w:t xml:space="preserve">add value to </w:t>
      </w:r>
      <w:r w:rsidR="001E0A2A" w:rsidRPr="00471761">
        <w:rPr>
          <w:rFonts w:ascii="Calibri" w:hAnsi="Calibri"/>
        </w:rPr>
        <w:t>understanding the obligations in</w:t>
      </w:r>
      <w:r w:rsidR="00267552" w:rsidRPr="00471761">
        <w:rPr>
          <w:rFonts w:ascii="Calibri" w:hAnsi="Calibri"/>
        </w:rPr>
        <w:t xml:space="preserve"> SCR 1325 </w:t>
      </w:r>
      <w:r w:rsidRPr="00471761">
        <w:rPr>
          <w:rFonts w:ascii="Calibri" w:hAnsi="Calibri"/>
        </w:rPr>
        <w:lastRenderedPageBreak/>
        <w:t xml:space="preserve">(see Section 1). </w:t>
      </w:r>
      <w:r w:rsidR="00010BAF" w:rsidRPr="00471761">
        <w:rPr>
          <w:rFonts w:ascii="Calibri" w:hAnsi="Calibri"/>
        </w:rPr>
        <w:t>It</w:t>
      </w:r>
      <w:r w:rsidR="00C566AF" w:rsidRPr="00471761">
        <w:rPr>
          <w:rFonts w:ascii="Calibri" w:hAnsi="Calibri"/>
        </w:rPr>
        <w:t xml:space="preserve"> </w:t>
      </w:r>
      <w:r w:rsidR="00010BAF" w:rsidRPr="00471761">
        <w:rPr>
          <w:rFonts w:ascii="Calibri" w:hAnsi="Calibri"/>
        </w:rPr>
        <w:t>is recommended that the CSW, like the UPR, include</w:t>
      </w:r>
      <w:r w:rsidR="00267552" w:rsidRPr="00471761">
        <w:rPr>
          <w:rFonts w:ascii="Calibri" w:hAnsi="Calibri"/>
        </w:rPr>
        <w:t xml:space="preserve"> a </w:t>
      </w:r>
      <w:r w:rsidR="001B4D62" w:rsidRPr="00471761">
        <w:rPr>
          <w:rFonts w:ascii="Calibri" w:hAnsi="Calibri"/>
          <w:b/>
          <w:color w:val="4F81BD" w:themeColor="accent1"/>
        </w:rPr>
        <w:t>“Women, Peace and Security” section</w:t>
      </w:r>
      <w:r w:rsidR="00267552" w:rsidRPr="00471761">
        <w:rPr>
          <w:rFonts w:ascii="Calibri" w:hAnsi="Calibri"/>
        </w:rPr>
        <w:t xml:space="preserve"> in </w:t>
      </w:r>
      <w:r w:rsidR="001E0A2A" w:rsidRPr="00471761">
        <w:rPr>
          <w:rFonts w:ascii="Calibri" w:hAnsi="Calibri"/>
          <w:b/>
          <w:color w:val="4F81BD" w:themeColor="accent1"/>
        </w:rPr>
        <w:t xml:space="preserve">its </w:t>
      </w:r>
      <w:r w:rsidR="00C566AF" w:rsidRPr="00471761">
        <w:rPr>
          <w:rFonts w:ascii="Calibri" w:hAnsi="Calibri"/>
          <w:b/>
          <w:color w:val="4F81BD" w:themeColor="accent1"/>
        </w:rPr>
        <w:t>Agreed Conclusions</w:t>
      </w:r>
      <w:r w:rsidR="00C566AF" w:rsidRPr="00471761">
        <w:rPr>
          <w:rFonts w:ascii="Calibri" w:hAnsi="Calibri"/>
        </w:rPr>
        <w:t>.</w:t>
      </w:r>
      <w:r w:rsidR="002B069A" w:rsidRPr="00471761">
        <w:rPr>
          <w:rFonts w:ascii="Calibri" w:hAnsi="Calibri"/>
        </w:rPr>
        <w:t xml:space="preserve"> As with the UPR process, government officials and civil society would require financial and human resources and capacity-building to help</w:t>
      </w:r>
      <w:r w:rsidR="003829A3" w:rsidRPr="00471761">
        <w:rPr>
          <w:rFonts w:ascii="Calibri" w:hAnsi="Calibri"/>
        </w:rPr>
        <w:t xml:space="preserve"> them report effectively on state compliance with the legal framework. Including a Women, Peace and Security section in </w:t>
      </w:r>
      <w:r w:rsidR="001E0A2A" w:rsidRPr="00471761">
        <w:rPr>
          <w:rFonts w:ascii="Calibri" w:hAnsi="Calibri"/>
        </w:rPr>
        <w:t>the Agreed Conclusions</w:t>
      </w:r>
      <w:r w:rsidR="003829A3" w:rsidRPr="00471761">
        <w:rPr>
          <w:rFonts w:ascii="Calibri" w:hAnsi="Calibri"/>
        </w:rPr>
        <w:t xml:space="preserve"> would also </w:t>
      </w:r>
      <w:r w:rsidR="00C82270" w:rsidRPr="00471761">
        <w:rPr>
          <w:rFonts w:ascii="Calibri" w:hAnsi="Calibri"/>
        </w:rPr>
        <w:t>ensure that that</w:t>
      </w:r>
      <w:r w:rsidR="003829A3" w:rsidRPr="00471761">
        <w:rPr>
          <w:rFonts w:ascii="Calibri" w:hAnsi="Calibri"/>
        </w:rPr>
        <w:t xml:space="preserve"> </w:t>
      </w:r>
      <w:r w:rsidR="00C82270" w:rsidRPr="00471761">
        <w:rPr>
          <w:rFonts w:ascii="Calibri" w:hAnsi="Calibri"/>
        </w:rPr>
        <w:t>the rights of women and girls</w:t>
      </w:r>
      <w:r w:rsidR="003829A3" w:rsidRPr="00471761">
        <w:rPr>
          <w:rFonts w:ascii="Calibri" w:hAnsi="Calibri"/>
        </w:rPr>
        <w:t xml:space="preserve"> in relation to conflict </w:t>
      </w:r>
      <w:r w:rsidR="00C82270" w:rsidRPr="00471761">
        <w:rPr>
          <w:rFonts w:ascii="Calibri" w:hAnsi="Calibri"/>
        </w:rPr>
        <w:t>contin</w:t>
      </w:r>
      <w:r w:rsidR="009D5FC7" w:rsidRPr="00471761">
        <w:rPr>
          <w:rFonts w:ascii="Calibri" w:hAnsi="Calibri"/>
        </w:rPr>
        <w:t>ue to be prioritised</w:t>
      </w:r>
      <w:r w:rsidR="001E0A2A" w:rsidRPr="00471761">
        <w:rPr>
          <w:rFonts w:ascii="Calibri" w:hAnsi="Calibri"/>
        </w:rPr>
        <w:t xml:space="preserve"> by governments</w:t>
      </w:r>
      <w:r w:rsidR="009D5FC7" w:rsidRPr="00471761">
        <w:rPr>
          <w:rFonts w:ascii="Calibri" w:hAnsi="Calibri"/>
        </w:rPr>
        <w:t xml:space="preserve"> and </w:t>
      </w:r>
      <w:r w:rsidR="001E0A2A" w:rsidRPr="00471761">
        <w:rPr>
          <w:rFonts w:ascii="Calibri" w:hAnsi="Calibri"/>
        </w:rPr>
        <w:t xml:space="preserve">development partners, and do not lose international attention or resourcing. Governments should also be encouraged to include the WPS agenda in the resolutions and other key outcome documents of the CSW. </w:t>
      </w:r>
    </w:p>
    <w:p w14:paraId="6811160A" w14:textId="18BC7585" w:rsidR="00ED0533" w:rsidRPr="00471761" w:rsidRDefault="001B4D62" w:rsidP="007F364C">
      <w:pPr>
        <w:pStyle w:val="ListParagraph"/>
        <w:numPr>
          <w:ilvl w:val="0"/>
          <w:numId w:val="7"/>
        </w:numPr>
        <w:spacing w:before="100" w:beforeAutospacing="1" w:after="100" w:afterAutospacing="1"/>
        <w:jc w:val="both"/>
        <w:rPr>
          <w:rFonts w:ascii="Calibri" w:hAnsi="Calibri"/>
          <w:b/>
          <w:color w:val="1F497D" w:themeColor="text2"/>
        </w:rPr>
      </w:pPr>
      <w:r w:rsidRPr="00471761">
        <w:rPr>
          <w:rFonts w:ascii="Calibri" w:hAnsi="Calibri"/>
          <w:b/>
          <w:color w:val="1F497D" w:themeColor="text2"/>
        </w:rPr>
        <w:t xml:space="preserve">The Committee on the Elimination of Discrimination </w:t>
      </w:r>
      <w:r w:rsidR="002F7691">
        <w:rPr>
          <w:rFonts w:ascii="Calibri" w:hAnsi="Calibri"/>
          <w:b/>
          <w:color w:val="1F497D" w:themeColor="text2"/>
        </w:rPr>
        <w:t>a</w:t>
      </w:r>
      <w:r w:rsidRPr="00471761">
        <w:rPr>
          <w:rFonts w:ascii="Calibri" w:hAnsi="Calibri"/>
          <w:b/>
          <w:color w:val="1F497D" w:themeColor="text2"/>
        </w:rPr>
        <w:t>gainst Women (CEDAW Committee)</w:t>
      </w:r>
    </w:p>
    <w:p w14:paraId="7ABCA2A9" w14:textId="1EAE1499" w:rsidR="00B63151" w:rsidRPr="00471761" w:rsidRDefault="00A072CA" w:rsidP="00B71A70">
      <w:pPr>
        <w:spacing w:before="100" w:beforeAutospacing="1" w:after="100" w:afterAutospacing="1" w:line="360" w:lineRule="auto"/>
        <w:jc w:val="both"/>
        <w:rPr>
          <w:rFonts w:ascii="Calibri" w:hAnsi="Calibri"/>
        </w:rPr>
      </w:pPr>
      <w:r w:rsidRPr="00471761">
        <w:rPr>
          <w:rFonts w:ascii="Calibri" w:hAnsi="Calibri"/>
        </w:rPr>
        <w:t xml:space="preserve">The Committee on the Elimination of </w:t>
      </w:r>
      <w:r w:rsidR="00862DA4" w:rsidRPr="00471761">
        <w:rPr>
          <w:rFonts w:ascii="Calibri" w:hAnsi="Calibri"/>
        </w:rPr>
        <w:t xml:space="preserve">Discrimination </w:t>
      </w:r>
      <w:r w:rsidR="002F7691">
        <w:rPr>
          <w:rFonts w:ascii="Calibri" w:hAnsi="Calibri"/>
        </w:rPr>
        <w:t>a</w:t>
      </w:r>
      <w:r w:rsidR="00862DA4" w:rsidRPr="00471761">
        <w:rPr>
          <w:rFonts w:ascii="Calibri" w:hAnsi="Calibri"/>
        </w:rPr>
        <w:t>gainst Women (CEDAW Committee) is</w:t>
      </w:r>
      <w:r w:rsidR="002B069A" w:rsidRPr="00471761">
        <w:rPr>
          <w:rFonts w:ascii="Calibri" w:hAnsi="Calibri"/>
        </w:rPr>
        <w:t xml:space="preserve"> </w:t>
      </w:r>
      <w:r w:rsidR="00D459E3" w:rsidRPr="00471761">
        <w:rPr>
          <w:rFonts w:ascii="Calibri" w:hAnsi="Calibri"/>
        </w:rPr>
        <w:t xml:space="preserve">the most relevant </w:t>
      </w:r>
      <w:r w:rsidR="00623568" w:rsidRPr="00471761">
        <w:rPr>
          <w:rFonts w:ascii="Calibri" w:hAnsi="Calibri"/>
        </w:rPr>
        <w:t xml:space="preserve">human rights </w:t>
      </w:r>
      <w:r w:rsidR="00D459E3" w:rsidRPr="00471761">
        <w:rPr>
          <w:rFonts w:ascii="Calibri" w:hAnsi="Calibri"/>
        </w:rPr>
        <w:t xml:space="preserve">treaty body to track progress on SCR 1325 and the legal framework, and is </w:t>
      </w:r>
      <w:r w:rsidR="002B069A" w:rsidRPr="00471761">
        <w:rPr>
          <w:rFonts w:ascii="Calibri" w:hAnsi="Calibri"/>
        </w:rPr>
        <w:t xml:space="preserve">increasingly playing a lead role in </w:t>
      </w:r>
      <w:r w:rsidR="00D12FC3" w:rsidRPr="00471761">
        <w:rPr>
          <w:rFonts w:ascii="Calibri" w:hAnsi="Calibri"/>
        </w:rPr>
        <w:t>doing so</w:t>
      </w:r>
      <w:r w:rsidR="002B069A" w:rsidRPr="00471761">
        <w:rPr>
          <w:rFonts w:ascii="Calibri" w:hAnsi="Calibri"/>
        </w:rPr>
        <w:t>.</w:t>
      </w:r>
      <w:r w:rsidR="002B069A" w:rsidRPr="00471761">
        <w:rPr>
          <w:rStyle w:val="FootnoteReference"/>
          <w:rFonts w:ascii="Calibri" w:hAnsi="Calibri"/>
        </w:rPr>
        <w:footnoteReference w:id="271"/>
      </w:r>
      <w:r w:rsidR="00862DA4" w:rsidRPr="00471761">
        <w:rPr>
          <w:rFonts w:ascii="Calibri" w:hAnsi="Calibri"/>
        </w:rPr>
        <w:t xml:space="preserve"> </w:t>
      </w:r>
      <w:r w:rsidR="00F2644F" w:rsidRPr="00471761">
        <w:rPr>
          <w:rFonts w:ascii="Calibri" w:hAnsi="Calibri"/>
        </w:rPr>
        <w:t xml:space="preserve">This is because of CEDAW’s status as the normative </w:t>
      </w:r>
      <w:r w:rsidR="004953A8" w:rsidRPr="00471761">
        <w:rPr>
          <w:rFonts w:ascii="Calibri" w:hAnsi="Calibri"/>
        </w:rPr>
        <w:t>heart</w:t>
      </w:r>
      <w:r w:rsidR="00F2644F" w:rsidRPr="00471761">
        <w:rPr>
          <w:rFonts w:ascii="Calibri" w:hAnsi="Calibri"/>
        </w:rPr>
        <w:t xml:space="preserve"> of the legal framework, </w:t>
      </w:r>
      <w:r w:rsidR="009D5FC7" w:rsidRPr="00471761">
        <w:rPr>
          <w:rFonts w:ascii="Calibri" w:hAnsi="Calibri"/>
        </w:rPr>
        <w:t>reflecting</w:t>
      </w:r>
      <w:r w:rsidR="00C65D1A" w:rsidRPr="00471761">
        <w:rPr>
          <w:rFonts w:ascii="Calibri" w:hAnsi="Calibri"/>
        </w:rPr>
        <w:t xml:space="preserve"> many </w:t>
      </w:r>
      <w:r w:rsidR="00F2644F" w:rsidRPr="00471761">
        <w:rPr>
          <w:rFonts w:ascii="Calibri" w:hAnsi="Calibri"/>
        </w:rPr>
        <w:t xml:space="preserve">protections in SCR 1325 (see Section 1). </w:t>
      </w:r>
      <w:r w:rsidR="00AC418B" w:rsidRPr="00471761">
        <w:rPr>
          <w:rFonts w:ascii="Calibri" w:hAnsi="Calibri"/>
        </w:rPr>
        <w:t>The CEDAW</w:t>
      </w:r>
      <w:r w:rsidR="00D12FC3" w:rsidRPr="00471761">
        <w:rPr>
          <w:rFonts w:ascii="Calibri" w:hAnsi="Calibri"/>
        </w:rPr>
        <w:t xml:space="preserve"> GR No. 30</w:t>
      </w:r>
      <w:r w:rsidR="00D12FC3" w:rsidRPr="00471761">
        <w:rPr>
          <w:rStyle w:val="FootnoteReference"/>
          <w:rFonts w:ascii="Calibri" w:hAnsi="Calibri"/>
        </w:rPr>
        <w:footnoteReference w:id="272"/>
      </w:r>
      <w:r w:rsidR="00D12FC3" w:rsidRPr="00471761">
        <w:rPr>
          <w:rFonts w:ascii="Calibri" w:hAnsi="Calibri"/>
        </w:rPr>
        <w:t xml:space="preserve"> explicitly asks states to provide information on the implementation of SCRs 1325, 1820 1888, 1889, 1960 and 2106 as part of their CEDAW reporting obligations (see Section 1).</w:t>
      </w:r>
      <w:r w:rsidR="00D12FC3" w:rsidRPr="00471761">
        <w:rPr>
          <w:rStyle w:val="FootnoteReference"/>
          <w:rFonts w:ascii="Calibri" w:hAnsi="Calibri"/>
        </w:rPr>
        <w:footnoteReference w:id="273"/>
      </w:r>
      <w:r w:rsidR="00AC418B" w:rsidRPr="00471761">
        <w:rPr>
          <w:rFonts w:ascii="Calibri" w:hAnsi="Calibri"/>
        </w:rPr>
        <w:t xml:space="preserve"> </w:t>
      </w:r>
      <w:r w:rsidR="00C65D1A" w:rsidRPr="00471761">
        <w:rPr>
          <w:rFonts w:ascii="Calibri" w:hAnsi="Calibri"/>
        </w:rPr>
        <w:t>T</w:t>
      </w:r>
      <w:r w:rsidR="00F2644F" w:rsidRPr="00471761">
        <w:rPr>
          <w:rFonts w:ascii="Calibri" w:hAnsi="Calibri"/>
        </w:rPr>
        <w:t xml:space="preserve">wo key objectives </w:t>
      </w:r>
      <w:r w:rsidR="002B069A" w:rsidRPr="00471761">
        <w:rPr>
          <w:rFonts w:ascii="Calibri" w:hAnsi="Calibri"/>
        </w:rPr>
        <w:t>of</w:t>
      </w:r>
      <w:r w:rsidR="00F2644F" w:rsidRPr="00471761">
        <w:rPr>
          <w:rFonts w:ascii="Calibri" w:hAnsi="Calibri"/>
        </w:rPr>
        <w:t xml:space="preserve"> </w:t>
      </w:r>
      <w:r w:rsidR="00623568" w:rsidRPr="00471761">
        <w:rPr>
          <w:rFonts w:ascii="Calibri" w:hAnsi="Calibri"/>
        </w:rPr>
        <w:t>CEDAW</w:t>
      </w:r>
      <w:r w:rsidR="003829A3" w:rsidRPr="00471761">
        <w:rPr>
          <w:rFonts w:ascii="Calibri" w:hAnsi="Calibri"/>
        </w:rPr>
        <w:t xml:space="preserve"> </w:t>
      </w:r>
      <w:r w:rsidR="00F2644F" w:rsidRPr="00471761">
        <w:rPr>
          <w:rFonts w:ascii="Calibri" w:hAnsi="Calibri"/>
        </w:rPr>
        <w:t>and its GR No. 30</w:t>
      </w:r>
      <w:r w:rsidR="002B069A" w:rsidRPr="00471761">
        <w:rPr>
          <w:rFonts w:ascii="Calibri" w:hAnsi="Calibri"/>
        </w:rPr>
        <w:t xml:space="preserve"> </w:t>
      </w:r>
      <w:r w:rsidR="00D12FC3" w:rsidRPr="00471761">
        <w:rPr>
          <w:rFonts w:ascii="Calibri" w:hAnsi="Calibri"/>
        </w:rPr>
        <w:t xml:space="preserve">guide the Committee’s </w:t>
      </w:r>
      <w:r w:rsidR="002B069A" w:rsidRPr="00471761">
        <w:rPr>
          <w:rFonts w:ascii="Calibri" w:hAnsi="Calibri"/>
        </w:rPr>
        <w:t xml:space="preserve">monitoring </w:t>
      </w:r>
      <w:r w:rsidR="00D12FC3" w:rsidRPr="00471761">
        <w:rPr>
          <w:rFonts w:ascii="Calibri" w:hAnsi="Calibri"/>
        </w:rPr>
        <w:t xml:space="preserve">of </w:t>
      </w:r>
      <w:r w:rsidR="00C65D1A" w:rsidRPr="00471761">
        <w:rPr>
          <w:rFonts w:ascii="Calibri" w:hAnsi="Calibri"/>
        </w:rPr>
        <w:t>state compliance</w:t>
      </w:r>
      <w:r w:rsidR="002B069A" w:rsidRPr="00471761">
        <w:rPr>
          <w:rFonts w:ascii="Calibri" w:hAnsi="Calibri"/>
        </w:rPr>
        <w:t>:  p</w:t>
      </w:r>
      <w:r w:rsidR="00F2644F" w:rsidRPr="00471761">
        <w:rPr>
          <w:rFonts w:ascii="Calibri" w:hAnsi="Calibri"/>
        </w:rPr>
        <w:t xml:space="preserve">rotecting women’s human rights and </w:t>
      </w:r>
      <w:r w:rsidR="00F2644F" w:rsidRPr="00471761">
        <w:rPr>
          <w:rFonts w:ascii="Calibri" w:hAnsi="Calibri"/>
          <w:b/>
          <w:color w:val="4F81BD" w:themeColor="accent1"/>
        </w:rPr>
        <w:t>advancing substantive equality</w:t>
      </w:r>
      <w:r w:rsidR="00F2644F" w:rsidRPr="00471761">
        <w:rPr>
          <w:rFonts w:ascii="Calibri" w:hAnsi="Calibri"/>
          <w:color w:val="4F81BD" w:themeColor="accent1"/>
        </w:rPr>
        <w:t xml:space="preserve"> </w:t>
      </w:r>
      <w:r w:rsidR="00F2644F" w:rsidRPr="00471761">
        <w:rPr>
          <w:rFonts w:ascii="Calibri" w:hAnsi="Calibri"/>
        </w:rPr>
        <w:t>at all stages of the conflict cycle (prevention, conflict, resolution, post-conflict and t</w:t>
      </w:r>
      <w:r w:rsidR="002B069A" w:rsidRPr="00471761">
        <w:rPr>
          <w:rFonts w:ascii="Calibri" w:hAnsi="Calibri"/>
        </w:rPr>
        <w:t xml:space="preserve">ransitional justice situations) and </w:t>
      </w:r>
      <w:r w:rsidR="002B069A" w:rsidRPr="00471761">
        <w:rPr>
          <w:rFonts w:ascii="Calibri" w:hAnsi="Calibri"/>
          <w:b/>
          <w:color w:val="4F81BD" w:themeColor="accent1"/>
        </w:rPr>
        <w:t>integrating</w:t>
      </w:r>
      <w:r w:rsidR="00F2644F" w:rsidRPr="00471761">
        <w:rPr>
          <w:rFonts w:ascii="Calibri" w:hAnsi="Calibri"/>
          <w:b/>
          <w:color w:val="4F81BD" w:themeColor="accent1"/>
        </w:rPr>
        <w:t xml:space="preserve"> women’s diverse experiences into peacebuilding and reconstruction</w:t>
      </w:r>
      <w:r w:rsidR="00F2644F" w:rsidRPr="00471761">
        <w:rPr>
          <w:rFonts w:ascii="Calibri" w:hAnsi="Calibri"/>
        </w:rPr>
        <w:t>.</w:t>
      </w:r>
      <w:r w:rsidR="00EE7BDB" w:rsidRPr="00471761">
        <w:rPr>
          <w:rStyle w:val="FootnoteReference"/>
          <w:rFonts w:ascii="Calibri" w:hAnsi="Calibri"/>
        </w:rPr>
        <w:footnoteReference w:id="274"/>
      </w:r>
      <w:r w:rsidR="00623568" w:rsidRPr="00471761">
        <w:rPr>
          <w:rFonts w:ascii="Calibri" w:hAnsi="Calibri"/>
        </w:rPr>
        <w:t xml:space="preserve"> </w:t>
      </w:r>
      <w:r w:rsidR="00C65D1A" w:rsidRPr="00471761">
        <w:rPr>
          <w:rFonts w:ascii="Calibri" w:hAnsi="Calibri"/>
        </w:rPr>
        <w:t>The</w:t>
      </w:r>
      <w:r w:rsidR="00F2644F" w:rsidRPr="00471761">
        <w:rPr>
          <w:rFonts w:ascii="Calibri" w:hAnsi="Calibri"/>
        </w:rPr>
        <w:t xml:space="preserve"> relevant processes </w:t>
      </w:r>
      <w:r w:rsidR="00C65D1A" w:rsidRPr="00471761">
        <w:rPr>
          <w:rFonts w:ascii="Calibri" w:hAnsi="Calibri"/>
        </w:rPr>
        <w:t xml:space="preserve">of the Committee are </w:t>
      </w:r>
      <w:r w:rsidR="00D12FC3" w:rsidRPr="00471761">
        <w:rPr>
          <w:rFonts w:ascii="Calibri" w:hAnsi="Calibri"/>
        </w:rPr>
        <w:t>CEDAW’s</w:t>
      </w:r>
      <w:r w:rsidR="00F2644F" w:rsidRPr="00471761">
        <w:rPr>
          <w:rFonts w:ascii="Calibri" w:hAnsi="Calibri"/>
        </w:rPr>
        <w:t xml:space="preserve"> </w:t>
      </w:r>
      <w:r w:rsidR="00F2644F" w:rsidRPr="00471761">
        <w:rPr>
          <w:rFonts w:ascii="Calibri" w:hAnsi="Calibri"/>
          <w:b/>
          <w:color w:val="4F81BD" w:themeColor="accent1"/>
        </w:rPr>
        <w:t>mandatory reporting</w:t>
      </w:r>
      <w:r w:rsidR="00F2644F" w:rsidRPr="00471761">
        <w:rPr>
          <w:rFonts w:ascii="Calibri" w:hAnsi="Calibri"/>
        </w:rPr>
        <w:t xml:space="preserve"> requirement,</w:t>
      </w:r>
      <w:r w:rsidR="00D459E3" w:rsidRPr="00471761">
        <w:rPr>
          <w:rStyle w:val="FootnoteReference"/>
          <w:rFonts w:ascii="Calibri" w:hAnsi="Calibri"/>
        </w:rPr>
        <w:footnoteReference w:id="275"/>
      </w:r>
      <w:r w:rsidR="00F2644F" w:rsidRPr="00471761">
        <w:rPr>
          <w:rFonts w:ascii="Calibri" w:hAnsi="Calibri"/>
        </w:rPr>
        <w:t xml:space="preserve"> </w:t>
      </w:r>
      <w:r w:rsidR="00C65D1A" w:rsidRPr="00471761">
        <w:rPr>
          <w:rFonts w:ascii="Calibri" w:hAnsi="Calibri"/>
        </w:rPr>
        <w:t xml:space="preserve">the </w:t>
      </w:r>
      <w:r w:rsidR="007114F0">
        <w:rPr>
          <w:rFonts w:ascii="Calibri" w:hAnsi="Calibri"/>
          <w:b/>
          <w:color w:val="4F81BD" w:themeColor="accent1"/>
        </w:rPr>
        <w:t>communication</w:t>
      </w:r>
      <w:r w:rsidR="00F2644F" w:rsidRPr="00471761">
        <w:rPr>
          <w:rFonts w:ascii="Calibri" w:hAnsi="Calibri"/>
          <w:b/>
          <w:color w:val="4F81BD" w:themeColor="accent1"/>
        </w:rPr>
        <w:t xml:space="preserve"> procedure</w:t>
      </w:r>
      <w:r w:rsidR="00C65D1A" w:rsidRPr="00471761">
        <w:rPr>
          <w:rFonts w:ascii="Calibri" w:hAnsi="Calibri"/>
        </w:rPr>
        <w:t xml:space="preserve"> under CEDAW’s Optional Protocol</w:t>
      </w:r>
      <w:r w:rsidR="00D459E3" w:rsidRPr="00471761">
        <w:rPr>
          <w:rStyle w:val="FootnoteReference"/>
          <w:rFonts w:ascii="Calibri" w:hAnsi="Calibri"/>
        </w:rPr>
        <w:footnoteReference w:id="276"/>
      </w:r>
      <w:r w:rsidR="00F2644F" w:rsidRPr="00471761">
        <w:rPr>
          <w:rFonts w:ascii="Calibri" w:hAnsi="Calibri"/>
        </w:rPr>
        <w:t xml:space="preserve"> and the Committee’s </w:t>
      </w:r>
      <w:r w:rsidR="00D12FC3" w:rsidRPr="00471761">
        <w:rPr>
          <w:rFonts w:ascii="Calibri" w:hAnsi="Calibri"/>
        </w:rPr>
        <w:t>work</w:t>
      </w:r>
      <w:r w:rsidR="009D5FC7" w:rsidRPr="00471761">
        <w:rPr>
          <w:rFonts w:ascii="Calibri" w:hAnsi="Calibri"/>
        </w:rPr>
        <w:t xml:space="preserve"> with </w:t>
      </w:r>
      <w:r w:rsidR="009D5FC7" w:rsidRPr="00471761">
        <w:rPr>
          <w:rFonts w:ascii="Calibri" w:hAnsi="Calibri"/>
          <w:b/>
          <w:color w:val="4F81BD" w:themeColor="accent1"/>
        </w:rPr>
        <w:t>civil society</w:t>
      </w:r>
      <w:r w:rsidR="00D12FC3" w:rsidRPr="00471761">
        <w:rPr>
          <w:rFonts w:ascii="Calibri" w:hAnsi="Calibri"/>
          <w:b/>
          <w:color w:val="4F81BD" w:themeColor="accent1"/>
        </w:rPr>
        <w:t xml:space="preserve"> </w:t>
      </w:r>
      <w:r w:rsidR="00AC418B" w:rsidRPr="00471761">
        <w:rPr>
          <w:rFonts w:ascii="Calibri" w:hAnsi="Calibri"/>
          <w:b/>
          <w:color w:val="4F81BD" w:themeColor="accent1"/>
        </w:rPr>
        <w:t>on</w:t>
      </w:r>
      <w:r w:rsidR="00D12FC3" w:rsidRPr="00471761">
        <w:rPr>
          <w:rFonts w:ascii="Calibri" w:hAnsi="Calibri"/>
          <w:b/>
          <w:color w:val="4F81BD" w:themeColor="accent1"/>
        </w:rPr>
        <w:t xml:space="preserve"> </w:t>
      </w:r>
      <w:r w:rsidR="00406EB7">
        <w:rPr>
          <w:rFonts w:ascii="Calibri" w:hAnsi="Calibri"/>
          <w:b/>
          <w:color w:val="4F81BD" w:themeColor="accent1"/>
        </w:rPr>
        <w:t xml:space="preserve">building an </w:t>
      </w:r>
      <w:r w:rsidR="00AC418B" w:rsidRPr="00471761">
        <w:rPr>
          <w:rFonts w:ascii="Calibri" w:hAnsi="Calibri"/>
          <w:b/>
          <w:color w:val="4F81BD" w:themeColor="accent1"/>
        </w:rPr>
        <w:t>understanding</w:t>
      </w:r>
      <w:r w:rsidR="00406EB7">
        <w:rPr>
          <w:rFonts w:ascii="Calibri" w:hAnsi="Calibri"/>
          <w:b/>
          <w:color w:val="4F81BD" w:themeColor="accent1"/>
        </w:rPr>
        <w:t xml:space="preserve"> of SCR</w:t>
      </w:r>
      <w:r w:rsidR="00F2644F" w:rsidRPr="00471761">
        <w:rPr>
          <w:rFonts w:ascii="Calibri" w:hAnsi="Calibri"/>
          <w:b/>
          <w:color w:val="4F81BD" w:themeColor="accent1"/>
        </w:rPr>
        <w:t xml:space="preserve"> 1325 as integrated with CEDAW GR No. 30</w:t>
      </w:r>
      <w:r w:rsidR="00F2644F" w:rsidRPr="00471761">
        <w:rPr>
          <w:rFonts w:ascii="Calibri" w:hAnsi="Calibri"/>
        </w:rPr>
        <w:t>.</w:t>
      </w:r>
      <w:r w:rsidR="009D5FC7" w:rsidRPr="00471761">
        <w:rPr>
          <w:rFonts w:ascii="Calibri" w:hAnsi="Calibri"/>
        </w:rPr>
        <w:t xml:space="preserve"> </w:t>
      </w:r>
      <w:r w:rsidR="00B63151" w:rsidRPr="00471761">
        <w:rPr>
          <w:rFonts w:ascii="Calibri" w:hAnsi="Calibri"/>
        </w:rPr>
        <w:t>These processes must be strengthene</w:t>
      </w:r>
      <w:r w:rsidR="00D12FC3" w:rsidRPr="00471761">
        <w:rPr>
          <w:rFonts w:ascii="Calibri" w:hAnsi="Calibri"/>
        </w:rPr>
        <w:t xml:space="preserve">d, </w:t>
      </w:r>
      <w:r w:rsidR="005E495D" w:rsidRPr="00471761">
        <w:rPr>
          <w:rFonts w:ascii="Calibri" w:hAnsi="Calibri"/>
        </w:rPr>
        <w:t>via</w:t>
      </w:r>
      <w:r w:rsidR="00AC418B" w:rsidRPr="00471761">
        <w:rPr>
          <w:rFonts w:ascii="Calibri" w:hAnsi="Calibri"/>
        </w:rPr>
        <w:t xml:space="preserve"> </w:t>
      </w:r>
      <w:r w:rsidR="005E495D" w:rsidRPr="00471761">
        <w:rPr>
          <w:rFonts w:ascii="Calibri" w:hAnsi="Calibri"/>
        </w:rPr>
        <w:t>capacity-building for states and civil society</w:t>
      </w:r>
      <w:r w:rsidR="00AC418B" w:rsidRPr="00471761">
        <w:rPr>
          <w:rFonts w:ascii="Calibri" w:hAnsi="Calibri"/>
        </w:rPr>
        <w:t xml:space="preserve"> and</w:t>
      </w:r>
      <w:r w:rsidR="006E21AB">
        <w:rPr>
          <w:rFonts w:ascii="Calibri" w:hAnsi="Calibri"/>
        </w:rPr>
        <w:t xml:space="preserve"> improving women’s and girls’ access to them, as discussed below</w:t>
      </w:r>
      <w:r w:rsidR="00D12FC3" w:rsidRPr="00471761">
        <w:rPr>
          <w:rFonts w:ascii="Calibri" w:hAnsi="Calibri"/>
        </w:rPr>
        <w:t xml:space="preserve">. </w:t>
      </w:r>
      <w:r w:rsidR="00B63151" w:rsidRPr="00471761">
        <w:rPr>
          <w:rFonts w:ascii="Calibri" w:hAnsi="Calibri"/>
        </w:rPr>
        <w:t xml:space="preserve"> </w:t>
      </w:r>
    </w:p>
    <w:p w14:paraId="49978631" w14:textId="37A9AE4E" w:rsidR="00D7771C" w:rsidRPr="00471761" w:rsidRDefault="009D5FC7" w:rsidP="00B71A70">
      <w:pPr>
        <w:spacing w:before="100" w:beforeAutospacing="1" w:after="100" w:afterAutospacing="1" w:line="360" w:lineRule="auto"/>
        <w:jc w:val="both"/>
        <w:rPr>
          <w:rFonts w:ascii="Calibri" w:hAnsi="Calibri"/>
        </w:rPr>
      </w:pPr>
      <w:r w:rsidRPr="00471761">
        <w:rPr>
          <w:rFonts w:ascii="Calibri" w:hAnsi="Calibri"/>
        </w:rPr>
        <w:lastRenderedPageBreak/>
        <w:t>The weaknesses of the</w:t>
      </w:r>
      <w:r w:rsidRPr="00471761">
        <w:rPr>
          <w:rFonts w:ascii="Calibri" w:hAnsi="Calibri"/>
          <w:color w:val="4F81BD" w:themeColor="accent1"/>
        </w:rPr>
        <w:t xml:space="preserve"> </w:t>
      </w:r>
      <w:r w:rsidRPr="00471761">
        <w:rPr>
          <w:rFonts w:ascii="Calibri" w:hAnsi="Calibri"/>
          <w:b/>
          <w:color w:val="4F81BD" w:themeColor="accent1"/>
        </w:rPr>
        <w:t xml:space="preserve">state </w:t>
      </w:r>
      <w:r w:rsidR="00B63151" w:rsidRPr="00471761">
        <w:rPr>
          <w:rFonts w:ascii="Calibri" w:hAnsi="Calibri"/>
          <w:b/>
          <w:color w:val="4F81BD" w:themeColor="accent1"/>
        </w:rPr>
        <w:t xml:space="preserve">monitoring </w:t>
      </w:r>
      <w:r w:rsidRPr="00471761">
        <w:rPr>
          <w:rFonts w:ascii="Calibri" w:hAnsi="Calibri"/>
        </w:rPr>
        <w:t>system are well known</w:t>
      </w:r>
      <w:r w:rsidR="00787CA7" w:rsidRPr="00471761">
        <w:rPr>
          <w:rFonts w:ascii="Calibri" w:hAnsi="Calibri"/>
        </w:rPr>
        <w:t>.</w:t>
      </w:r>
      <w:r w:rsidR="00787CA7" w:rsidRPr="00471761">
        <w:rPr>
          <w:rStyle w:val="FootnoteReference"/>
          <w:rFonts w:ascii="Calibri" w:hAnsi="Calibri"/>
        </w:rPr>
        <w:footnoteReference w:id="277"/>
      </w:r>
      <w:r w:rsidR="00787CA7" w:rsidRPr="00471761">
        <w:rPr>
          <w:rFonts w:ascii="Calibri" w:hAnsi="Calibri"/>
        </w:rPr>
        <w:t xml:space="preserve">  </w:t>
      </w:r>
      <w:r w:rsidRPr="00471761">
        <w:rPr>
          <w:rFonts w:ascii="Calibri" w:hAnsi="Calibri"/>
        </w:rPr>
        <w:t xml:space="preserve"> </w:t>
      </w:r>
      <w:r w:rsidR="00787CA7" w:rsidRPr="00471761">
        <w:rPr>
          <w:rFonts w:ascii="Calibri" w:hAnsi="Calibri"/>
        </w:rPr>
        <w:t>E</w:t>
      </w:r>
      <w:r w:rsidRPr="00471761">
        <w:rPr>
          <w:rFonts w:ascii="Calibri" w:hAnsi="Calibri"/>
        </w:rPr>
        <w:t>fforts must be made to improve the rate of state reporting under CEDAW</w:t>
      </w:r>
      <w:r w:rsidR="00B63151" w:rsidRPr="00471761">
        <w:rPr>
          <w:rFonts w:ascii="Calibri" w:hAnsi="Calibri"/>
        </w:rPr>
        <w:t xml:space="preserve"> and to build governments’ capacity to effectively </w:t>
      </w:r>
      <w:r w:rsidR="00C65D1A" w:rsidRPr="00471761">
        <w:rPr>
          <w:rFonts w:ascii="Calibri" w:hAnsi="Calibri"/>
        </w:rPr>
        <w:t xml:space="preserve">track </w:t>
      </w:r>
      <w:r w:rsidR="00B63151" w:rsidRPr="00471761">
        <w:rPr>
          <w:rFonts w:ascii="Calibri" w:hAnsi="Calibri"/>
        </w:rPr>
        <w:t>progress on the legal framework</w:t>
      </w:r>
      <w:r w:rsidRPr="00471761">
        <w:rPr>
          <w:rFonts w:ascii="Calibri" w:hAnsi="Calibri"/>
        </w:rPr>
        <w:t>, es</w:t>
      </w:r>
      <w:r w:rsidR="00B63151" w:rsidRPr="00471761">
        <w:rPr>
          <w:rFonts w:ascii="Calibri" w:hAnsi="Calibri"/>
        </w:rPr>
        <w:t>pecially for conflict-affected countries</w:t>
      </w:r>
      <w:r w:rsidRPr="00471761">
        <w:rPr>
          <w:rFonts w:ascii="Calibri" w:hAnsi="Calibri"/>
        </w:rPr>
        <w:t>.</w:t>
      </w:r>
      <w:r w:rsidR="00787CA7" w:rsidRPr="00471761">
        <w:rPr>
          <w:rFonts w:ascii="Calibri" w:hAnsi="Calibri"/>
        </w:rPr>
        <w:t xml:space="preserve"> </w:t>
      </w:r>
      <w:r w:rsidR="005E495D" w:rsidRPr="00471761">
        <w:rPr>
          <w:rFonts w:ascii="Calibri" w:hAnsi="Calibri"/>
        </w:rPr>
        <w:t xml:space="preserve"> This includes </w:t>
      </w:r>
      <w:r w:rsidR="005E495D" w:rsidRPr="00471761">
        <w:rPr>
          <w:rFonts w:ascii="Calibri" w:hAnsi="Calibri"/>
          <w:b/>
          <w:color w:val="4F81BD" w:themeColor="accent1"/>
        </w:rPr>
        <w:t xml:space="preserve">mainstreaming </w:t>
      </w:r>
      <w:r w:rsidR="004953A8" w:rsidRPr="00471761">
        <w:rPr>
          <w:rFonts w:ascii="Calibri" w:hAnsi="Calibri"/>
          <w:b/>
          <w:color w:val="4F81BD" w:themeColor="accent1"/>
        </w:rPr>
        <w:t xml:space="preserve">the </w:t>
      </w:r>
      <w:r w:rsidR="005E495D" w:rsidRPr="00471761">
        <w:rPr>
          <w:rFonts w:ascii="Calibri" w:hAnsi="Calibri"/>
          <w:b/>
          <w:color w:val="4F81BD" w:themeColor="accent1"/>
        </w:rPr>
        <w:t>CEDAW GR No. 30</w:t>
      </w:r>
      <w:r w:rsidR="005E495D" w:rsidRPr="00471761">
        <w:rPr>
          <w:rFonts w:ascii="Calibri" w:hAnsi="Calibri"/>
        </w:rPr>
        <w:t xml:space="preserve"> into state and shadow reports</w:t>
      </w:r>
      <w:r w:rsidR="004953A8" w:rsidRPr="00471761">
        <w:rPr>
          <w:rFonts w:ascii="Calibri" w:hAnsi="Calibri"/>
        </w:rPr>
        <w:t>, by developing guidelines and supporting capacity-building via training and resource-sharing</w:t>
      </w:r>
      <w:r w:rsidR="005E495D" w:rsidRPr="00471761">
        <w:rPr>
          <w:rFonts w:ascii="Calibri" w:hAnsi="Calibri"/>
        </w:rPr>
        <w:t xml:space="preserve">. </w:t>
      </w:r>
      <w:r w:rsidR="00787CA7" w:rsidRPr="00471761">
        <w:rPr>
          <w:rFonts w:ascii="Calibri" w:hAnsi="Calibri"/>
        </w:rPr>
        <w:t xml:space="preserve">Many </w:t>
      </w:r>
      <w:r w:rsidR="008D7D6C" w:rsidRPr="00471761">
        <w:rPr>
          <w:rFonts w:ascii="Calibri" w:hAnsi="Calibri"/>
        </w:rPr>
        <w:t>states</w:t>
      </w:r>
      <w:r w:rsidR="00787CA7" w:rsidRPr="00471761">
        <w:rPr>
          <w:rFonts w:ascii="Calibri" w:hAnsi="Calibri"/>
        </w:rPr>
        <w:t xml:space="preserve"> </w:t>
      </w:r>
      <w:r w:rsidR="00C65D1A" w:rsidRPr="00471761">
        <w:rPr>
          <w:rFonts w:ascii="Calibri" w:hAnsi="Calibri"/>
        </w:rPr>
        <w:t xml:space="preserve">due </w:t>
      </w:r>
      <w:r w:rsidR="00787CA7" w:rsidRPr="00471761">
        <w:rPr>
          <w:rFonts w:ascii="Calibri" w:hAnsi="Calibri"/>
        </w:rPr>
        <w:t xml:space="preserve">to appear before the CEDAW Committee </w:t>
      </w:r>
      <w:r w:rsidR="004953A8" w:rsidRPr="00471761">
        <w:rPr>
          <w:rFonts w:ascii="Calibri" w:hAnsi="Calibri"/>
        </w:rPr>
        <w:t>are in conflict or</w:t>
      </w:r>
      <w:r w:rsidR="00B63151" w:rsidRPr="00471761">
        <w:rPr>
          <w:rFonts w:ascii="Calibri" w:hAnsi="Calibri"/>
        </w:rPr>
        <w:t xml:space="preserve"> post-conflict situations. </w:t>
      </w:r>
      <w:r w:rsidR="00C65D1A" w:rsidRPr="00471761">
        <w:rPr>
          <w:rFonts w:ascii="Calibri" w:hAnsi="Calibri"/>
        </w:rPr>
        <w:t>Lebanon, Liberia, Myanmar, Timor-Leste and Yemen are among c</w:t>
      </w:r>
      <w:r w:rsidR="00B63151" w:rsidRPr="00471761">
        <w:rPr>
          <w:rFonts w:ascii="Calibri" w:hAnsi="Calibri"/>
        </w:rPr>
        <w:t xml:space="preserve">ountries that took part in </w:t>
      </w:r>
      <w:r w:rsidR="008D7D6C" w:rsidRPr="00471761">
        <w:rPr>
          <w:rFonts w:ascii="Calibri" w:hAnsi="Calibri"/>
        </w:rPr>
        <w:t>Pre-Sessional Working Groups</w:t>
      </w:r>
      <w:r w:rsidR="00B63151" w:rsidRPr="00471761">
        <w:rPr>
          <w:rFonts w:ascii="Calibri" w:hAnsi="Calibri"/>
        </w:rPr>
        <w:t xml:space="preserve"> with the CEDAW Committee or are </w:t>
      </w:r>
      <w:r w:rsidR="00C65D1A" w:rsidRPr="00471761">
        <w:rPr>
          <w:rFonts w:ascii="Calibri" w:hAnsi="Calibri"/>
        </w:rPr>
        <w:t>set</w:t>
      </w:r>
      <w:r w:rsidR="00B63151" w:rsidRPr="00471761">
        <w:rPr>
          <w:rFonts w:ascii="Calibri" w:hAnsi="Calibri"/>
        </w:rPr>
        <w:t xml:space="preserve"> to </w:t>
      </w:r>
      <w:r w:rsidR="00C65D1A" w:rsidRPr="00471761">
        <w:rPr>
          <w:rFonts w:ascii="Calibri" w:hAnsi="Calibri"/>
        </w:rPr>
        <w:t xml:space="preserve">report </w:t>
      </w:r>
      <w:r w:rsidR="00B63151" w:rsidRPr="00471761">
        <w:rPr>
          <w:rFonts w:ascii="Calibri" w:hAnsi="Calibri"/>
        </w:rPr>
        <w:t>in the coming year.</w:t>
      </w:r>
      <w:r w:rsidR="00B63151" w:rsidRPr="00471761">
        <w:rPr>
          <w:rStyle w:val="FootnoteReference"/>
          <w:rFonts w:ascii="Calibri" w:hAnsi="Calibri"/>
        </w:rPr>
        <w:footnoteReference w:id="278"/>
      </w:r>
      <w:r w:rsidR="008D7D6C" w:rsidRPr="00471761">
        <w:rPr>
          <w:rFonts w:ascii="Calibri" w:hAnsi="Calibri"/>
        </w:rPr>
        <w:t xml:space="preserve"> Greater financial and human resources could be provided to the CEDAW Committee to hold Pre-Sessional Working Groups, </w:t>
      </w:r>
      <w:r w:rsidR="005E495D" w:rsidRPr="00471761">
        <w:rPr>
          <w:rFonts w:ascii="Calibri" w:hAnsi="Calibri"/>
        </w:rPr>
        <w:t>with a focus on</w:t>
      </w:r>
      <w:r w:rsidR="004953A8" w:rsidRPr="00471761">
        <w:rPr>
          <w:rFonts w:ascii="Calibri" w:hAnsi="Calibri"/>
        </w:rPr>
        <w:t xml:space="preserve"> understanding</w:t>
      </w:r>
      <w:r w:rsidR="005E495D" w:rsidRPr="00471761">
        <w:rPr>
          <w:rFonts w:ascii="Calibri" w:hAnsi="Calibri"/>
        </w:rPr>
        <w:t xml:space="preserve"> SCR 1325 </w:t>
      </w:r>
      <w:r w:rsidR="004953A8" w:rsidRPr="00471761">
        <w:rPr>
          <w:rFonts w:ascii="Calibri" w:hAnsi="Calibri"/>
        </w:rPr>
        <w:t>in the context of the</w:t>
      </w:r>
      <w:r w:rsidR="005E495D" w:rsidRPr="00471761">
        <w:rPr>
          <w:rFonts w:ascii="Calibri" w:hAnsi="Calibri"/>
        </w:rPr>
        <w:t xml:space="preserve"> the GR No. 30</w:t>
      </w:r>
      <w:r w:rsidR="008D7D6C" w:rsidRPr="00471761">
        <w:rPr>
          <w:rFonts w:ascii="Calibri" w:hAnsi="Calibri"/>
        </w:rPr>
        <w:t>.</w:t>
      </w:r>
      <w:r w:rsidR="004E11AB" w:rsidRPr="00471761">
        <w:rPr>
          <w:rFonts w:ascii="Calibri" w:hAnsi="Calibri"/>
        </w:rPr>
        <w:t xml:space="preserve"> These resources should be shared with women’s and girls’ organizations to support effective shadow reporting by them. </w:t>
      </w:r>
    </w:p>
    <w:p w14:paraId="4CF21A70" w14:textId="59526097" w:rsidR="004E11AB" w:rsidRPr="00471761" w:rsidRDefault="00D459E3" w:rsidP="00B71A70">
      <w:pPr>
        <w:spacing w:line="360" w:lineRule="auto"/>
        <w:jc w:val="both"/>
        <w:rPr>
          <w:rFonts w:ascii="Calibri" w:hAnsi="Calibri"/>
        </w:rPr>
      </w:pPr>
      <w:r w:rsidRPr="00471761">
        <w:rPr>
          <w:rFonts w:ascii="Calibri" w:hAnsi="Calibri"/>
        </w:rPr>
        <w:t xml:space="preserve">The </w:t>
      </w:r>
      <w:r w:rsidR="00C65D1A" w:rsidRPr="00471761">
        <w:rPr>
          <w:rFonts w:ascii="Calibri" w:hAnsi="Calibri"/>
          <w:b/>
          <w:color w:val="4F81BD" w:themeColor="accent1"/>
        </w:rPr>
        <w:t>communication procedure</w:t>
      </w:r>
      <w:r w:rsidR="00C65D1A" w:rsidRPr="00471761">
        <w:rPr>
          <w:rFonts w:ascii="Calibri" w:hAnsi="Calibri"/>
        </w:rPr>
        <w:t xml:space="preserve">, introduced in 2000 for women or groups of women to submit claims </w:t>
      </w:r>
      <w:r w:rsidR="004E11AB" w:rsidRPr="00471761">
        <w:rPr>
          <w:rFonts w:ascii="Calibri" w:hAnsi="Calibri"/>
        </w:rPr>
        <w:t>of</w:t>
      </w:r>
      <w:r w:rsidR="00C65D1A" w:rsidRPr="00471761">
        <w:rPr>
          <w:rFonts w:ascii="Calibri" w:hAnsi="Calibri"/>
        </w:rPr>
        <w:t xml:space="preserve"> rights violations under CEDAW, has been under-used. </w:t>
      </w:r>
      <w:r w:rsidRPr="00471761">
        <w:rPr>
          <w:rFonts w:ascii="Calibri" w:hAnsi="Calibri"/>
        </w:rPr>
        <w:t xml:space="preserve"> </w:t>
      </w:r>
      <w:r w:rsidR="00C65D1A" w:rsidRPr="00471761">
        <w:rPr>
          <w:rFonts w:ascii="Calibri" w:hAnsi="Calibri"/>
        </w:rPr>
        <w:t>As of 1 September 2014, 41 cases have been brought before the Committee, 19 of which were held to be inadmissible.</w:t>
      </w:r>
      <w:r w:rsidR="00C65D1A" w:rsidRPr="00471761">
        <w:rPr>
          <w:rStyle w:val="FootnoteReference"/>
          <w:rFonts w:ascii="Calibri" w:hAnsi="Calibri"/>
        </w:rPr>
        <w:footnoteReference w:id="279"/>
      </w:r>
      <w:r w:rsidR="00C65D1A" w:rsidRPr="00471761">
        <w:rPr>
          <w:rFonts w:ascii="Calibri" w:hAnsi="Calibri"/>
        </w:rPr>
        <w:t xml:space="preserve"> </w:t>
      </w:r>
      <w:r w:rsidR="004E11AB" w:rsidRPr="00471761">
        <w:rPr>
          <w:rFonts w:ascii="Calibri" w:hAnsi="Calibri"/>
        </w:rPr>
        <w:t>There appear to be several reasons for the under-utilization of the procedure. First,</w:t>
      </w:r>
      <w:r w:rsidR="00C65D1A" w:rsidRPr="00471761">
        <w:rPr>
          <w:rFonts w:ascii="Calibri" w:hAnsi="Calibri"/>
        </w:rPr>
        <w:t xml:space="preserve"> the procedure is </w:t>
      </w:r>
      <w:r w:rsidR="00C65D1A" w:rsidRPr="00471761">
        <w:rPr>
          <w:rFonts w:ascii="Calibri" w:hAnsi="Calibri"/>
          <w:b/>
          <w:color w:val="4F81BD" w:themeColor="accent1"/>
        </w:rPr>
        <w:t>not well-known</w:t>
      </w:r>
      <w:r w:rsidR="00C65D1A" w:rsidRPr="00471761">
        <w:rPr>
          <w:rFonts w:ascii="Calibri" w:hAnsi="Calibri"/>
        </w:rPr>
        <w:t>.</w:t>
      </w:r>
      <w:r w:rsidR="00C65D1A" w:rsidRPr="00471761">
        <w:rPr>
          <w:rStyle w:val="FootnoteReference"/>
          <w:rFonts w:ascii="Calibri" w:hAnsi="Calibri"/>
        </w:rPr>
        <w:footnoteReference w:id="280"/>
      </w:r>
      <w:r w:rsidR="00C65D1A" w:rsidRPr="00471761">
        <w:rPr>
          <w:rFonts w:ascii="Calibri" w:hAnsi="Calibri"/>
        </w:rPr>
        <w:t xml:space="preserve"> </w:t>
      </w:r>
      <w:r w:rsidR="004E11AB" w:rsidRPr="00471761">
        <w:rPr>
          <w:rFonts w:ascii="Calibri" w:hAnsi="Calibri"/>
        </w:rPr>
        <w:t>Second,</w:t>
      </w:r>
      <w:r w:rsidR="00C65D1A" w:rsidRPr="00471761">
        <w:rPr>
          <w:rFonts w:ascii="Calibri" w:hAnsi="Calibri"/>
        </w:rPr>
        <w:t xml:space="preserve"> </w:t>
      </w:r>
      <w:r w:rsidR="00F347F2" w:rsidRPr="00471761">
        <w:rPr>
          <w:rFonts w:ascii="Calibri" w:hAnsi="Calibri"/>
          <w:b/>
          <w:color w:val="4F81BD" w:themeColor="accent1"/>
        </w:rPr>
        <w:t>women’s access</w:t>
      </w:r>
      <w:r w:rsidR="00F347F2" w:rsidRPr="00471761">
        <w:rPr>
          <w:rFonts w:ascii="Calibri" w:hAnsi="Calibri"/>
        </w:rPr>
        <w:t xml:space="preserve"> to the procedure is hampered by </w:t>
      </w:r>
      <w:r w:rsidR="00C65D1A" w:rsidRPr="00471761">
        <w:rPr>
          <w:rFonts w:ascii="Calibri" w:hAnsi="Calibri"/>
        </w:rPr>
        <w:t xml:space="preserve">the requirement </w:t>
      </w:r>
      <w:r w:rsidR="004E11AB" w:rsidRPr="00471761">
        <w:rPr>
          <w:rFonts w:ascii="Calibri" w:hAnsi="Calibri"/>
        </w:rPr>
        <w:t>for</w:t>
      </w:r>
      <w:r w:rsidR="00C65D1A" w:rsidRPr="00471761">
        <w:rPr>
          <w:rFonts w:ascii="Calibri" w:hAnsi="Calibri"/>
        </w:rPr>
        <w:t xml:space="preserve"> domestic remedies to be exhausted</w:t>
      </w:r>
      <w:r w:rsidR="00F347F2" w:rsidRPr="00471761">
        <w:rPr>
          <w:rFonts w:ascii="Calibri" w:hAnsi="Calibri"/>
        </w:rPr>
        <w:t>,</w:t>
      </w:r>
      <w:r w:rsidR="00C65D1A" w:rsidRPr="00471761">
        <w:rPr>
          <w:rFonts w:ascii="Calibri" w:hAnsi="Calibri"/>
        </w:rPr>
        <w:t xml:space="preserve"> </w:t>
      </w:r>
      <w:r w:rsidR="00F347F2" w:rsidRPr="00471761">
        <w:rPr>
          <w:rFonts w:ascii="Calibri" w:hAnsi="Calibri"/>
        </w:rPr>
        <w:t xml:space="preserve">which </w:t>
      </w:r>
      <w:r w:rsidR="004E11AB" w:rsidRPr="00471761">
        <w:rPr>
          <w:rFonts w:ascii="Calibri" w:hAnsi="Calibri"/>
        </w:rPr>
        <w:t>seems to slow down</w:t>
      </w:r>
      <w:r w:rsidR="00C65D1A" w:rsidRPr="00471761">
        <w:rPr>
          <w:rFonts w:ascii="Calibri" w:hAnsi="Calibri"/>
        </w:rPr>
        <w:t xml:space="preserve"> the procedure </w:t>
      </w:r>
      <w:r w:rsidR="00F347F2" w:rsidRPr="00471761">
        <w:rPr>
          <w:rFonts w:ascii="Calibri" w:hAnsi="Calibri"/>
        </w:rPr>
        <w:t>fails to recognise the fact that</w:t>
      </w:r>
      <w:r w:rsidR="00C65D1A" w:rsidRPr="00471761">
        <w:rPr>
          <w:rFonts w:ascii="Calibri" w:hAnsi="Calibri"/>
        </w:rPr>
        <w:t xml:space="preserve"> access to justice in </w:t>
      </w:r>
      <w:r w:rsidR="00F347F2" w:rsidRPr="00471761">
        <w:rPr>
          <w:rFonts w:ascii="Calibri" w:hAnsi="Calibri"/>
        </w:rPr>
        <w:t>some c</w:t>
      </w:r>
      <w:r w:rsidR="00C65D1A" w:rsidRPr="00471761">
        <w:rPr>
          <w:rFonts w:ascii="Calibri" w:hAnsi="Calibri"/>
        </w:rPr>
        <w:t xml:space="preserve">ountries </w:t>
      </w:r>
      <w:r w:rsidR="00F347F2" w:rsidRPr="00471761">
        <w:rPr>
          <w:rFonts w:ascii="Calibri" w:hAnsi="Calibri"/>
        </w:rPr>
        <w:t>may</w:t>
      </w:r>
      <w:r w:rsidR="00C65D1A" w:rsidRPr="00471761">
        <w:rPr>
          <w:rFonts w:ascii="Calibri" w:hAnsi="Calibri"/>
        </w:rPr>
        <w:t xml:space="preserve"> be limited.</w:t>
      </w:r>
      <w:r w:rsidR="00C65D1A" w:rsidRPr="00471761">
        <w:rPr>
          <w:rStyle w:val="FootnoteReference"/>
          <w:rFonts w:ascii="Calibri" w:hAnsi="Calibri"/>
        </w:rPr>
        <w:footnoteReference w:id="281"/>
      </w:r>
      <w:r w:rsidR="00C65D1A" w:rsidRPr="00471761">
        <w:rPr>
          <w:rFonts w:ascii="Calibri" w:hAnsi="Calibri"/>
        </w:rPr>
        <w:t xml:space="preserve"> </w:t>
      </w:r>
      <w:r w:rsidR="004E11AB" w:rsidRPr="00471761">
        <w:rPr>
          <w:rFonts w:ascii="Calibri" w:hAnsi="Calibri"/>
        </w:rPr>
        <w:t>Third, CEDAW</w:t>
      </w:r>
      <w:r w:rsidR="00C65D1A" w:rsidRPr="00471761">
        <w:rPr>
          <w:rFonts w:ascii="Calibri" w:hAnsi="Calibri"/>
        </w:rPr>
        <w:t xml:space="preserve"> is formulated in terms of obligations of states rather than rights and the </w:t>
      </w:r>
      <w:r w:rsidR="007050A4">
        <w:rPr>
          <w:rFonts w:ascii="Calibri" w:hAnsi="Calibri"/>
          <w:b/>
          <w:color w:val="4F81BD" w:themeColor="accent1"/>
        </w:rPr>
        <w:t>communication procedure decisions</w:t>
      </w:r>
      <w:r w:rsidR="00C65D1A" w:rsidRPr="00471761">
        <w:rPr>
          <w:rFonts w:ascii="Calibri" w:hAnsi="Calibri"/>
          <w:b/>
          <w:color w:val="4F81BD" w:themeColor="accent1"/>
        </w:rPr>
        <w:t xml:space="preserve"> cannot be enforced</w:t>
      </w:r>
      <w:r w:rsidR="00C65D1A" w:rsidRPr="00471761">
        <w:rPr>
          <w:rFonts w:ascii="Calibri" w:hAnsi="Calibri"/>
        </w:rPr>
        <w:t>.</w:t>
      </w:r>
      <w:r w:rsidR="00C65D1A" w:rsidRPr="00471761">
        <w:rPr>
          <w:rStyle w:val="FootnoteReference"/>
          <w:rFonts w:ascii="Calibri" w:hAnsi="Calibri"/>
        </w:rPr>
        <w:footnoteReference w:id="282"/>
      </w:r>
      <w:r w:rsidR="00C65D1A" w:rsidRPr="00471761">
        <w:rPr>
          <w:rFonts w:ascii="Calibri" w:hAnsi="Calibri"/>
        </w:rPr>
        <w:t xml:space="preserve"> </w:t>
      </w:r>
      <w:r w:rsidR="004E11AB" w:rsidRPr="00471761">
        <w:rPr>
          <w:rFonts w:ascii="Calibri" w:hAnsi="Calibri"/>
        </w:rPr>
        <w:t>Finally</w:t>
      </w:r>
      <w:r w:rsidR="00C65D1A" w:rsidRPr="00471761">
        <w:rPr>
          <w:rFonts w:ascii="Calibri" w:hAnsi="Calibri"/>
        </w:rPr>
        <w:t xml:space="preserve">, there is the problem of </w:t>
      </w:r>
      <w:r w:rsidR="004E11AB" w:rsidRPr="00471761">
        <w:rPr>
          <w:rFonts w:ascii="Calibri" w:hAnsi="Calibri"/>
        </w:rPr>
        <w:t>CEDAW violations</w:t>
      </w:r>
      <w:r w:rsidR="00C65D1A" w:rsidRPr="00471761">
        <w:rPr>
          <w:rFonts w:ascii="Calibri" w:hAnsi="Calibri"/>
        </w:rPr>
        <w:t xml:space="preserve"> by non-state actors.</w:t>
      </w:r>
      <w:r w:rsidR="00C65D1A" w:rsidRPr="00471761">
        <w:rPr>
          <w:rStyle w:val="FootnoteReference"/>
          <w:rFonts w:ascii="Calibri" w:hAnsi="Calibri"/>
        </w:rPr>
        <w:footnoteReference w:id="283"/>
      </w:r>
      <w:r w:rsidR="00C65D1A" w:rsidRPr="00471761">
        <w:rPr>
          <w:rFonts w:ascii="Calibri" w:hAnsi="Calibri"/>
        </w:rPr>
        <w:t xml:space="preserve"> </w:t>
      </w:r>
      <w:r w:rsidR="004E11AB" w:rsidRPr="00471761">
        <w:rPr>
          <w:rFonts w:ascii="Calibri" w:hAnsi="Calibri"/>
        </w:rPr>
        <w:t xml:space="preserve">In response to the latter, </w:t>
      </w:r>
      <w:r w:rsidR="00C65D1A" w:rsidRPr="00471761">
        <w:rPr>
          <w:rFonts w:ascii="Calibri" w:hAnsi="Calibri"/>
        </w:rPr>
        <w:t xml:space="preserve">Article 2(e) </w:t>
      </w:r>
      <w:r w:rsidR="00F347F2" w:rsidRPr="00471761">
        <w:rPr>
          <w:rFonts w:ascii="Calibri" w:hAnsi="Calibri"/>
        </w:rPr>
        <w:t xml:space="preserve">of </w:t>
      </w:r>
      <w:r w:rsidR="00C65D1A" w:rsidRPr="00471761">
        <w:rPr>
          <w:rFonts w:ascii="Calibri" w:hAnsi="Calibri"/>
        </w:rPr>
        <w:t xml:space="preserve">CEDAW and </w:t>
      </w:r>
      <w:r w:rsidR="004E11AB" w:rsidRPr="00471761">
        <w:rPr>
          <w:rFonts w:ascii="Calibri" w:hAnsi="Calibri"/>
        </w:rPr>
        <w:t xml:space="preserve">the </w:t>
      </w:r>
      <w:r w:rsidR="009C7F2E" w:rsidRPr="00471761">
        <w:rPr>
          <w:rFonts w:ascii="Calibri" w:hAnsi="Calibri"/>
        </w:rPr>
        <w:t xml:space="preserve">CEDAW </w:t>
      </w:r>
      <w:r w:rsidR="004E11AB" w:rsidRPr="00471761">
        <w:rPr>
          <w:rFonts w:ascii="Calibri" w:hAnsi="Calibri"/>
        </w:rPr>
        <w:t>GR No.</w:t>
      </w:r>
      <w:r w:rsidR="00C65D1A" w:rsidRPr="00471761">
        <w:rPr>
          <w:rFonts w:ascii="Calibri" w:hAnsi="Calibri"/>
        </w:rPr>
        <w:t xml:space="preserve"> 28</w:t>
      </w:r>
      <w:r w:rsidR="00C65D1A" w:rsidRPr="00471761">
        <w:rPr>
          <w:rStyle w:val="FootnoteReference"/>
          <w:rFonts w:ascii="Calibri" w:hAnsi="Calibri"/>
        </w:rPr>
        <w:footnoteReference w:id="284"/>
      </w:r>
      <w:r w:rsidR="00C65D1A" w:rsidRPr="00471761">
        <w:rPr>
          <w:rFonts w:ascii="Calibri" w:hAnsi="Calibri"/>
        </w:rPr>
        <w:t xml:space="preserve"> provide </w:t>
      </w:r>
      <w:r w:rsidR="004E11AB" w:rsidRPr="00471761">
        <w:rPr>
          <w:rFonts w:ascii="Calibri" w:hAnsi="Calibri"/>
        </w:rPr>
        <w:t xml:space="preserve">some </w:t>
      </w:r>
      <w:r w:rsidR="00C65D1A" w:rsidRPr="00471761">
        <w:rPr>
          <w:rFonts w:ascii="Calibri" w:hAnsi="Calibri"/>
        </w:rPr>
        <w:t xml:space="preserve">relief. Article 2(e) imposes a due-diligence obligation on states to eliminate discrimination against women by private </w:t>
      </w:r>
      <w:r w:rsidR="002F7691" w:rsidRPr="00471761">
        <w:rPr>
          <w:rFonts w:ascii="Calibri" w:hAnsi="Calibri"/>
        </w:rPr>
        <w:t>actors and</w:t>
      </w:r>
      <w:r w:rsidR="00C65D1A" w:rsidRPr="00471761">
        <w:rPr>
          <w:rFonts w:ascii="Calibri" w:hAnsi="Calibri"/>
        </w:rPr>
        <w:t xml:space="preserve"> obliges states to take ‘appropriate measures’ to eliminate discrimination by non-state actors.</w:t>
      </w:r>
      <w:r w:rsidR="009C7F2E" w:rsidRPr="00471761">
        <w:rPr>
          <w:rStyle w:val="FootnoteReference"/>
          <w:rFonts w:ascii="Calibri" w:hAnsi="Calibri"/>
        </w:rPr>
        <w:t xml:space="preserve"> </w:t>
      </w:r>
      <w:r w:rsidR="009C7F2E" w:rsidRPr="00471761">
        <w:rPr>
          <w:rStyle w:val="FootnoteReference"/>
          <w:rFonts w:ascii="Calibri" w:hAnsi="Calibri"/>
        </w:rPr>
        <w:footnoteReference w:id="285"/>
      </w:r>
      <w:r w:rsidR="009C7F2E" w:rsidRPr="00471761">
        <w:rPr>
          <w:rFonts w:ascii="Calibri" w:hAnsi="Calibri"/>
        </w:rPr>
        <w:t xml:space="preserve"> T</w:t>
      </w:r>
      <w:r w:rsidR="004E11AB" w:rsidRPr="00471761">
        <w:rPr>
          <w:rFonts w:ascii="Calibri" w:hAnsi="Calibri"/>
        </w:rPr>
        <w:t>his due diligence obligation i</w:t>
      </w:r>
      <w:r w:rsidR="00F347F2" w:rsidRPr="00471761">
        <w:rPr>
          <w:rFonts w:ascii="Calibri" w:hAnsi="Calibri"/>
        </w:rPr>
        <w:t>s reinforced in the GR No. 30 in relation to conflict</w:t>
      </w:r>
      <w:r w:rsidR="009C7F2E" w:rsidRPr="00471761">
        <w:rPr>
          <w:rFonts w:ascii="Calibri" w:hAnsi="Calibri"/>
        </w:rPr>
        <w:t xml:space="preserve"> (see Section 1).</w:t>
      </w:r>
    </w:p>
    <w:p w14:paraId="6AA354E8" w14:textId="77777777" w:rsidR="004E11AB" w:rsidRPr="00471761" w:rsidRDefault="004E11AB" w:rsidP="00C65D1A">
      <w:pPr>
        <w:jc w:val="both"/>
        <w:rPr>
          <w:rFonts w:ascii="Calibri" w:hAnsi="Calibri"/>
        </w:rPr>
      </w:pPr>
    </w:p>
    <w:p w14:paraId="7403E420" w14:textId="2E88A2B4" w:rsidR="00C65D1A" w:rsidRPr="00471761" w:rsidRDefault="004E11AB" w:rsidP="00B71A70">
      <w:pPr>
        <w:spacing w:line="360" w:lineRule="auto"/>
        <w:jc w:val="both"/>
        <w:rPr>
          <w:rFonts w:ascii="Calibri" w:hAnsi="Calibri"/>
        </w:rPr>
      </w:pPr>
      <w:r w:rsidRPr="00471761">
        <w:rPr>
          <w:rFonts w:ascii="Calibri" w:hAnsi="Calibri"/>
        </w:rPr>
        <w:t>Despite</w:t>
      </w:r>
      <w:r w:rsidR="00C65D1A" w:rsidRPr="00471761">
        <w:rPr>
          <w:rFonts w:ascii="Calibri" w:hAnsi="Calibri"/>
        </w:rPr>
        <w:t xml:space="preserve"> these challenges, the </w:t>
      </w:r>
      <w:r w:rsidR="00AC418B" w:rsidRPr="00471761">
        <w:rPr>
          <w:rFonts w:ascii="Calibri" w:hAnsi="Calibri"/>
        </w:rPr>
        <w:t>procedure</w:t>
      </w:r>
      <w:r w:rsidR="00C65D1A" w:rsidRPr="00471761">
        <w:rPr>
          <w:rFonts w:ascii="Calibri" w:hAnsi="Calibri"/>
        </w:rPr>
        <w:t xml:space="preserve"> </w:t>
      </w:r>
      <w:r w:rsidR="005E495D" w:rsidRPr="00471761">
        <w:rPr>
          <w:rFonts w:ascii="Calibri" w:hAnsi="Calibri"/>
        </w:rPr>
        <w:t>empowers</w:t>
      </w:r>
      <w:r w:rsidR="00C65D1A" w:rsidRPr="00471761">
        <w:rPr>
          <w:rFonts w:ascii="Calibri" w:hAnsi="Calibri"/>
        </w:rPr>
        <w:t xml:space="preserve"> </w:t>
      </w:r>
      <w:r w:rsidR="00F347F2" w:rsidRPr="00471761">
        <w:rPr>
          <w:rFonts w:ascii="Calibri" w:hAnsi="Calibri"/>
        </w:rPr>
        <w:t>the Committee</w:t>
      </w:r>
      <w:r w:rsidR="00C65D1A" w:rsidRPr="00471761">
        <w:rPr>
          <w:rFonts w:ascii="Calibri" w:hAnsi="Calibri"/>
        </w:rPr>
        <w:t xml:space="preserve"> to hear individual complaints and investigate claims of serious and systematic violations of </w:t>
      </w:r>
      <w:r w:rsidR="00F347F2" w:rsidRPr="00471761">
        <w:rPr>
          <w:rFonts w:ascii="Calibri" w:hAnsi="Calibri"/>
        </w:rPr>
        <w:t>CEDAW</w:t>
      </w:r>
      <w:r w:rsidR="00C65D1A" w:rsidRPr="00471761">
        <w:rPr>
          <w:rFonts w:ascii="Calibri" w:hAnsi="Calibri"/>
        </w:rPr>
        <w:t>.</w:t>
      </w:r>
      <w:r w:rsidR="00C65D1A" w:rsidRPr="00471761">
        <w:rPr>
          <w:rStyle w:val="FootnoteReference"/>
          <w:rFonts w:ascii="Calibri" w:hAnsi="Calibri"/>
        </w:rPr>
        <w:footnoteReference w:id="286"/>
      </w:r>
      <w:r w:rsidR="00C65D1A" w:rsidRPr="00471761">
        <w:rPr>
          <w:rFonts w:ascii="Calibri" w:hAnsi="Calibri"/>
        </w:rPr>
        <w:t xml:space="preserve"> </w:t>
      </w:r>
      <w:r w:rsidR="005E495D" w:rsidRPr="00471761">
        <w:rPr>
          <w:rFonts w:ascii="Calibri" w:hAnsi="Calibri"/>
        </w:rPr>
        <w:t>When used, the</w:t>
      </w:r>
      <w:r w:rsidR="00F347F2" w:rsidRPr="00471761">
        <w:rPr>
          <w:rFonts w:ascii="Calibri" w:hAnsi="Calibri"/>
        </w:rPr>
        <w:t xml:space="preserve"> </w:t>
      </w:r>
      <w:r w:rsidR="00AC418B" w:rsidRPr="00471761">
        <w:rPr>
          <w:rFonts w:ascii="Calibri" w:hAnsi="Calibri"/>
        </w:rPr>
        <w:t xml:space="preserve">communication </w:t>
      </w:r>
      <w:r w:rsidR="005E495D" w:rsidRPr="00471761">
        <w:rPr>
          <w:rFonts w:ascii="Calibri" w:hAnsi="Calibri"/>
        </w:rPr>
        <w:t>procedure</w:t>
      </w:r>
      <w:r w:rsidR="00AC418B" w:rsidRPr="00471761">
        <w:rPr>
          <w:rFonts w:ascii="Calibri" w:hAnsi="Calibri"/>
        </w:rPr>
        <w:t xml:space="preserve"> </w:t>
      </w:r>
      <w:r w:rsidR="005E495D" w:rsidRPr="00471761">
        <w:rPr>
          <w:rFonts w:ascii="Calibri" w:hAnsi="Calibri"/>
          <w:b/>
          <w:color w:val="4F81BD" w:themeColor="accent1"/>
        </w:rPr>
        <w:t xml:space="preserve">compels </w:t>
      </w:r>
      <w:r w:rsidR="00C65D1A" w:rsidRPr="00471761">
        <w:rPr>
          <w:rFonts w:ascii="Calibri" w:hAnsi="Calibri"/>
          <w:b/>
          <w:color w:val="4F81BD" w:themeColor="accent1"/>
        </w:rPr>
        <w:t xml:space="preserve">states </w:t>
      </w:r>
      <w:r w:rsidR="00AC418B" w:rsidRPr="00471761">
        <w:rPr>
          <w:rFonts w:ascii="Calibri" w:hAnsi="Calibri"/>
          <w:b/>
          <w:color w:val="4F81BD" w:themeColor="accent1"/>
        </w:rPr>
        <w:t>into</w:t>
      </w:r>
      <w:r w:rsidR="00C65D1A" w:rsidRPr="00471761">
        <w:rPr>
          <w:rFonts w:ascii="Calibri" w:hAnsi="Calibri"/>
          <w:b/>
          <w:color w:val="4F81BD" w:themeColor="accent1"/>
        </w:rPr>
        <w:t xml:space="preserve"> a public dialogue</w:t>
      </w:r>
      <w:r w:rsidR="00C65D1A" w:rsidRPr="00471761">
        <w:rPr>
          <w:rFonts w:ascii="Calibri" w:hAnsi="Calibri"/>
        </w:rPr>
        <w:t xml:space="preserve"> </w:t>
      </w:r>
      <w:r w:rsidR="00AC418B" w:rsidRPr="00471761">
        <w:rPr>
          <w:rFonts w:ascii="Calibri" w:hAnsi="Calibri"/>
        </w:rPr>
        <w:t>on</w:t>
      </w:r>
      <w:r w:rsidR="00C65D1A" w:rsidRPr="00471761">
        <w:rPr>
          <w:rFonts w:ascii="Calibri" w:hAnsi="Calibri"/>
        </w:rPr>
        <w:t xml:space="preserve"> </w:t>
      </w:r>
      <w:r w:rsidR="005E495D" w:rsidRPr="00471761">
        <w:rPr>
          <w:rFonts w:ascii="Calibri" w:hAnsi="Calibri"/>
        </w:rPr>
        <w:t>gender-based discrimination</w:t>
      </w:r>
      <w:r w:rsidR="00C65D1A" w:rsidRPr="00471761">
        <w:rPr>
          <w:rFonts w:ascii="Calibri" w:hAnsi="Calibri"/>
        </w:rPr>
        <w:t>.</w:t>
      </w:r>
      <w:r w:rsidR="00C65D1A" w:rsidRPr="00471761">
        <w:rPr>
          <w:rStyle w:val="FootnoteReference"/>
          <w:rFonts w:ascii="Calibri" w:hAnsi="Calibri"/>
        </w:rPr>
        <w:footnoteReference w:id="287"/>
      </w:r>
      <w:r w:rsidR="00F347F2" w:rsidRPr="00471761">
        <w:rPr>
          <w:rFonts w:ascii="Calibri" w:hAnsi="Calibri"/>
        </w:rPr>
        <w:t xml:space="preserve"> The procedure could be </w:t>
      </w:r>
      <w:r w:rsidR="00AC418B" w:rsidRPr="00471761">
        <w:rPr>
          <w:rFonts w:ascii="Calibri" w:hAnsi="Calibri"/>
        </w:rPr>
        <w:t>promoted</w:t>
      </w:r>
      <w:r w:rsidR="00F347F2" w:rsidRPr="00471761">
        <w:rPr>
          <w:rFonts w:ascii="Calibri" w:hAnsi="Calibri"/>
        </w:rPr>
        <w:t xml:space="preserve"> by </w:t>
      </w:r>
      <w:r w:rsidR="00F347F2" w:rsidRPr="00471761">
        <w:rPr>
          <w:rFonts w:ascii="Calibri" w:hAnsi="Calibri"/>
          <w:b/>
          <w:color w:val="4F81BD" w:themeColor="accent1"/>
        </w:rPr>
        <w:t>publicising its existence</w:t>
      </w:r>
      <w:r w:rsidR="00F347F2" w:rsidRPr="00471761">
        <w:rPr>
          <w:rFonts w:ascii="Calibri" w:hAnsi="Calibri"/>
        </w:rPr>
        <w:t xml:space="preserve">, via public education </w:t>
      </w:r>
      <w:r w:rsidR="009C7F2E" w:rsidRPr="00471761">
        <w:rPr>
          <w:rFonts w:ascii="Calibri" w:hAnsi="Calibri"/>
        </w:rPr>
        <w:t>campaigns. There should also be</w:t>
      </w:r>
      <w:r w:rsidR="00F347F2" w:rsidRPr="00471761">
        <w:rPr>
          <w:rFonts w:ascii="Calibri" w:hAnsi="Calibri"/>
        </w:rPr>
        <w:t xml:space="preserve"> targeted information-sharing with officials and professionals who come into contact with women and girl victims of rights violatio</w:t>
      </w:r>
      <w:r w:rsidR="005E495D" w:rsidRPr="00471761">
        <w:rPr>
          <w:rFonts w:ascii="Calibri" w:hAnsi="Calibri"/>
        </w:rPr>
        <w:t xml:space="preserve">ns, including lawyers, police and </w:t>
      </w:r>
      <w:r w:rsidR="00AC418B" w:rsidRPr="00471761">
        <w:rPr>
          <w:rFonts w:ascii="Calibri" w:hAnsi="Calibri"/>
        </w:rPr>
        <w:t>military personnel, healthcare and service providers</w:t>
      </w:r>
      <w:r w:rsidR="00F347F2" w:rsidRPr="00471761">
        <w:rPr>
          <w:rFonts w:ascii="Calibri" w:hAnsi="Calibri"/>
        </w:rPr>
        <w:t xml:space="preserve">, and civil society organizations. </w:t>
      </w:r>
      <w:r w:rsidR="00AC418B" w:rsidRPr="00471761">
        <w:rPr>
          <w:rFonts w:ascii="Calibri" w:hAnsi="Calibri"/>
          <w:b/>
          <w:color w:val="4F81BD" w:themeColor="accent1"/>
        </w:rPr>
        <w:t>Access to justice</w:t>
      </w:r>
      <w:r w:rsidR="005E495D" w:rsidRPr="00471761">
        <w:rPr>
          <w:rFonts w:ascii="Calibri" w:hAnsi="Calibri"/>
          <w:color w:val="4F81BD" w:themeColor="accent1"/>
        </w:rPr>
        <w:t xml:space="preserve"> </w:t>
      </w:r>
      <w:r w:rsidR="005E495D" w:rsidRPr="00471761">
        <w:rPr>
          <w:rFonts w:ascii="Calibri" w:hAnsi="Calibri"/>
          <w:b/>
          <w:color w:val="4F81BD" w:themeColor="accent1"/>
        </w:rPr>
        <w:t>could be improved</w:t>
      </w:r>
      <w:r w:rsidR="005E495D" w:rsidRPr="00471761">
        <w:rPr>
          <w:rFonts w:ascii="Calibri" w:hAnsi="Calibri"/>
        </w:rPr>
        <w:t xml:space="preserve"> by</w:t>
      </w:r>
      <w:r w:rsidR="00AC418B" w:rsidRPr="00471761">
        <w:rPr>
          <w:rFonts w:ascii="Calibri" w:hAnsi="Calibri"/>
        </w:rPr>
        <w:t xml:space="preserve"> removing the</w:t>
      </w:r>
      <w:r w:rsidR="00F347F2" w:rsidRPr="00471761">
        <w:rPr>
          <w:rFonts w:ascii="Calibri" w:hAnsi="Calibri"/>
        </w:rPr>
        <w:t xml:space="preserve"> requirement to exhaust domestic remedie</w:t>
      </w:r>
      <w:r w:rsidR="005E495D" w:rsidRPr="00471761">
        <w:rPr>
          <w:rFonts w:ascii="Calibri" w:hAnsi="Calibri"/>
        </w:rPr>
        <w:t>s,</w:t>
      </w:r>
      <w:r w:rsidR="00AC418B" w:rsidRPr="00471761">
        <w:rPr>
          <w:rFonts w:ascii="Calibri" w:hAnsi="Calibri"/>
        </w:rPr>
        <w:t xml:space="preserve"> p</w:t>
      </w:r>
      <w:r w:rsidR="00F347F2" w:rsidRPr="00471761">
        <w:rPr>
          <w:rFonts w:ascii="Calibri" w:hAnsi="Calibri"/>
        </w:rPr>
        <w:t xml:space="preserve">roviding legal aid, </w:t>
      </w:r>
      <w:r w:rsidR="00AC418B" w:rsidRPr="00471761">
        <w:rPr>
          <w:rFonts w:ascii="Calibri" w:hAnsi="Calibri"/>
        </w:rPr>
        <w:t>and</w:t>
      </w:r>
      <w:r w:rsidR="00F347F2" w:rsidRPr="00471761">
        <w:rPr>
          <w:rFonts w:ascii="Calibri" w:hAnsi="Calibri"/>
        </w:rPr>
        <w:t xml:space="preserve"> publicising the d</w:t>
      </w:r>
      <w:r w:rsidR="00AC418B" w:rsidRPr="00471761">
        <w:rPr>
          <w:rFonts w:ascii="Calibri" w:hAnsi="Calibri"/>
        </w:rPr>
        <w:t>ecisions of the CEDAW Committee</w:t>
      </w:r>
      <w:r w:rsidR="00F347F2" w:rsidRPr="00471761">
        <w:rPr>
          <w:rFonts w:ascii="Calibri" w:hAnsi="Calibri"/>
        </w:rPr>
        <w:t xml:space="preserve">. </w:t>
      </w:r>
    </w:p>
    <w:p w14:paraId="0A51BBDB" w14:textId="77777777" w:rsidR="00C65D1A" w:rsidRPr="00471761" w:rsidRDefault="00C65D1A" w:rsidP="00D7771C">
      <w:pPr>
        <w:rPr>
          <w:rFonts w:ascii="Times" w:eastAsia="Times New Roman" w:hAnsi="Times" w:cs="Times New Roman"/>
        </w:rPr>
      </w:pPr>
    </w:p>
    <w:p w14:paraId="130FAC35" w14:textId="5741248E" w:rsidR="00623568" w:rsidRPr="00471761" w:rsidRDefault="00F347F2" w:rsidP="00B71A70">
      <w:pPr>
        <w:spacing w:line="360" w:lineRule="auto"/>
        <w:jc w:val="both"/>
        <w:rPr>
          <w:rFonts w:ascii="Calibri" w:hAnsi="Calibri"/>
        </w:rPr>
      </w:pPr>
      <w:r w:rsidRPr="00471761">
        <w:rPr>
          <w:rFonts w:ascii="Calibri" w:hAnsi="Calibri"/>
        </w:rPr>
        <w:t xml:space="preserve">The Committee’s </w:t>
      </w:r>
      <w:r w:rsidR="007B54BE" w:rsidRPr="00471761">
        <w:rPr>
          <w:rFonts w:ascii="Calibri" w:hAnsi="Calibri"/>
          <w:b/>
          <w:color w:val="4F81BD" w:themeColor="accent1"/>
        </w:rPr>
        <w:t>work</w:t>
      </w:r>
      <w:r w:rsidRPr="00471761">
        <w:rPr>
          <w:rFonts w:ascii="Calibri" w:hAnsi="Calibri"/>
          <w:b/>
          <w:color w:val="4F81BD" w:themeColor="accent1"/>
        </w:rPr>
        <w:t xml:space="preserve"> with civil society </w:t>
      </w:r>
      <w:r w:rsidR="00D12FC3" w:rsidRPr="00471761">
        <w:rPr>
          <w:rFonts w:ascii="Calibri" w:hAnsi="Calibri"/>
          <w:b/>
          <w:color w:val="4F81BD" w:themeColor="accent1"/>
        </w:rPr>
        <w:t>on</w:t>
      </w:r>
      <w:r w:rsidRPr="00471761">
        <w:rPr>
          <w:rFonts w:ascii="Calibri" w:hAnsi="Calibri"/>
          <w:b/>
          <w:color w:val="4F81BD" w:themeColor="accent1"/>
        </w:rPr>
        <w:t xml:space="preserve"> </w:t>
      </w:r>
      <w:r w:rsidR="006A0A62" w:rsidRPr="00471761">
        <w:rPr>
          <w:rFonts w:ascii="Calibri" w:hAnsi="Calibri"/>
          <w:b/>
          <w:color w:val="4F81BD" w:themeColor="accent1"/>
        </w:rPr>
        <w:t>implement</w:t>
      </w:r>
      <w:r w:rsidR="00D12FC3" w:rsidRPr="00471761">
        <w:rPr>
          <w:rFonts w:ascii="Calibri" w:hAnsi="Calibri"/>
          <w:b/>
          <w:color w:val="4F81BD" w:themeColor="accent1"/>
        </w:rPr>
        <w:t>ing</w:t>
      </w:r>
      <w:r w:rsidR="006A0A62" w:rsidRPr="00471761">
        <w:rPr>
          <w:rFonts w:ascii="Calibri" w:hAnsi="Calibri"/>
          <w:b/>
          <w:color w:val="4F81BD" w:themeColor="accent1"/>
        </w:rPr>
        <w:t xml:space="preserve"> the CEDAW GR No. 30</w:t>
      </w:r>
      <w:r w:rsidR="006A0A62" w:rsidRPr="00471761">
        <w:rPr>
          <w:rFonts w:ascii="Calibri" w:hAnsi="Calibri"/>
        </w:rPr>
        <w:t xml:space="preserve"> as a “complementary accountability mechanism”</w:t>
      </w:r>
      <w:r w:rsidR="00DD28E7" w:rsidRPr="00471761">
        <w:rPr>
          <w:rStyle w:val="FootnoteReference"/>
          <w:rFonts w:ascii="Calibri" w:hAnsi="Calibri"/>
        </w:rPr>
        <w:footnoteReference w:id="288"/>
      </w:r>
      <w:r w:rsidR="006A0A62" w:rsidRPr="00471761">
        <w:rPr>
          <w:rFonts w:ascii="Calibri" w:hAnsi="Calibri"/>
        </w:rPr>
        <w:t xml:space="preserve"> to SCR 1325 </w:t>
      </w:r>
      <w:r w:rsidR="00D12FC3" w:rsidRPr="00471761">
        <w:rPr>
          <w:rFonts w:ascii="Calibri" w:hAnsi="Calibri"/>
        </w:rPr>
        <w:t>and the legal framework should be strengthened</w:t>
      </w:r>
      <w:r w:rsidRPr="00471761">
        <w:rPr>
          <w:rFonts w:ascii="Calibri" w:hAnsi="Calibri"/>
        </w:rPr>
        <w:t xml:space="preserve">. </w:t>
      </w:r>
      <w:r w:rsidR="00AC418B" w:rsidRPr="00471761">
        <w:rPr>
          <w:rFonts w:ascii="Calibri" w:hAnsi="Calibri"/>
        </w:rPr>
        <w:t>The growth of well-organized transnational NGO net</w:t>
      </w:r>
      <w:r w:rsidR="004849D9" w:rsidRPr="00471761">
        <w:rPr>
          <w:rFonts w:ascii="Calibri" w:hAnsi="Calibri"/>
        </w:rPr>
        <w:t>works around CEDAW and SCR 1325</w:t>
      </w:r>
      <w:r w:rsidR="00AC418B" w:rsidRPr="00471761">
        <w:rPr>
          <w:rFonts w:ascii="Calibri" w:hAnsi="Calibri"/>
        </w:rPr>
        <w:t xml:space="preserve"> </w:t>
      </w:r>
      <w:r w:rsidR="004849D9" w:rsidRPr="00471761">
        <w:rPr>
          <w:rFonts w:ascii="Calibri" w:hAnsi="Calibri"/>
        </w:rPr>
        <w:t>is an opportunity for</w:t>
      </w:r>
      <w:r w:rsidR="00AC418B" w:rsidRPr="00471761">
        <w:rPr>
          <w:rFonts w:ascii="Calibri" w:hAnsi="Calibri"/>
        </w:rPr>
        <w:t xml:space="preserve"> local groups to strategically use the legal framework to achieve substantive and transformative justice.</w:t>
      </w:r>
      <w:r w:rsidR="00AC418B" w:rsidRPr="00471761">
        <w:rPr>
          <w:rStyle w:val="FootnoteReference"/>
          <w:rFonts w:ascii="Calibri" w:hAnsi="Calibri"/>
        </w:rPr>
        <w:footnoteReference w:id="289"/>
      </w:r>
      <w:r w:rsidR="004849D9" w:rsidRPr="00471761">
        <w:rPr>
          <w:rFonts w:ascii="Calibri" w:hAnsi="Calibri"/>
        </w:rPr>
        <w:t xml:space="preserve"> Like the CSW, CEDAW proces</w:t>
      </w:r>
      <w:r w:rsidR="008D6448" w:rsidRPr="00471761">
        <w:rPr>
          <w:rFonts w:ascii="Calibri" w:hAnsi="Calibri"/>
        </w:rPr>
        <w:t xml:space="preserve">ses attract </w:t>
      </w:r>
      <w:r w:rsidR="001E0A2A" w:rsidRPr="00471761">
        <w:rPr>
          <w:rFonts w:ascii="Calibri" w:hAnsi="Calibri"/>
        </w:rPr>
        <w:t xml:space="preserve">the </w:t>
      </w:r>
      <w:r w:rsidR="001E0A2A" w:rsidRPr="00471761">
        <w:rPr>
          <w:rFonts w:ascii="Calibri" w:hAnsi="Calibri"/>
          <w:b/>
          <w:color w:val="4F81BD" w:themeColor="accent1"/>
        </w:rPr>
        <w:t xml:space="preserve">intensive </w:t>
      </w:r>
      <w:r w:rsidR="00623568" w:rsidRPr="00471761">
        <w:rPr>
          <w:rFonts w:ascii="Calibri" w:hAnsi="Calibri"/>
          <w:b/>
          <w:color w:val="4F81BD" w:themeColor="accent1"/>
        </w:rPr>
        <w:t>involv</w:t>
      </w:r>
      <w:r w:rsidR="001E0A2A" w:rsidRPr="00471761">
        <w:rPr>
          <w:rFonts w:ascii="Calibri" w:hAnsi="Calibri"/>
          <w:b/>
          <w:color w:val="4F81BD" w:themeColor="accent1"/>
        </w:rPr>
        <w:t>ement of</w:t>
      </w:r>
      <w:r w:rsidR="00AC418B" w:rsidRPr="00471761">
        <w:rPr>
          <w:rFonts w:ascii="Calibri" w:hAnsi="Calibri"/>
          <w:b/>
          <w:color w:val="4F81BD" w:themeColor="accent1"/>
        </w:rPr>
        <w:t xml:space="preserve"> </w:t>
      </w:r>
      <w:r w:rsidR="00623568" w:rsidRPr="00471761">
        <w:rPr>
          <w:rFonts w:ascii="Calibri" w:hAnsi="Calibri"/>
          <w:b/>
          <w:color w:val="4F81BD" w:themeColor="accent1"/>
        </w:rPr>
        <w:t xml:space="preserve">transnational women’s </w:t>
      </w:r>
      <w:r w:rsidR="008D6448" w:rsidRPr="00471761">
        <w:rPr>
          <w:rFonts w:ascii="Calibri" w:hAnsi="Calibri"/>
          <w:b/>
          <w:color w:val="4F81BD" w:themeColor="accent1"/>
        </w:rPr>
        <w:t>groups</w:t>
      </w:r>
      <w:r w:rsidR="00623568" w:rsidRPr="00471761">
        <w:rPr>
          <w:rFonts w:ascii="Calibri" w:hAnsi="Calibri"/>
          <w:b/>
          <w:color w:val="4F81BD" w:themeColor="accent1"/>
        </w:rPr>
        <w:t>, which dedicate significant attention and resources to engaging with CEDAW</w:t>
      </w:r>
      <w:r w:rsidR="00623568" w:rsidRPr="00471761">
        <w:rPr>
          <w:rFonts w:ascii="Calibri" w:hAnsi="Calibri"/>
        </w:rPr>
        <w:t xml:space="preserve">. </w:t>
      </w:r>
      <w:r w:rsidR="004849D9" w:rsidRPr="00471761">
        <w:rPr>
          <w:rFonts w:ascii="Calibri" w:hAnsi="Calibri"/>
        </w:rPr>
        <w:t>The</w:t>
      </w:r>
      <w:r w:rsidR="006A0A62" w:rsidRPr="00471761">
        <w:rPr>
          <w:rFonts w:ascii="Calibri" w:hAnsi="Calibri"/>
        </w:rPr>
        <w:t xml:space="preserve"> Committee</w:t>
      </w:r>
      <w:r w:rsidR="00D12FC3" w:rsidRPr="00471761">
        <w:rPr>
          <w:rFonts w:ascii="Calibri" w:hAnsi="Calibri"/>
        </w:rPr>
        <w:t xml:space="preserve"> and the Global Network for Women Peacebuilders</w:t>
      </w:r>
      <w:r w:rsidR="006A0A62" w:rsidRPr="00471761">
        <w:rPr>
          <w:rFonts w:ascii="Calibri" w:hAnsi="Calibri"/>
        </w:rPr>
        <w:t xml:space="preserve"> recently </w:t>
      </w:r>
      <w:r w:rsidR="00D12FC3" w:rsidRPr="00471761">
        <w:rPr>
          <w:rFonts w:ascii="Calibri" w:hAnsi="Calibri"/>
        </w:rPr>
        <w:t xml:space="preserve">trained women peacebuilders from Asia </w:t>
      </w:r>
      <w:r w:rsidR="004849D9" w:rsidRPr="00471761">
        <w:rPr>
          <w:rFonts w:ascii="Calibri" w:hAnsi="Calibri"/>
        </w:rPr>
        <w:t>to utilise SCR 1325 and the CEDAW GR No. 30</w:t>
      </w:r>
      <w:r w:rsidR="006A0A62" w:rsidRPr="00471761">
        <w:rPr>
          <w:rFonts w:ascii="Calibri" w:hAnsi="Calibri"/>
        </w:rPr>
        <w:t>.</w:t>
      </w:r>
      <w:r w:rsidR="006A0A62" w:rsidRPr="00471761">
        <w:rPr>
          <w:rStyle w:val="FootnoteReference"/>
          <w:rFonts w:ascii="Calibri" w:hAnsi="Calibri"/>
        </w:rPr>
        <w:footnoteReference w:id="290"/>
      </w:r>
      <w:r w:rsidR="008D6448" w:rsidRPr="00471761">
        <w:rPr>
          <w:rFonts w:ascii="Calibri" w:hAnsi="Calibri"/>
        </w:rPr>
        <w:t xml:space="preserve"> </w:t>
      </w:r>
      <w:r w:rsidR="008D6448" w:rsidRPr="00471761">
        <w:rPr>
          <w:rFonts w:ascii="Calibri" w:hAnsi="Calibri"/>
          <w:b/>
          <w:color w:val="4F81BD" w:themeColor="accent1"/>
        </w:rPr>
        <w:t>F</w:t>
      </w:r>
      <w:r w:rsidR="006A0A62" w:rsidRPr="00471761">
        <w:rPr>
          <w:rFonts w:ascii="Calibri" w:hAnsi="Calibri"/>
          <w:b/>
          <w:color w:val="4F81BD" w:themeColor="accent1"/>
        </w:rPr>
        <w:t>inancial and human re</w:t>
      </w:r>
      <w:r w:rsidR="00D12FC3" w:rsidRPr="00471761">
        <w:rPr>
          <w:rFonts w:ascii="Calibri" w:hAnsi="Calibri"/>
          <w:b/>
          <w:color w:val="4F81BD" w:themeColor="accent1"/>
        </w:rPr>
        <w:t>so</w:t>
      </w:r>
      <w:r w:rsidR="006A0A62" w:rsidRPr="00471761">
        <w:rPr>
          <w:rFonts w:ascii="Calibri" w:hAnsi="Calibri"/>
          <w:b/>
          <w:color w:val="4F81BD" w:themeColor="accent1"/>
        </w:rPr>
        <w:t>urces</w:t>
      </w:r>
      <w:r w:rsidR="006A0A62" w:rsidRPr="00471761">
        <w:rPr>
          <w:rFonts w:ascii="Calibri" w:hAnsi="Calibri"/>
        </w:rPr>
        <w:t xml:space="preserve"> should be </w:t>
      </w:r>
      <w:r w:rsidR="00D12FC3" w:rsidRPr="00471761">
        <w:rPr>
          <w:rFonts w:ascii="Calibri" w:hAnsi="Calibri"/>
        </w:rPr>
        <w:t xml:space="preserve">allocated </w:t>
      </w:r>
      <w:r w:rsidR="00D12FC3" w:rsidRPr="00471761">
        <w:rPr>
          <w:rFonts w:ascii="Calibri" w:hAnsi="Calibri"/>
          <w:b/>
          <w:color w:val="4F81BD" w:themeColor="accent1"/>
        </w:rPr>
        <w:t xml:space="preserve">to the Committee and </w:t>
      </w:r>
      <w:r w:rsidR="007B54BE" w:rsidRPr="00471761">
        <w:rPr>
          <w:rFonts w:ascii="Calibri" w:hAnsi="Calibri"/>
          <w:b/>
          <w:color w:val="4F81BD" w:themeColor="accent1"/>
        </w:rPr>
        <w:t>organizations</w:t>
      </w:r>
      <w:r w:rsidR="007B54BE" w:rsidRPr="00471761">
        <w:rPr>
          <w:rFonts w:ascii="Calibri" w:hAnsi="Calibri"/>
        </w:rPr>
        <w:t xml:space="preserve"> that build the capacity of women and girls to hold states accountable </w:t>
      </w:r>
      <w:r w:rsidR="008D6448" w:rsidRPr="00471761">
        <w:rPr>
          <w:rFonts w:ascii="Calibri" w:hAnsi="Calibri"/>
        </w:rPr>
        <w:t>under the legal framework</w:t>
      </w:r>
      <w:r w:rsidR="007B54BE" w:rsidRPr="00471761">
        <w:rPr>
          <w:rFonts w:ascii="Calibri" w:hAnsi="Calibri"/>
        </w:rPr>
        <w:t>.</w:t>
      </w:r>
    </w:p>
    <w:p w14:paraId="3E0B6C29" w14:textId="76B4D945" w:rsidR="00471761" w:rsidRDefault="00471761">
      <w:pPr>
        <w:rPr>
          <w:rFonts w:ascii="Calibri" w:hAnsi="Calibri"/>
        </w:rPr>
      </w:pPr>
      <w:r>
        <w:rPr>
          <w:rFonts w:ascii="Calibri" w:hAnsi="Calibri"/>
        </w:rPr>
        <w:br w:type="page"/>
      </w:r>
    </w:p>
    <w:p w14:paraId="708A3C79" w14:textId="1E961F33" w:rsidR="003330F3" w:rsidRPr="00471761" w:rsidRDefault="003330F3" w:rsidP="003330F3">
      <w:pPr>
        <w:pStyle w:val="Heading3"/>
        <w:keepLines/>
        <w:spacing w:before="20" w:after="0"/>
        <w:jc w:val="center"/>
        <w:rPr>
          <w:b w:val="0"/>
          <w:color w:val="1F497D" w:themeColor="text2"/>
          <w:spacing w:val="14"/>
          <w:sz w:val="32"/>
          <w:szCs w:val="32"/>
          <w:lang w:val="en-GB"/>
        </w:rPr>
      </w:pPr>
      <w:bookmarkStart w:id="24" w:name="_Toc416867102"/>
      <w:r>
        <w:rPr>
          <w:b w:val="0"/>
          <w:color w:val="1F497D" w:themeColor="text2"/>
          <w:spacing w:val="14"/>
          <w:sz w:val="32"/>
          <w:szCs w:val="32"/>
          <w:lang w:val="en-GB"/>
        </w:rPr>
        <w:lastRenderedPageBreak/>
        <w:t>SCR 1325 AND TRANSFORMATIVE REMEDIES FOR VICTIMS OF RIGHTS VIOLATIONS</w:t>
      </w:r>
      <w:bookmarkEnd w:id="24"/>
    </w:p>
    <w:p w14:paraId="159266DC" w14:textId="141F910D" w:rsidR="00D61EB4" w:rsidRPr="003B622B" w:rsidRDefault="00E054BC" w:rsidP="00905B20">
      <w:pPr>
        <w:spacing w:before="100" w:beforeAutospacing="1" w:after="100" w:afterAutospacing="1" w:line="360" w:lineRule="auto"/>
        <w:jc w:val="both"/>
        <w:rPr>
          <w:rFonts w:ascii="Calibri" w:hAnsi="Calibri"/>
        </w:rPr>
      </w:pPr>
      <w:r>
        <w:rPr>
          <w:rFonts w:ascii="Calibri" w:hAnsi="Calibri"/>
        </w:rPr>
        <w:t xml:space="preserve">There are strong indications from SCR 1325 that the right to a remedy exists, despite the absence of the </w:t>
      </w:r>
      <w:r w:rsidR="00C566AF">
        <w:rPr>
          <w:rFonts w:ascii="Calibri" w:hAnsi="Calibri"/>
        </w:rPr>
        <w:t>words “remedy” or “reparations”</w:t>
      </w:r>
      <w:r w:rsidR="00D61EB4" w:rsidRPr="003B622B">
        <w:rPr>
          <w:rFonts w:ascii="Calibri" w:hAnsi="Calibri"/>
        </w:rPr>
        <w:t xml:space="preserve"> </w:t>
      </w:r>
      <w:r>
        <w:rPr>
          <w:rFonts w:ascii="Calibri" w:hAnsi="Calibri"/>
        </w:rPr>
        <w:t>in its text</w:t>
      </w:r>
      <w:r w:rsidR="00D61EB4" w:rsidRPr="003B622B">
        <w:rPr>
          <w:rFonts w:ascii="Calibri" w:hAnsi="Calibri"/>
        </w:rPr>
        <w:t xml:space="preserve">. </w:t>
      </w:r>
      <w:r w:rsidR="00C17AD7">
        <w:rPr>
          <w:rFonts w:ascii="Calibri" w:hAnsi="Calibri"/>
        </w:rPr>
        <w:t>SCR 1325</w:t>
      </w:r>
      <w:r w:rsidR="00D61EB4" w:rsidRPr="003B622B">
        <w:rPr>
          <w:rFonts w:ascii="Calibri" w:hAnsi="Calibri"/>
        </w:rPr>
        <w:t xml:space="preserve"> reaffirms the need to implement fully international humanitarian and human rights law that protect the rights of women and girls during and after conflicts.</w:t>
      </w:r>
      <w:r>
        <w:rPr>
          <w:rStyle w:val="FootnoteReference"/>
          <w:rFonts w:ascii="Calibri" w:hAnsi="Calibri"/>
        </w:rPr>
        <w:footnoteReference w:id="291"/>
      </w:r>
      <w:r w:rsidR="00D61EB4" w:rsidRPr="003B622B">
        <w:rPr>
          <w:rFonts w:ascii="Calibri" w:hAnsi="Calibri"/>
        </w:rPr>
        <w:t xml:space="preserve"> The right to remedy in human rights law has been widely acknowledged, particularly by the </w:t>
      </w:r>
      <w:r w:rsidR="009C7F2E">
        <w:rPr>
          <w:rFonts w:ascii="Calibri" w:hAnsi="Calibri"/>
        </w:rPr>
        <w:t>UN General Assembly</w:t>
      </w:r>
      <w:r w:rsidR="00D61EB4" w:rsidRPr="003B622B">
        <w:rPr>
          <w:rFonts w:ascii="Calibri" w:hAnsi="Calibri"/>
        </w:rPr>
        <w:t>’s adoptio</w:t>
      </w:r>
      <w:r w:rsidR="00C566AF">
        <w:rPr>
          <w:rFonts w:ascii="Calibri" w:hAnsi="Calibri"/>
        </w:rPr>
        <w:t>n of the “</w:t>
      </w:r>
      <w:r w:rsidR="00D61EB4" w:rsidRPr="003B622B">
        <w:rPr>
          <w:rFonts w:ascii="Calibri" w:hAnsi="Calibri"/>
        </w:rPr>
        <w:t>Basic Principles and Guidelines on the Right to a Remedy and Reparation for Victims of Gross Violations of International Human Rights Law and Serious Violations of</w:t>
      </w:r>
      <w:r w:rsidR="00C566AF">
        <w:rPr>
          <w:rFonts w:ascii="Calibri" w:hAnsi="Calibri"/>
        </w:rPr>
        <w:t xml:space="preserve"> International Humanitarian Law”</w:t>
      </w:r>
      <w:r>
        <w:rPr>
          <w:rFonts w:ascii="Calibri" w:hAnsi="Calibri"/>
        </w:rPr>
        <w:t xml:space="preserve"> (the Principles)</w:t>
      </w:r>
      <w:r w:rsidR="00D61EB4" w:rsidRPr="003B622B">
        <w:rPr>
          <w:rFonts w:ascii="Calibri" w:hAnsi="Calibri"/>
        </w:rPr>
        <w:t>.</w:t>
      </w:r>
      <w:r w:rsidR="00D61EB4" w:rsidRPr="003B622B">
        <w:rPr>
          <w:rStyle w:val="FootnoteReference"/>
          <w:rFonts w:ascii="Calibri" w:hAnsi="Calibri"/>
        </w:rPr>
        <w:footnoteReference w:id="292"/>
      </w:r>
      <w:r>
        <w:rPr>
          <w:rFonts w:ascii="Calibri" w:hAnsi="Calibri"/>
        </w:rPr>
        <w:t xml:space="preserve"> The P</w:t>
      </w:r>
      <w:r w:rsidR="00D61EB4" w:rsidRPr="003B622B">
        <w:rPr>
          <w:rFonts w:ascii="Calibri" w:hAnsi="Calibri"/>
        </w:rPr>
        <w:t>rinciples require the adoption of a ‘victim-oriented’ approach and set out the importance of accessible and meaningful remedies</w:t>
      </w:r>
      <w:r w:rsidR="00D61EB4" w:rsidRPr="00905B20">
        <w:rPr>
          <w:rFonts w:ascii="Calibri" w:hAnsi="Calibri"/>
          <w:b/>
          <w:color w:val="4F81BD" w:themeColor="accent1"/>
        </w:rPr>
        <w:t>, including transformative remedies</w:t>
      </w:r>
      <w:r w:rsidR="00D61EB4" w:rsidRPr="003B622B">
        <w:rPr>
          <w:rFonts w:ascii="Calibri" w:hAnsi="Calibri"/>
        </w:rPr>
        <w:t>.</w:t>
      </w:r>
      <w:r w:rsidR="00D61EB4">
        <w:rPr>
          <w:rFonts w:ascii="Calibri" w:hAnsi="Calibri"/>
        </w:rPr>
        <w:t xml:space="preserve"> </w:t>
      </w:r>
      <w:r w:rsidR="00004951">
        <w:rPr>
          <w:rFonts w:ascii="Calibri" w:hAnsi="Calibri"/>
        </w:rPr>
        <w:t>SCR 1325 requires that all</w:t>
      </w:r>
      <w:r w:rsidR="00D61EB4" w:rsidRPr="003B622B">
        <w:rPr>
          <w:rFonts w:ascii="Calibri" w:hAnsi="Calibri"/>
        </w:rPr>
        <w:t xml:space="preserve"> actors that conclude peace agreements must adopt a gender perspective regarding the special needs of women and girls during repatriation and resettlement, rehabilitation, reintegration and post-conflict reconstruction.</w:t>
      </w:r>
      <w:r>
        <w:rPr>
          <w:rStyle w:val="FootnoteReference"/>
          <w:rFonts w:ascii="Calibri" w:hAnsi="Calibri"/>
        </w:rPr>
        <w:footnoteReference w:id="293"/>
      </w:r>
      <w:r w:rsidR="00D61EB4" w:rsidRPr="003B622B">
        <w:rPr>
          <w:rFonts w:ascii="Calibri" w:hAnsi="Calibri"/>
        </w:rPr>
        <w:t xml:space="preserve"> Arguably, transformative remedies are an essential component in effectively addressing this requirement. This is also further supported by calls</w:t>
      </w:r>
      <w:r>
        <w:rPr>
          <w:rFonts w:ascii="Calibri" w:hAnsi="Calibri"/>
        </w:rPr>
        <w:t xml:space="preserve"> to “</w:t>
      </w:r>
      <w:r w:rsidR="00D61EB4" w:rsidRPr="003B622B">
        <w:rPr>
          <w:rFonts w:ascii="Calibri" w:hAnsi="Calibri"/>
        </w:rPr>
        <w:t>respect fully international law applicable to the rights and protection of women and girls’</w:t>
      </w:r>
      <w:r>
        <w:rPr>
          <w:rFonts w:ascii="Calibri" w:hAnsi="Calibri"/>
        </w:rPr>
        <w:t>”</w:t>
      </w:r>
      <w:r w:rsidR="00D61EB4" w:rsidRPr="003B622B">
        <w:rPr>
          <w:rFonts w:ascii="Calibri" w:hAnsi="Calibri"/>
        </w:rPr>
        <w:t xml:space="preserve"> in SCR 1325,</w:t>
      </w:r>
      <w:r>
        <w:rPr>
          <w:rStyle w:val="FootnoteReference"/>
          <w:rFonts w:ascii="Calibri" w:hAnsi="Calibri"/>
        </w:rPr>
        <w:footnoteReference w:id="294"/>
      </w:r>
      <w:r w:rsidR="00D61EB4" w:rsidRPr="003B622B">
        <w:rPr>
          <w:rFonts w:ascii="Calibri" w:hAnsi="Calibri"/>
        </w:rPr>
        <w:t xml:space="preserve"> and the emphasis on the responsibility of States to end impunity in the context of international wrongs committed against women and girls.</w:t>
      </w:r>
      <w:r>
        <w:rPr>
          <w:rStyle w:val="FootnoteReference"/>
          <w:rFonts w:ascii="Calibri" w:hAnsi="Calibri"/>
        </w:rPr>
        <w:footnoteReference w:id="295"/>
      </w:r>
      <w:r>
        <w:rPr>
          <w:rFonts w:ascii="Calibri" w:hAnsi="Calibri"/>
        </w:rPr>
        <w:t xml:space="preserve"> As </w:t>
      </w:r>
      <w:r w:rsidR="00772635">
        <w:rPr>
          <w:rFonts w:ascii="Calibri" w:hAnsi="Calibri"/>
        </w:rPr>
        <w:t>elaborated</w:t>
      </w:r>
      <w:r>
        <w:rPr>
          <w:rFonts w:ascii="Calibri" w:hAnsi="Calibri"/>
        </w:rPr>
        <w:t xml:space="preserve"> in Section 1, the following resolutions on WPS, CEDAW and its GR No. 30, and the broader legal framework, reinforce the right to a remedy. </w:t>
      </w:r>
    </w:p>
    <w:p w14:paraId="36889602" w14:textId="77777777" w:rsidR="00004951" w:rsidRDefault="006F35AD" w:rsidP="00905B20">
      <w:pPr>
        <w:spacing w:before="100" w:beforeAutospacing="1" w:after="100" w:afterAutospacing="1" w:line="360" w:lineRule="auto"/>
        <w:jc w:val="both"/>
        <w:rPr>
          <w:rFonts w:ascii="Calibri" w:hAnsi="Calibri"/>
        </w:rPr>
      </w:pPr>
      <w:r w:rsidRPr="003B622B">
        <w:rPr>
          <w:rFonts w:ascii="Calibri" w:hAnsi="Calibri"/>
        </w:rPr>
        <w:t>Transformative remedies strive to break down existing inequalities and discrimination against women, in addition to providing reparations for violations of their rights.</w:t>
      </w:r>
      <w:r w:rsidRPr="003B622B">
        <w:rPr>
          <w:rStyle w:val="FootnoteReference"/>
          <w:rFonts w:ascii="Calibri" w:hAnsi="Calibri"/>
        </w:rPr>
        <w:footnoteReference w:id="296"/>
      </w:r>
      <w:r w:rsidRPr="003B622B">
        <w:rPr>
          <w:rFonts w:ascii="Calibri" w:hAnsi="Calibri"/>
        </w:rPr>
        <w:t xml:space="preserve"> Reparations can include monetary compensation or restitution, other material compensation, an apology, infrastructure, education, the enactment of new laws, increased cultural awareness through film or other media, employment, rehabilitation, or any other measures that are directed towards repairing the harm suffered by the victims. They can be collective (for example, skills training or building infrastructure in a particular community) or individual in nature, where the remedy can be granted either through a voluntary, administrative or judicial process. Remedies can also be layered, allowing for individual violations to be adjudicated in </w:t>
      </w:r>
      <w:r w:rsidRPr="003B622B">
        <w:rPr>
          <w:rFonts w:ascii="Calibri" w:hAnsi="Calibri"/>
        </w:rPr>
        <w:lastRenderedPageBreak/>
        <w:t>accordance with due process as well as having the effect of apologising to a community as a whole for the wrongs endured in times of conflict.</w:t>
      </w:r>
      <w:r w:rsidR="00772635">
        <w:rPr>
          <w:rFonts w:ascii="Calibri" w:hAnsi="Calibri"/>
        </w:rPr>
        <w:t xml:space="preserve"> </w:t>
      </w:r>
    </w:p>
    <w:p w14:paraId="5CFB6A57" w14:textId="7C633FD3" w:rsidR="006F35AD" w:rsidRPr="003B622B" w:rsidRDefault="00772635" w:rsidP="00905B20">
      <w:pPr>
        <w:spacing w:before="100" w:beforeAutospacing="1" w:after="100" w:afterAutospacing="1" w:line="360" w:lineRule="auto"/>
        <w:jc w:val="both"/>
        <w:rPr>
          <w:rFonts w:ascii="Calibri" w:hAnsi="Calibri"/>
        </w:rPr>
      </w:pPr>
      <w:r>
        <w:rPr>
          <w:rFonts w:ascii="Calibri" w:hAnsi="Calibri"/>
        </w:rPr>
        <w:t xml:space="preserve">In the context of SCR 1325, transformative remedies </w:t>
      </w:r>
      <w:r w:rsidR="00004951">
        <w:rPr>
          <w:rFonts w:ascii="Calibri" w:hAnsi="Calibri"/>
        </w:rPr>
        <w:t xml:space="preserve">have the potential to guarantee transformative equality, </w:t>
      </w:r>
      <w:r w:rsidR="00AE57C8">
        <w:rPr>
          <w:rFonts w:ascii="Calibri" w:hAnsi="Calibri"/>
        </w:rPr>
        <w:t>especially for victims of conflict-related violence and other grave human rights abuses</w:t>
      </w:r>
      <w:r w:rsidR="00004951">
        <w:rPr>
          <w:rFonts w:ascii="Calibri" w:hAnsi="Calibri"/>
        </w:rPr>
        <w:t xml:space="preserve">. </w:t>
      </w:r>
      <w:r w:rsidR="00AE57C8" w:rsidRPr="00C00CBB">
        <w:rPr>
          <w:rFonts w:ascii="Calibri" w:hAnsi="Calibri"/>
        </w:rPr>
        <w:t xml:space="preserve">Transformative </w:t>
      </w:r>
      <w:r w:rsidR="00AE57C8">
        <w:rPr>
          <w:rFonts w:ascii="Calibri" w:hAnsi="Calibri"/>
        </w:rPr>
        <w:t xml:space="preserve">remedies </w:t>
      </w:r>
      <w:r w:rsidR="00AE57C8" w:rsidRPr="00C00CBB">
        <w:rPr>
          <w:rFonts w:ascii="Calibri" w:hAnsi="Calibri"/>
        </w:rPr>
        <w:t>are those best suited to</w:t>
      </w:r>
      <w:r w:rsidR="00AE57C8">
        <w:rPr>
          <w:rFonts w:ascii="Calibri" w:hAnsi="Calibri"/>
        </w:rPr>
        <w:t xml:space="preserve"> ensuring women and girls are not returned to the same subordinate positions in patriarchal structures which allow rights violations to happen in the first place</w:t>
      </w:r>
      <w:r w:rsidR="00004951">
        <w:rPr>
          <w:rFonts w:ascii="Calibri" w:hAnsi="Calibri"/>
        </w:rPr>
        <w:t xml:space="preserve">. </w:t>
      </w:r>
      <w:r w:rsidR="006F35AD" w:rsidRPr="003B622B">
        <w:rPr>
          <w:rFonts w:ascii="Calibri" w:hAnsi="Calibri"/>
        </w:rPr>
        <w:t xml:space="preserve">Reparations can be made by individual perpetrators of crimes, by non-state actors, or by states that have failed in their obligations under CEDAW or SCR 1325. </w:t>
      </w:r>
      <w:r w:rsidR="003B2F09">
        <w:rPr>
          <w:rFonts w:ascii="Calibri" w:hAnsi="Calibri"/>
        </w:rPr>
        <w:t>To ensure</w:t>
      </w:r>
      <w:r w:rsidR="006F35AD" w:rsidRPr="003B622B">
        <w:rPr>
          <w:rFonts w:ascii="Calibri" w:hAnsi="Calibri"/>
        </w:rPr>
        <w:t xml:space="preserve"> their effectiveness in a transformative </w:t>
      </w:r>
      <w:r w:rsidR="003B2F09">
        <w:rPr>
          <w:rFonts w:ascii="Calibri" w:hAnsi="Calibri"/>
        </w:rPr>
        <w:t>way</w:t>
      </w:r>
      <w:r w:rsidR="006F35AD" w:rsidRPr="003B622B">
        <w:rPr>
          <w:rFonts w:ascii="Calibri" w:hAnsi="Calibri"/>
        </w:rPr>
        <w:t>, victims must be enabled with access to remedies in a manner that is suitable in the context of their community and religion.</w:t>
      </w:r>
      <w:r w:rsidR="006F35AD" w:rsidRPr="003B622B">
        <w:rPr>
          <w:rStyle w:val="FootnoteReference"/>
          <w:rFonts w:ascii="Calibri" w:hAnsi="Calibri"/>
        </w:rPr>
        <w:footnoteReference w:id="297"/>
      </w:r>
      <w:r w:rsidR="006F35AD" w:rsidRPr="003B622B">
        <w:rPr>
          <w:rFonts w:ascii="Calibri" w:hAnsi="Calibri"/>
        </w:rPr>
        <w:t xml:space="preserve"> </w:t>
      </w:r>
    </w:p>
    <w:p w14:paraId="030753C0" w14:textId="3CF580B0" w:rsidR="006F35AD" w:rsidRPr="00905B20" w:rsidRDefault="006F35AD" w:rsidP="00772635">
      <w:pPr>
        <w:spacing w:before="100" w:beforeAutospacing="1" w:after="100" w:afterAutospacing="1"/>
        <w:jc w:val="both"/>
        <w:rPr>
          <w:rFonts w:ascii="Calibri" w:hAnsi="Calibri"/>
          <w:b/>
          <w:color w:val="1F497D" w:themeColor="text2"/>
          <w:u w:val="single"/>
        </w:rPr>
      </w:pPr>
      <w:r w:rsidRPr="00905B20">
        <w:rPr>
          <w:rFonts w:ascii="Calibri" w:hAnsi="Calibri"/>
          <w:b/>
          <w:color w:val="1F497D" w:themeColor="text2"/>
          <w:u w:val="single"/>
        </w:rPr>
        <w:t>Cotton Fields Case</w:t>
      </w:r>
      <w:r w:rsidR="00004951" w:rsidRPr="00905B20">
        <w:rPr>
          <w:rFonts w:ascii="Calibri" w:hAnsi="Calibri"/>
          <w:b/>
          <w:color w:val="1F497D" w:themeColor="text2"/>
          <w:u w:val="single"/>
        </w:rPr>
        <w:t xml:space="preserve"> of the Inter-American Court of Human Rights</w:t>
      </w:r>
    </w:p>
    <w:p w14:paraId="4B2498A8" w14:textId="12973B2C" w:rsidR="006F35AD" w:rsidRPr="003B2F09" w:rsidRDefault="006F35AD" w:rsidP="00905B20">
      <w:pPr>
        <w:spacing w:line="360" w:lineRule="auto"/>
        <w:jc w:val="both"/>
        <w:rPr>
          <w:rFonts w:ascii="Times" w:eastAsia="Times New Roman" w:hAnsi="Times" w:cs="Times New Roman"/>
          <w:color w:val="000000" w:themeColor="text1"/>
          <w:sz w:val="20"/>
          <w:szCs w:val="20"/>
        </w:rPr>
      </w:pPr>
      <w:r w:rsidRPr="003B2F09">
        <w:rPr>
          <w:rFonts w:ascii="Calibri" w:hAnsi="Calibri"/>
          <w:color w:val="000000" w:themeColor="text1"/>
        </w:rPr>
        <w:t xml:space="preserve">The Inter-American Court of Human Rights has issued important guidance on the need for reparations in cases concerning women, peace and security. </w:t>
      </w:r>
      <w:r w:rsidRPr="003B2F09">
        <w:rPr>
          <w:rFonts w:ascii="Calibri" w:hAnsi="Calibri"/>
          <w:i/>
          <w:color w:val="000000" w:themeColor="text1"/>
        </w:rPr>
        <w:t>Gonzalez et al (‘Cotton Field’) v Mexico</w:t>
      </w:r>
      <w:r w:rsidRPr="003B2F09">
        <w:rPr>
          <w:rFonts w:ascii="Calibri" w:hAnsi="Calibri"/>
          <w:color w:val="000000" w:themeColor="text1"/>
        </w:rPr>
        <w:t xml:space="preserve"> concerned the disappearances and deaths of a number of women and girls in a cotton field in Ciudad </w:t>
      </w:r>
      <w:r w:rsidR="003B2F09" w:rsidRPr="003B2F09">
        <w:rPr>
          <w:rFonts w:ascii="Calibri" w:eastAsia="Times New Roman" w:hAnsi="Calibri" w:cs="Arial"/>
          <w:bCs/>
          <w:color w:val="000000" w:themeColor="text1"/>
          <w:shd w:val="clear" w:color="auto" w:fill="FFFFFF"/>
        </w:rPr>
        <w:t>Juárez,</w:t>
      </w:r>
      <w:r w:rsidR="003B2F09" w:rsidRPr="003B2F09">
        <w:rPr>
          <w:rFonts w:ascii="Arial" w:eastAsia="Times New Roman" w:hAnsi="Arial" w:cs="Arial"/>
          <w:b/>
          <w:bCs/>
          <w:color w:val="000000" w:themeColor="text1"/>
          <w:sz w:val="20"/>
          <w:szCs w:val="20"/>
          <w:shd w:val="clear" w:color="auto" w:fill="FFFFFF"/>
        </w:rPr>
        <w:t xml:space="preserve"> </w:t>
      </w:r>
      <w:r w:rsidRPr="003B2F09">
        <w:rPr>
          <w:rFonts w:ascii="Calibri" w:hAnsi="Calibri"/>
          <w:color w:val="000000" w:themeColor="text1"/>
        </w:rPr>
        <w:t>Mexico. A number of incidents had been reported over a long period of time, and there was evidence of extreme violence, rape and torture in many incidents. The Court found that the violations were especially addressed against women.</w:t>
      </w:r>
      <w:r w:rsidRPr="003B2F09">
        <w:rPr>
          <w:rStyle w:val="FootnoteReference"/>
          <w:rFonts w:ascii="Calibri" w:hAnsi="Calibri"/>
          <w:color w:val="000000" w:themeColor="text1"/>
        </w:rPr>
        <w:footnoteReference w:id="298"/>
      </w:r>
      <w:r w:rsidRPr="003B2F09">
        <w:rPr>
          <w:rFonts w:ascii="Calibri" w:hAnsi="Calibri"/>
          <w:color w:val="000000" w:themeColor="text1"/>
        </w:rPr>
        <w:t xml:space="preserve"> </w:t>
      </w:r>
    </w:p>
    <w:p w14:paraId="56014FCE" w14:textId="585CC5D9" w:rsidR="006F35AD" w:rsidRPr="003B622B" w:rsidRDefault="006F35AD" w:rsidP="00905B20">
      <w:pPr>
        <w:spacing w:before="100" w:beforeAutospacing="1" w:after="100" w:afterAutospacing="1" w:line="360" w:lineRule="auto"/>
        <w:jc w:val="both"/>
        <w:rPr>
          <w:rFonts w:ascii="Calibri" w:hAnsi="Calibri"/>
        </w:rPr>
      </w:pPr>
      <w:r w:rsidRPr="003B622B">
        <w:rPr>
          <w:rFonts w:ascii="Calibri" w:hAnsi="Calibri"/>
        </w:rPr>
        <w:t>An important aspect of the case was Mexico’s failure to comply with its international obligations to provide adequate reparations. The Court held that Mexico was required to provide adequate reparations for the victims and their next of kin, and the reparations ordered were transformative in nature. The Court concluded that the violations had resulted from structural discrimination. Theref</w:t>
      </w:r>
      <w:r w:rsidR="00004951">
        <w:rPr>
          <w:rFonts w:ascii="Calibri" w:hAnsi="Calibri"/>
        </w:rPr>
        <w:t>ore, the reparations had to be “</w:t>
      </w:r>
      <w:r w:rsidRPr="003B622B">
        <w:rPr>
          <w:rFonts w:ascii="Calibri" w:hAnsi="Calibri"/>
        </w:rPr>
        <w:t>designed to change this situation, so that their effect is not only of restitu</w:t>
      </w:r>
      <w:r w:rsidR="00004951">
        <w:rPr>
          <w:rFonts w:ascii="Calibri" w:hAnsi="Calibri"/>
        </w:rPr>
        <w:t>tion, but also of rectification”</w:t>
      </w:r>
      <w:r w:rsidRPr="003B622B">
        <w:rPr>
          <w:rFonts w:ascii="Calibri" w:hAnsi="Calibri"/>
        </w:rPr>
        <w:t>.</w:t>
      </w:r>
      <w:r w:rsidRPr="003B622B">
        <w:rPr>
          <w:rStyle w:val="FootnoteReference"/>
          <w:rFonts w:ascii="Calibri" w:hAnsi="Calibri"/>
        </w:rPr>
        <w:footnoteReference w:id="299"/>
      </w:r>
      <w:r w:rsidRPr="003B622B">
        <w:rPr>
          <w:rFonts w:ascii="Calibri" w:hAnsi="Calibri"/>
        </w:rPr>
        <w:t xml:space="preserve">  As a result, the Court ordered monetary, non-pecuniary and structural reparations to be made, as adopted from a gender perspective. This was the first time in which transformative reparations had been ordered by an International Court directly as a result of a breach of international obligations towards women.</w:t>
      </w:r>
      <w:r w:rsidRPr="003B622B">
        <w:rPr>
          <w:rStyle w:val="FootnoteReference"/>
          <w:rFonts w:ascii="Calibri" w:hAnsi="Calibri"/>
        </w:rPr>
        <w:footnoteReference w:id="300"/>
      </w:r>
    </w:p>
    <w:p w14:paraId="0B5F7C76" w14:textId="77777777" w:rsidR="006F35AD" w:rsidRPr="00905B20" w:rsidRDefault="006F35AD" w:rsidP="00772635">
      <w:pPr>
        <w:spacing w:before="100" w:beforeAutospacing="1" w:after="100" w:afterAutospacing="1"/>
        <w:jc w:val="both"/>
        <w:rPr>
          <w:rFonts w:ascii="Calibri" w:hAnsi="Calibri"/>
          <w:b/>
          <w:color w:val="1F497D" w:themeColor="text2"/>
          <w:u w:val="single"/>
        </w:rPr>
      </w:pPr>
      <w:r w:rsidRPr="00905B20">
        <w:rPr>
          <w:rFonts w:ascii="Calibri" w:hAnsi="Calibri"/>
          <w:b/>
          <w:color w:val="1F497D" w:themeColor="text2"/>
          <w:u w:val="single"/>
        </w:rPr>
        <w:lastRenderedPageBreak/>
        <w:t>Sierra Leone’s Truth and Reconciliation Commission</w:t>
      </w:r>
    </w:p>
    <w:p w14:paraId="6AEE7836" w14:textId="63F71760" w:rsidR="006F35AD" w:rsidRPr="003B622B" w:rsidRDefault="006F35AD" w:rsidP="00905B20">
      <w:pPr>
        <w:spacing w:before="100" w:beforeAutospacing="1" w:after="100" w:afterAutospacing="1" w:line="360" w:lineRule="auto"/>
        <w:jc w:val="both"/>
        <w:rPr>
          <w:rFonts w:ascii="Calibri" w:hAnsi="Calibri"/>
        </w:rPr>
      </w:pPr>
      <w:r w:rsidRPr="003B622B">
        <w:rPr>
          <w:rFonts w:ascii="Calibri" w:hAnsi="Calibri"/>
        </w:rPr>
        <w:t>Following the conflict in Sierra Leone, the Truth and Reconciliation Commission has recommended a number of measures for the purposes of transforming the place of women and girls in the cultural life of the country. The measures have included the provision of free healthcare, educational support, provision of skills and training, provision of housing, symbolic reparations and urgent reparations for those in greatest need of an effective outcome (for example, victims of sexual violence or widows). Further, more progressive legislation on issues relating to women was recommended. The report resulted in three bills being passed in Sierra Leone on gender inequality issues, as well as a public apology for a failure to protect women during the armed conflict and promises to prevent the recurrence of such wrongs.</w:t>
      </w:r>
      <w:r w:rsidRPr="003B622B">
        <w:rPr>
          <w:rStyle w:val="FootnoteReference"/>
          <w:rFonts w:ascii="Calibri" w:hAnsi="Calibri"/>
        </w:rPr>
        <w:footnoteReference w:id="301"/>
      </w:r>
    </w:p>
    <w:p w14:paraId="363B6E7C" w14:textId="15C52D8E" w:rsidR="00464F1A" w:rsidRDefault="007F364C" w:rsidP="00905B20">
      <w:pPr>
        <w:spacing w:line="360" w:lineRule="auto"/>
        <w:jc w:val="both"/>
        <w:rPr>
          <w:rFonts w:ascii="Calibri" w:hAnsi="Calibri"/>
        </w:rPr>
      </w:pPr>
      <w:r>
        <w:rPr>
          <w:rFonts w:ascii="Calibri" w:hAnsi="Calibri"/>
        </w:rPr>
        <w:t xml:space="preserve">The examples above indicate the crucial role played by transformative remedies in </w:t>
      </w:r>
      <w:r w:rsidR="003B2F09">
        <w:rPr>
          <w:rFonts w:ascii="Calibri" w:hAnsi="Calibri"/>
        </w:rPr>
        <w:t>guaranteeing</w:t>
      </w:r>
      <w:r>
        <w:rPr>
          <w:rFonts w:ascii="Calibri" w:hAnsi="Calibri"/>
        </w:rPr>
        <w:t xml:space="preserve"> that women and girls actually achieve access to justice and meaningful redress for rights violations. It is essential that transformative remedies are available under SCR 1325 and the legal framework, to guarantee the transformative equality that the framework provides. </w:t>
      </w:r>
      <w:r w:rsidR="00AE57C8">
        <w:rPr>
          <w:rFonts w:ascii="Calibri" w:hAnsi="Calibri"/>
        </w:rPr>
        <w:t xml:space="preserve">The </w:t>
      </w:r>
      <w:r w:rsidR="00AE57C8" w:rsidRPr="00905B20">
        <w:rPr>
          <w:rFonts w:ascii="Calibri" w:hAnsi="Calibri"/>
          <w:b/>
          <w:color w:val="4F81BD" w:themeColor="accent1"/>
        </w:rPr>
        <w:t>existing UN monitoring and accountability processes, even if improved, do not provide transformative equality</w:t>
      </w:r>
      <w:r w:rsidR="00AE57C8">
        <w:rPr>
          <w:rFonts w:ascii="Calibri" w:hAnsi="Calibri"/>
        </w:rPr>
        <w:t>.</w:t>
      </w:r>
      <w:r>
        <w:rPr>
          <w:rFonts w:ascii="Calibri" w:hAnsi="Calibri"/>
        </w:rPr>
        <w:t xml:space="preserve"> </w:t>
      </w:r>
      <w:r w:rsidR="00464F1A">
        <w:rPr>
          <w:rFonts w:ascii="Calibri" w:hAnsi="Calibri"/>
        </w:rPr>
        <w:br w:type="page"/>
      </w:r>
    </w:p>
    <w:p w14:paraId="66ADED95" w14:textId="1807AD87" w:rsidR="00E50113" w:rsidRPr="00471761" w:rsidRDefault="00E50113" w:rsidP="00471761">
      <w:pPr>
        <w:pStyle w:val="Heading3"/>
        <w:keepLines/>
        <w:spacing w:before="20" w:after="0"/>
        <w:jc w:val="center"/>
        <w:rPr>
          <w:b w:val="0"/>
          <w:color w:val="1F497D" w:themeColor="text2"/>
          <w:spacing w:val="14"/>
          <w:sz w:val="32"/>
          <w:szCs w:val="32"/>
          <w:lang w:val="en-GB"/>
        </w:rPr>
      </w:pPr>
      <w:bookmarkStart w:id="25" w:name="_Toc416867103"/>
      <w:r w:rsidRPr="00471761">
        <w:rPr>
          <w:b w:val="0"/>
          <w:color w:val="1F497D" w:themeColor="text2"/>
          <w:spacing w:val="14"/>
          <w:sz w:val="32"/>
          <w:szCs w:val="32"/>
          <w:lang w:val="en-GB"/>
        </w:rPr>
        <w:lastRenderedPageBreak/>
        <w:t>SECTION 3 CONCLUSIONS AND RECOMMENDATIONS</w:t>
      </w:r>
      <w:bookmarkEnd w:id="25"/>
    </w:p>
    <w:p w14:paraId="39804C10" w14:textId="77777777" w:rsidR="00E50113" w:rsidRDefault="00E50113" w:rsidP="00E50113"/>
    <w:p w14:paraId="4A620E32" w14:textId="5AAED890" w:rsidR="005E0CA5" w:rsidRPr="00471761" w:rsidRDefault="00E50113" w:rsidP="00905B20">
      <w:pPr>
        <w:spacing w:line="360" w:lineRule="auto"/>
        <w:rPr>
          <w:rFonts w:ascii="Calibri" w:hAnsi="Calibri"/>
        </w:rPr>
      </w:pPr>
      <w:r w:rsidRPr="00471761">
        <w:rPr>
          <w:rFonts w:ascii="Calibri" w:hAnsi="Calibri"/>
        </w:rPr>
        <w:t xml:space="preserve">Section 3 of this submission </w:t>
      </w:r>
      <w:r w:rsidR="003742A9">
        <w:rPr>
          <w:rFonts w:ascii="Calibri" w:hAnsi="Calibri"/>
        </w:rPr>
        <w:t xml:space="preserve">makes the following conclusions and recommendations. </w:t>
      </w:r>
    </w:p>
    <w:p w14:paraId="35BEEEA2" w14:textId="7998D1C8" w:rsidR="00CA5BBE" w:rsidRPr="00471761" w:rsidRDefault="00772635" w:rsidP="00905B20">
      <w:pPr>
        <w:spacing w:before="100" w:beforeAutospacing="1" w:after="100" w:afterAutospacing="1" w:line="360" w:lineRule="auto"/>
        <w:jc w:val="both"/>
        <w:rPr>
          <w:rFonts w:ascii="Calibri" w:hAnsi="Calibri"/>
        </w:rPr>
      </w:pPr>
      <w:r w:rsidRPr="00471761">
        <w:rPr>
          <w:rFonts w:ascii="Calibri" w:hAnsi="Calibri"/>
        </w:rPr>
        <w:t xml:space="preserve">The reporting on states’ implementation of SCR 1325 is </w:t>
      </w:r>
      <w:r w:rsidRPr="00471761">
        <w:rPr>
          <w:rFonts w:ascii="Calibri" w:hAnsi="Calibri"/>
          <w:b/>
          <w:color w:val="4F81BD" w:themeColor="accent1"/>
        </w:rPr>
        <w:t>fragmented</w:t>
      </w:r>
      <w:r w:rsidRPr="00471761">
        <w:rPr>
          <w:rFonts w:ascii="Calibri" w:hAnsi="Calibri"/>
        </w:rPr>
        <w:t>, given that SCR 1325 lacks a mandatory</w:t>
      </w:r>
      <w:r w:rsidR="003B2F09" w:rsidRPr="00471761">
        <w:rPr>
          <w:rFonts w:ascii="Calibri" w:hAnsi="Calibri"/>
        </w:rPr>
        <w:t xml:space="preserve"> </w:t>
      </w:r>
      <w:r w:rsidRPr="00471761">
        <w:rPr>
          <w:rFonts w:ascii="Calibri" w:hAnsi="Calibri"/>
        </w:rPr>
        <w:t>monitoring or accountability mechanism.  The UPR and CSW processes provide</w:t>
      </w:r>
      <w:r w:rsidR="003B2F09" w:rsidRPr="00471761">
        <w:rPr>
          <w:rFonts w:ascii="Calibri" w:hAnsi="Calibri"/>
        </w:rPr>
        <w:t xml:space="preserve"> opportunities to address this fragmentation,</w:t>
      </w:r>
      <w:r w:rsidRPr="00471761">
        <w:rPr>
          <w:rFonts w:ascii="Calibri" w:hAnsi="Calibri"/>
        </w:rPr>
        <w:t xml:space="preserve"> </w:t>
      </w:r>
      <w:r w:rsidR="003B2F09" w:rsidRPr="00471761">
        <w:rPr>
          <w:rFonts w:ascii="Calibri" w:hAnsi="Calibri"/>
        </w:rPr>
        <w:t>and better</w:t>
      </w:r>
      <w:r w:rsidRPr="00471761">
        <w:rPr>
          <w:rFonts w:ascii="Calibri" w:hAnsi="Calibri"/>
        </w:rPr>
        <w:t xml:space="preserve"> track states’ progress on fulfilling their obliga</w:t>
      </w:r>
      <w:r w:rsidR="003B2F09" w:rsidRPr="00471761">
        <w:rPr>
          <w:rFonts w:ascii="Calibri" w:hAnsi="Calibri"/>
        </w:rPr>
        <w:t>tions under the legal framework</w:t>
      </w:r>
      <w:r w:rsidRPr="00471761">
        <w:rPr>
          <w:rFonts w:ascii="Calibri" w:hAnsi="Calibri"/>
        </w:rPr>
        <w:t xml:space="preserve">. Having a </w:t>
      </w:r>
      <w:r w:rsidRPr="00471761">
        <w:rPr>
          <w:rFonts w:ascii="Calibri" w:hAnsi="Calibri"/>
          <w:b/>
          <w:color w:val="4F81BD" w:themeColor="accent1"/>
        </w:rPr>
        <w:t xml:space="preserve">dedicated “Women, Peace and Security Section” in key </w:t>
      </w:r>
      <w:r w:rsidR="00471761">
        <w:rPr>
          <w:rFonts w:ascii="Calibri" w:hAnsi="Calibri"/>
          <w:b/>
          <w:color w:val="4F81BD" w:themeColor="accent1"/>
        </w:rPr>
        <w:t xml:space="preserve">outcome </w:t>
      </w:r>
      <w:r w:rsidRPr="00471761">
        <w:rPr>
          <w:rFonts w:ascii="Calibri" w:hAnsi="Calibri"/>
          <w:b/>
          <w:color w:val="4F81BD" w:themeColor="accent1"/>
        </w:rPr>
        <w:t>documents of the UPR and CSW processes</w:t>
      </w:r>
      <w:r w:rsidRPr="00471761">
        <w:rPr>
          <w:rFonts w:ascii="Calibri" w:hAnsi="Calibri"/>
        </w:rPr>
        <w:t xml:space="preserve"> </w:t>
      </w:r>
      <w:r w:rsidR="003B2F09" w:rsidRPr="00471761">
        <w:rPr>
          <w:rFonts w:ascii="Calibri" w:hAnsi="Calibri"/>
        </w:rPr>
        <w:t>would ensure</w:t>
      </w:r>
      <w:r w:rsidRPr="00471761">
        <w:rPr>
          <w:rFonts w:ascii="Calibri" w:hAnsi="Calibri"/>
        </w:rPr>
        <w:t xml:space="preserve"> that conflict-affected women’s and girls’ voices and experiences are meaningfully incorporated into state and NGO reporting. Focusing attention on WPS in these processes </w:t>
      </w:r>
      <w:r w:rsidR="003B2F09" w:rsidRPr="00471761">
        <w:rPr>
          <w:rFonts w:ascii="Calibri" w:hAnsi="Calibri"/>
        </w:rPr>
        <w:t>would also sustain</w:t>
      </w:r>
      <w:r w:rsidRPr="00471761">
        <w:rPr>
          <w:rFonts w:ascii="Calibri" w:hAnsi="Calibri"/>
        </w:rPr>
        <w:t xml:space="preserve"> a spotlight on the legal framework, sustaining the political will that is necessary to compel g</w:t>
      </w:r>
      <w:r w:rsidR="003B2F09" w:rsidRPr="00471761">
        <w:rPr>
          <w:rFonts w:ascii="Calibri" w:hAnsi="Calibri"/>
        </w:rPr>
        <w:t>overnments, development agencies, civil society</w:t>
      </w:r>
      <w:r w:rsidRPr="00471761">
        <w:rPr>
          <w:rFonts w:ascii="Calibri" w:hAnsi="Calibri"/>
        </w:rPr>
        <w:t xml:space="preserve"> and other decision-makers to act to protect the human rights of women and girls. </w:t>
      </w:r>
    </w:p>
    <w:p w14:paraId="5E8562D8" w14:textId="3B241CE4" w:rsidR="00772635" w:rsidRPr="00471761" w:rsidRDefault="00772635" w:rsidP="00905B20">
      <w:pPr>
        <w:spacing w:before="100" w:beforeAutospacing="1" w:after="100" w:afterAutospacing="1" w:line="360" w:lineRule="auto"/>
        <w:jc w:val="both"/>
        <w:rPr>
          <w:rFonts w:ascii="Calibri" w:hAnsi="Calibri"/>
        </w:rPr>
      </w:pPr>
      <w:r w:rsidRPr="00471761">
        <w:rPr>
          <w:rFonts w:ascii="Calibri" w:hAnsi="Calibri"/>
        </w:rPr>
        <w:t xml:space="preserve">Improving </w:t>
      </w:r>
      <w:r w:rsidR="00004951" w:rsidRPr="00471761">
        <w:rPr>
          <w:rFonts w:ascii="Calibri" w:hAnsi="Calibri"/>
        </w:rPr>
        <w:t xml:space="preserve">CEDAW’s monitoring and reporting </w:t>
      </w:r>
      <w:r w:rsidRPr="00471761">
        <w:rPr>
          <w:rFonts w:ascii="Calibri" w:hAnsi="Calibri"/>
        </w:rPr>
        <w:t xml:space="preserve">processes would </w:t>
      </w:r>
      <w:r w:rsidR="003B2F09" w:rsidRPr="00471761">
        <w:rPr>
          <w:rFonts w:ascii="Calibri" w:hAnsi="Calibri"/>
        </w:rPr>
        <w:t xml:space="preserve">also </w:t>
      </w:r>
      <w:r w:rsidRPr="00471761">
        <w:rPr>
          <w:rFonts w:ascii="Calibri" w:hAnsi="Calibri"/>
        </w:rPr>
        <w:t xml:space="preserve">prevent fragmented </w:t>
      </w:r>
      <w:r w:rsidR="0096133E">
        <w:rPr>
          <w:rFonts w:ascii="Calibri" w:hAnsi="Calibri"/>
        </w:rPr>
        <w:t>tracking</w:t>
      </w:r>
      <w:r w:rsidRPr="00471761">
        <w:rPr>
          <w:rFonts w:ascii="Calibri" w:hAnsi="Calibri"/>
        </w:rPr>
        <w:t xml:space="preserve"> of </w:t>
      </w:r>
      <w:r w:rsidR="0096133E">
        <w:rPr>
          <w:rFonts w:ascii="Calibri" w:hAnsi="Calibri"/>
        </w:rPr>
        <w:t>progress on the enforcement of</w:t>
      </w:r>
      <w:r w:rsidRPr="00471761">
        <w:rPr>
          <w:rFonts w:ascii="Calibri" w:hAnsi="Calibri"/>
        </w:rPr>
        <w:t xml:space="preserve"> SCR 1325</w:t>
      </w:r>
      <w:r w:rsidR="0096133E">
        <w:rPr>
          <w:rFonts w:ascii="Calibri" w:hAnsi="Calibri"/>
        </w:rPr>
        <w:t xml:space="preserve"> obligations</w:t>
      </w:r>
      <w:r w:rsidRPr="00471761">
        <w:rPr>
          <w:rFonts w:ascii="Calibri" w:hAnsi="Calibri"/>
        </w:rPr>
        <w:t xml:space="preserve">.  </w:t>
      </w:r>
      <w:r w:rsidR="0096133E">
        <w:rPr>
          <w:rFonts w:ascii="Calibri" w:hAnsi="Calibri"/>
        </w:rPr>
        <w:t>These</w:t>
      </w:r>
      <w:r w:rsidR="00004951" w:rsidRPr="00471761">
        <w:rPr>
          <w:rFonts w:ascii="Calibri" w:hAnsi="Calibri"/>
        </w:rPr>
        <w:t xml:space="preserve"> processes face </w:t>
      </w:r>
      <w:r w:rsidRPr="00471761">
        <w:rPr>
          <w:rFonts w:ascii="Calibri" w:hAnsi="Calibri"/>
        </w:rPr>
        <w:t xml:space="preserve">problems of </w:t>
      </w:r>
      <w:r w:rsidRPr="00471761">
        <w:rPr>
          <w:rFonts w:ascii="Calibri" w:hAnsi="Calibri"/>
          <w:b/>
          <w:color w:val="4F81BD" w:themeColor="accent1"/>
        </w:rPr>
        <w:t>inadequate state compliance</w:t>
      </w:r>
      <w:r w:rsidRPr="00471761">
        <w:rPr>
          <w:rFonts w:ascii="Calibri" w:hAnsi="Calibri"/>
          <w:color w:val="4F81BD" w:themeColor="accent1"/>
        </w:rPr>
        <w:t xml:space="preserve">, </w:t>
      </w:r>
      <w:r w:rsidRPr="00471761">
        <w:rPr>
          <w:rFonts w:ascii="Calibri" w:hAnsi="Calibri"/>
          <w:b/>
          <w:color w:val="4F81BD" w:themeColor="accent1"/>
        </w:rPr>
        <w:t>information-related and procedural barriers</w:t>
      </w:r>
      <w:r w:rsidRPr="00471761">
        <w:rPr>
          <w:rFonts w:ascii="Calibri" w:hAnsi="Calibri"/>
          <w:color w:val="4F81BD" w:themeColor="accent1"/>
        </w:rPr>
        <w:t xml:space="preserve"> </w:t>
      </w:r>
      <w:r w:rsidRPr="00471761">
        <w:rPr>
          <w:rFonts w:ascii="Calibri" w:hAnsi="Calibri"/>
          <w:b/>
          <w:color w:val="4F81BD" w:themeColor="accent1"/>
        </w:rPr>
        <w:t>preventing access to justice</w:t>
      </w:r>
      <w:r w:rsidR="0096133E">
        <w:rPr>
          <w:rFonts w:ascii="Calibri" w:hAnsi="Calibri"/>
          <w:b/>
          <w:color w:val="4F81BD" w:themeColor="accent1"/>
        </w:rPr>
        <w:t xml:space="preserve"> for victims of rights violations</w:t>
      </w:r>
      <w:r w:rsidRPr="00471761">
        <w:rPr>
          <w:rFonts w:ascii="Calibri" w:hAnsi="Calibri"/>
        </w:rPr>
        <w:t xml:space="preserve">, and </w:t>
      </w:r>
      <w:r w:rsidRPr="00471761">
        <w:rPr>
          <w:rFonts w:ascii="Calibri" w:hAnsi="Calibri"/>
          <w:b/>
          <w:color w:val="4F81BD" w:themeColor="accent1"/>
        </w:rPr>
        <w:t>inadequate resources</w:t>
      </w:r>
      <w:r w:rsidRPr="00471761">
        <w:rPr>
          <w:rFonts w:ascii="Calibri" w:hAnsi="Calibri"/>
        </w:rPr>
        <w:t xml:space="preserve"> to support </w:t>
      </w:r>
      <w:r w:rsidR="00004951" w:rsidRPr="00471761">
        <w:rPr>
          <w:rFonts w:ascii="Calibri" w:hAnsi="Calibri"/>
        </w:rPr>
        <w:t>the Committee’s work</w:t>
      </w:r>
      <w:r w:rsidRPr="00471761">
        <w:rPr>
          <w:rFonts w:ascii="Calibri" w:hAnsi="Calibri"/>
        </w:rPr>
        <w:t xml:space="preserve">, especially capacity-building for conflict-affected states and civil society. </w:t>
      </w:r>
      <w:r w:rsidR="00004951" w:rsidRPr="00471761">
        <w:rPr>
          <w:rFonts w:ascii="Calibri" w:hAnsi="Calibri"/>
        </w:rPr>
        <w:t>It is clear that</w:t>
      </w:r>
      <w:r w:rsidRPr="00471761">
        <w:rPr>
          <w:rFonts w:ascii="Calibri" w:hAnsi="Calibri"/>
        </w:rPr>
        <w:t xml:space="preserve"> </w:t>
      </w:r>
      <w:r w:rsidRPr="00471761">
        <w:rPr>
          <w:rFonts w:ascii="Calibri" w:hAnsi="Calibri"/>
          <w:b/>
          <w:color w:val="4F81BD" w:themeColor="accent1"/>
        </w:rPr>
        <w:t>capacity-building</w:t>
      </w:r>
      <w:r w:rsidR="00004951" w:rsidRPr="00471761">
        <w:rPr>
          <w:rFonts w:ascii="Calibri" w:hAnsi="Calibri"/>
          <w:b/>
          <w:color w:val="4F81BD" w:themeColor="accent1"/>
        </w:rPr>
        <w:t xml:space="preserve"> is needed</w:t>
      </w:r>
      <w:r w:rsidRPr="00471761">
        <w:rPr>
          <w:rFonts w:ascii="Calibri" w:hAnsi="Calibri"/>
          <w:b/>
          <w:color w:val="4F81BD" w:themeColor="accent1"/>
        </w:rPr>
        <w:t xml:space="preserve"> for governments’ compliance with state reports and</w:t>
      </w:r>
      <w:r w:rsidRPr="00471761">
        <w:rPr>
          <w:rFonts w:ascii="Calibri" w:hAnsi="Calibri"/>
          <w:color w:val="4F81BD" w:themeColor="accent1"/>
        </w:rPr>
        <w:t xml:space="preserve"> </w:t>
      </w:r>
      <w:r w:rsidRPr="00471761">
        <w:rPr>
          <w:rFonts w:ascii="Calibri" w:hAnsi="Calibri"/>
          <w:b/>
          <w:color w:val="4F81BD" w:themeColor="accent1"/>
        </w:rPr>
        <w:t>civil society contributions via shadow reports</w:t>
      </w:r>
      <w:r w:rsidRPr="00471761">
        <w:rPr>
          <w:rFonts w:ascii="Calibri" w:hAnsi="Calibri"/>
        </w:rPr>
        <w:t xml:space="preserve">. Access to justice to </w:t>
      </w:r>
      <w:r w:rsidR="007114F0">
        <w:rPr>
          <w:rFonts w:ascii="Calibri" w:hAnsi="Calibri"/>
        </w:rPr>
        <w:t>the communication procedure</w:t>
      </w:r>
      <w:r w:rsidRPr="00471761">
        <w:rPr>
          <w:rFonts w:ascii="Calibri" w:hAnsi="Calibri"/>
        </w:rPr>
        <w:t xml:space="preserve"> could also be improved via </w:t>
      </w:r>
      <w:r w:rsidR="005B3F8A">
        <w:rPr>
          <w:rFonts w:ascii="Calibri" w:hAnsi="Calibri"/>
        </w:rPr>
        <w:t xml:space="preserve">providing </w:t>
      </w:r>
      <w:r w:rsidRPr="00471761">
        <w:rPr>
          <w:rFonts w:ascii="Calibri" w:hAnsi="Calibri"/>
        </w:rPr>
        <w:t xml:space="preserve">public information services, </w:t>
      </w:r>
      <w:r w:rsidR="005B3F8A">
        <w:rPr>
          <w:rFonts w:ascii="Calibri" w:hAnsi="Calibri"/>
        </w:rPr>
        <w:t xml:space="preserve">removing procedural barriers to the procedure, </w:t>
      </w:r>
      <w:r w:rsidR="003F0DFF">
        <w:rPr>
          <w:rFonts w:ascii="Calibri" w:hAnsi="Calibri"/>
        </w:rPr>
        <w:t xml:space="preserve">providing </w:t>
      </w:r>
      <w:r w:rsidR="005B3F8A">
        <w:rPr>
          <w:rFonts w:ascii="Calibri" w:hAnsi="Calibri"/>
        </w:rPr>
        <w:t xml:space="preserve">legal aid </w:t>
      </w:r>
      <w:r w:rsidRPr="00471761">
        <w:rPr>
          <w:rFonts w:ascii="Calibri" w:hAnsi="Calibri"/>
        </w:rPr>
        <w:t>and publicising outcomes in cases.</w:t>
      </w:r>
    </w:p>
    <w:p w14:paraId="38AB9938" w14:textId="1A5BAEB6" w:rsidR="007F364C" w:rsidRPr="00471761" w:rsidRDefault="007F364C" w:rsidP="00905B20">
      <w:pPr>
        <w:spacing w:before="100" w:beforeAutospacing="1" w:after="100" w:afterAutospacing="1" w:line="360" w:lineRule="auto"/>
        <w:jc w:val="both"/>
        <w:rPr>
          <w:rFonts w:ascii="Calibri" w:hAnsi="Calibri"/>
        </w:rPr>
      </w:pPr>
      <w:r w:rsidRPr="00471761">
        <w:rPr>
          <w:rFonts w:ascii="Calibri" w:hAnsi="Calibri"/>
        </w:rPr>
        <w:t>Gender-re</w:t>
      </w:r>
      <w:r w:rsidR="00AE57C8" w:rsidRPr="00471761">
        <w:rPr>
          <w:rFonts w:ascii="Calibri" w:hAnsi="Calibri"/>
        </w:rPr>
        <w:t>s</w:t>
      </w:r>
      <w:r w:rsidRPr="00471761">
        <w:rPr>
          <w:rFonts w:ascii="Calibri" w:hAnsi="Calibri"/>
        </w:rPr>
        <w:t>ponsive, victim-oriented reparations</w:t>
      </w:r>
      <w:r w:rsidR="00AE57C8" w:rsidRPr="00471761">
        <w:rPr>
          <w:rFonts w:ascii="Calibri" w:hAnsi="Calibri"/>
        </w:rPr>
        <w:t xml:space="preserve"> for rights violations</w:t>
      </w:r>
      <w:r w:rsidRPr="00471761">
        <w:rPr>
          <w:rFonts w:ascii="Calibri" w:hAnsi="Calibri"/>
        </w:rPr>
        <w:t xml:space="preserve"> are an essential complement to the UN’s existing monitoring and accountability mechanisms. The ability of transformative reparations to challenge structural discrimination </w:t>
      </w:r>
      <w:r w:rsidR="00AE57C8" w:rsidRPr="00471761">
        <w:rPr>
          <w:rFonts w:ascii="Calibri" w:hAnsi="Calibri"/>
        </w:rPr>
        <w:t>helps achieve</w:t>
      </w:r>
      <w:r w:rsidRPr="00471761">
        <w:rPr>
          <w:rFonts w:ascii="Calibri" w:hAnsi="Calibri"/>
        </w:rPr>
        <w:t xml:space="preserve"> </w:t>
      </w:r>
      <w:r w:rsidR="00AE57C8" w:rsidRPr="00471761">
        <w:rPr>
          <w:rFonts w:ascii="Calibri" w:hAnsi="Calibri"/>
        </w:rPr>
        <w:t>the overarching aims</w:t>
      </w:r>
      <w:r w:rsidRPr="00471761">
        <w:rPr>
          <w:rFonts w:ascii="Calibri" w:hAnsi="Calibri"/>
        </w:rPr>
        <w:t xml:space="preserve"> of SCR 1325 and the legal framework. As Rashida Manjoo notes in her Report as Special Rapporteur on violence against women, “violence against individual women generally feeds into patterns of pre-existing and often cross-cutting structural subordination and systemic marginalisation”.</w:t>
      </w:r>
      <w:r w:rsidRPr="00471761">
        <w:rPr>
          <w:rStyle w:val="FootnoteReference"/>
          <w:rFonts w:ascii="Calibri" w:hAnsi="Calibri"/>
        </w:rPr>
        <w:footnoteReference w:id="302"/>
      </w:r>
      <w:r w:rsidRPr="00471761">
        <w:rPr>
          <w:rFonts w:ascii="Calibri" w:hAnsi="Calibri"/>
        </w:rPr>
        <w:t xml:space="preserve"> To achieve </w:t>
      </w:r>
      <w:r w:rsidRPr="00471761">
        <w:rPr>
          <w:rFonts w:ascii="Calibri" w:hAnsi="Calibri"/>
          <w:b/>
          <w:color w:val="4F81BD" w:themeColor="accent1"/>
        </w:rPr>
        <w:t xml:space="preserve">transformative equality in a meaningful way </w:t>
      </w:r>
      <w:r w:rsidR="00AE57C8" w:rsidRPr="00471761">
        <w:rPr>
          <w:rFonts w:ascii="Calibri" w:hAnsi="Calibri"/>
          <w:b/>
          <w:color w:val="4F81BD" w:themeColor="accent1"/>
        </w:rPr>
        <w:t>requires</w:t>
      </w:r>
      <w:r w:rsidRPr="00471761">
        <w:rPr>
          <w:rFonts w:ascii="Calibri" w:hAnsi="Calibri"/>
          <w:b/>
          <w:color w:val="4F81BD" w:themeColor="accent1"/>
        </w:rPr>
        <w:t xml:space="preserve"> the long lasting effect of preventing future rights violations</w:t>
      </w:r>
      <w:r w:rsidRPr="00471761">
        <w:rPr>
          <w:rFonts w:ascii="Calibri" w:hAnsi="Calibri"/>
        </w:rPr>
        <w:t>, including acts of sexual violence in conflict</w:t>
      </w:r>
      <w:r w:rsidR="00AE57C8" w:rsidRPr="00471761">
        <w:rPr>
          <w:rFonts w:ascii="Calibri" w:hAnsi="Calibri"/>
        </w:rPr>
        <w:t xml:space="preserve"> and other grave human rights abuses against women and girls</w:t>
      </w:r>
      <w:r w:rsidRPr="00471761">
        <w:rPr>
          <w:rFonts w:ascii="Calibri" w:hAnsi="Calibri"/>
        </w:rPr>
        <w:t xml:space="preserve">. </w:t>
      </w:r>
      <w:r w:rsidR="00AE57C8" w:rsidRPr="00471761">
        <w:rPr>
          <w:rFonts w:ascii="Calibri" w:hAnsi="Calibri"/>
        </w:rPr>
        <w:t>Existing UN processes must</w:t>
      </w:r>
      <w:r w:rsidRPr="00471761">
        <w:rPr>
          <w:rFonts w:ascii="Calibri" w:hAnsi="Calibri"/>
        </w:rPr>
        <w:t xml:space="preserve"> be combined with transformative remedies to produce transformative gender equality in situations of conflict. </w:t>
      </w:r>
    </w:p>
    <w:p w14:paraId="30C81AFE" w14:textId="2E3140ED" w:rsidR="00736345" w:rsidRPr="00CF4DA2" w:rsidRDefault="008932CA" w:rsidP="00736345">
      <w:pPr>
        <w:pStyle w:val="ListParagraph"/>
        <w:spacing w:after="180"/>
        <w:ind w:left="0"/>
        <w:jc w:val="both"/>
        <w:rPr>
          <w:rFonts w:ascii="Calibri" w:eastAsiaTheme="minorHAnsi" w:hAnsi="Calibri" w:cs="Times New Roman"/>
          <w:b/>
          <w:color w:val="1F497D" w:themeColor="text2"/>
          <w:u w:val="single"/>
        </w:rPr>
      </w:pPr>
      <w:r>
        <w:rPr>
          <w:rFonts w:ascii="Calibri" w:eastAsiaTheme="minorHAnsi" w:hAnsi="Calibri" w:cs="Times New Roman"/>
          <w:b/>
          <w:color w:val="1F497D" w:themeColor="text2"/>
          <w:u w:val="single"/>
        </w:rPr>
        <w:lastRenderedPageBreak/>
        <w:t>Recommendation 4: T</w:t>
      </w:r>
      <w:r w:rsidR="00736345" w:rsidRPr="00CF4DA2">
        <w:rPr>
          <w:rFonts w:ascii="Calibri" w:eastAsiaTheme="minorHAnsi" w:hAnsi="Calibri" w:cs="Times New Roman"/>
          <w:b/>
          <w:color w:val="1F497D" w:themeColor="text2"/>
          <w:u w:val="single"/>
        </w:rPr>
        <w:t xml:space="preserve">o guarantee substantive equality, </w:t>
      </w:r>
      <w:proofErr w:type="gramStart"/>
      <w:r w:rsidR="00736345" w:rsidRPr="00CF4DA2">
        <w:rPr>
          <w:rFonts w:ascii="Calibri" w:eastAsiaTheme="minorHAnsi" w:hAnsi="Calibri" w:cs="Times New Roman"/>
          <w:b/>
          <w:color w:val="1F497D" w:themeColor="text2"/>
          <w:u w:val="single"/>
        </w:rPr>
        <w:t>which is a minimum protection under the legal framework on women, peace and security</w:t>
      </w:r>
      <w:proofErr w:type="gramEnd"/>
      <w:r w:rsidR="00736345" w:rsidRPr="00CF4DA2">
        <w:rPr>
          <w:rFonts w:ascii="Calibri" w:eastAsiaTheme="minorHAnsi" w:hAnsi="Calibri" w:cs="Times New Roman"/>
          <w:b/>
          <w:color w:val="1F497D" w:themeColor="text2"/>
          <w:u w:val="single"/>
        </w:rPr>
        <w:t xml:space="preserve"> </w:t>
      </w:r>
    </w:p>
    <w:p w14:paraId="07C052C0" w14:textId="77777777" w:rsidR="00736345" w:rsidRPr="00C268C1" w:rsidRDefault="00736345" w:rsidP="00736345">
      <w:pPr>
        <w:pStyle w:val="ListParagraph"/>
        <w:ind w:left="0"/>
        <w:jc w:val="both"/>
        <w:rPr>
          <w:rFonts w:ascii="Calibri" w:hAnsi="Calibri" w:cs="Times New Roman"/>
          <w:b/>
          <w:i/>
        </w:rPr>
      </w:pPr>
    </w:p>
    <w:p w14:paraId="7833465F" w14:textId="77777777" w:rsidR="00736345" w:rsidRDefault="00736345" w:rsidP="00736345">
      <w:pPr>
        <w:pStyle w:val="ListParagraph"/>
        <w:numPr>
          <w:ilvl w:val="0"/>
          <w:numId w:val="9"/>
        </w:numPr>
        <w:spacing w:line="360" w:lineRule="auto"/>
        <w:jc w:val="both"/>
        <w:rPr>
          <w:rFonts w:ascii="Calibri" w:hAnsi="Calibri" w:cs="Times New Roman"/>
        </w:rPr>
      </w:pPr>
      <w:r>
        <w:rPr>
          <w:rFonts w:ascii="Calibri" w:hAnsi="Calibri" w:cs="Times New Roman"/>
        </w:rPr>
        <w:t xml:space="preserve">To guarantee </w:t>
      </w:r>
      <w:r w:rsidRPr="0007733F">
        <w:rPr>
          <w:rFonts w:ascii="Calibri" w:hAnsi="Calibri" w:cs="Times New Roman"/>
          <w:i/>
        </w:rPr>
        <w:t>substantive equality</w:t>
      </w:r>
      <w:r>
        <w:rPr>
          <w:rFonts w:ascii="Calibri" w:hAnsi="Calibri" w:cs="Times New Roman"/>
        </w:rPr>
        <w:t>, the UN’s existing monitoring and accountability processes must be accessible to women and girls and their organizations and advocates, to ensure access to justice, and provide effective monitoring and reporting on state compliance with the legal framework, including by:</w:t>
      </w:r>
    </w:p>
    <w:p w14:paraId="621F944F" w14:textId="77777777" w:rsidR="00736345" w:rsidRPr="00AA5083" w:rsidRDefault="00736345" w:rsidP="00736345">
      <w:pPr>
        <w:pStyle w:val="ListParagraph"/>
        <w:jc w:val="both"/>
        <w:rPr>
          <w:rFonts w:ascii="Calibri" w:hAnsi="Calibri" w:cs="Times New Roman"/>
        </w:rPr>
      </w:pPr>
    </w:p>
    <w:p w14:paraId="708986D1" w14:textId="77777777" w:rsidR="00736345" w:rsidRDefault="00736345" w:rsidP="00736345">
      <w:pPr>
        <w:pStyle w:val="ListParagraph"/>
        <w:numPr>
          <w:ilvl w:val="1"/>
          <w:numId w:val="9"/>
        </w:numPr>
        <w:spacing w:line="360" w:lineRule="auto"/>
        <w:jc w:val="both"/>
        <w:rPr>
          <w:rFonts w:ascii="Calibri" w:hAnsi="Calibri" w:cs="Times New Roman"/>
        </w:rPr>
      </w:pPr>
      <w:r>
        <w:rPr>
          <w:rFonts w:ascii="Calibri" w:hAnsi="Calibri" w:cs="Times New Roman"/>
        </w:rPr>
        <w:t>Creating a dedicated “Women, Peace and Security” section in key Universal Periodic Review (UPR) and CSW reports and outcome documents,</w:t>
      </w:r>
      <w:r w:rsidRPr="00F62D05">
        <w:rPr>
          <w:rFonts w:ascii="Calibri" w:hAnsi="Calibri" w:cs="Times New Roman"/>
        </w:rPr>
        <w:t xml:space="preserve"> and </w:t>
      </w:r>
      <w:r>
        <w:rPr>
          <w:rFonts w:ascii="Calibri" w:hAnsi="Calibri" w:cs="Times New Roman"/>
        </w:rPr>
        <w:t>building the capacity of government officials and civil society, especially women’s and girls’ organizations, for gender-responsive reporting on conflict;</w:t>
      </w:r>
      <w:r w:rsidRPr="00F62D05">
        <w:rPr>
          <w:rFonts w:ascii="Calibri" w:hAnsi="Calibri" w:cs="Times New Roman"/>
        </w:rPr>
        <w:t xml:space="preserve"> </w:t>
      </w:r>
    </w:p>
    <w:p w14:paraId="6706043F" w14:textId="77777777" w:rsidR="00736345" w:rsidRDefault="00736345" w:rsidP="00736345">
      <w:pPr>
        <w:pStyle w:val="ListParagraph"/>
        <w:ind w:left="1440"/>
        <w:jc w:val="both"/>
        <w:rPr>
          <w:rFonts w:ascii="Calibri" w:hAnsi="Calibri" w:cs="Times New Roman"/>
        </w:rPr>
      </w:pPr>
    </w:p>
    <w:p w14:paraId="6CDDDC8B" w14:textId="77777777" w:rsidR="00736345" w:rsidRDefault="00736345" w:rsidP="00736345">
      <w:pPr>
        <w:pStyle w:val="ListParagraph"/>
        <w:numPr>
          <w:ilvl w:val="1"/>
          <w:numId w:val="9"/>
        </w:numPr>
        <w:spacing w:line="360" w:lineRule="auto"/>
        <w:jc w:val="both"/>
        <w:rPr>
          <w:rFonts w:ascii="Calibri" w:hAnsi="Calibri" w:cs="Times New Roman"/>
        </w:rPr>
      </w:pPr>
      <w:r>
        <w:rPr>
          <w:rFonts w:ascii="Calibri" w:hAnsi="Calibri" w:cs="Times New Roman"/>
        </w:rPr>
        <w:t>Mainstreaming the CEDAW GR No. 30 into CEDAW country and shadow reporting, and budgeting for adequate financial and human resources to the CEDAW Committee, governments, women’s and girls’ organizations and others to provide capacity-building training on implementing the SCR 1325 and the CEDAW GR. No 30 in the context of the overarching legal framework on women, peace and security.</w:t>
      </w:r>
    </w:p>
    <w:p w14:paraId="1662C3C6" w14:textId="77777777" w:rsidR="00736345" w:rsidRPr="00B2494C" w:rsidRDefault="00736345" w:rsidP="00736345">
      <w:pPr>
        <w:pStyle w:val="ListParagraph"/>
        <w:rPr>
          <w:rFonts w:ascii="Calibri" w:hAnsi="Calibri" w:cs="Times New Roman"/>
        </w:rPr>
      </w:pPr>
    </w:p>
    <w:p w14:paraId="65FD3F65" w14:textId="68A12063" w:rsidR="00736345" w:rsidRPr="007B54BE" w:rsidRDefault="00736345" w:rsidP="00736345">
      <w:pPr>
        <w:pStyle w:val="ListParagraph"/>
        <w:numPr>
          <w:ilvl w:val="1"/>
          <w:numId w:val="9"/>
        </w:numPr>
        <w:spacing w:line="360" w:lineRule="auto"/>
        <w:jc w:val="both"/>
        <w:rPr>
          <w:rFonts w:ascii="Calibri" w:hAnsi="Calibri" w:cs="Times New Roman"/>
        </w:rPr>
      </w:pPr>
      <w:r>
        <w:rPr>
          <w:rFonts w:ascii="Calibri" w:hAnsi="Calibri" w:cs="Times New Roman"/>
        </w:rPr>
        <w:t>Improving the CEDAW communication procedure by publicising its availability and enabling women and girls to meaningfully ac</w:t>
      </w:r>
      <w:r w:rsidR="002C5F5F">
        <w:rPr>
          <w:rFonts w:ascii="Calibri" w:hAnsi="Calibri" w:cs="Times New Roman"/>
        </w:rPr>
        <w:t xml:space="preserve">cess </w:t>
      </w:r>
      <w:r w:rsidR="008932CA">
        <w:rPr>
          <w:rFonts w:ascii="Calibri" w:hAnsi="Calibri" w:cs="Times New Roman"/>
        </w:rPr>
        <w:t>the procedure, including by</w:t>
      </w:r>
      <w:r w:rsidR="002C5F5F">
        <w:rPr>
          <w:rFonts w:ascii="Calibri" w:hAnsi="Calibri" w:cs="Times New Roman"/>
        </w:rPr>
        <w:t xml:space="preserve"> </w:t>
      </w:r>
      <w:r w:rsidR="003F0DFF" w:rsidRPr="00471761">
        <w:rPr>
          <w:rFonts w:ascii="Calibri" w:hAnsi="Calibri"/>
        </w:rPr>
        <w:t xml:space="preserve">removing the requirement to exhaust domestic remedies, providing legal aid, and publicising </w:t>
      </w:r>
      <w:r w:rsidR="008932CA">
        <w:rPr>
          <w:rFonts w:ascii="Calibri" w:hAnsi="Calibri"/>
        </w:rPr>
        <w:t>all decisions.</w:t>
      </w:r>
    </w:p>
    <w:p w14:paraId="62BAA896" w14:textId="77777777" w:rsidR="00340738" w:rsidRPr="00471761" w:rsidRDefault="00340738" w:rsidP="00340738">
      <w:pPr>
        <w:jc w:val="both"/>
        <w:rPr>
          <w:rFonts w:ascii="Calibri" w:hAnsi="Calibri" w:cs="Times New Roman"/>
        </w:rPr>
      </w:pPr>
    </w:p>
    <w:p w14:paraId="29BA8B67" w14:textId="77777777" w:rsidR="001E1E14" w:rsidRPr="00CF4DA2" w:rsidRDefault="001E1E14" w:rsidP="001E1E14">
      <w:pPr>
        <w:pStyle w:val="ListParagraph"/>
        <w:spacing w:after="180"/>
        <w:ind w:left="0"/>
        <w:jc w:val="both"/>
        <w:rPr>
          <w:rFonts w:ascii="Calibri" w:eastAsiaTheme="minorHAnsi" w:hAnsi="Calibri" w:cs="Times New Roman"/>
          <w:b/>
          <w:color w:val="1F497D" w:themeColor="text2"/>
          <w:u w:val="single"/>
        </w:rPr>
      </w:pPr>
      <w:r w:rsidRPr="00CF4DA2">
        <w:rPr>
          <w:rFonts w:ascii="Calibri" w:eastAsiaTheme="minorHAnsi" w:hAnsi="Calibri" w:cs="Times New Roman"/>
          <w:b/>
          <w:color w:val="1F497D" w:themeColor="text2"/>
          <w:u w:val="single"/>
        </w:rPr>
        <w:t xml:space="preserve">Recommendation 5: To allow for transformative equality, which is provided for in the legal framework, especially under CEDAW, including by providing transformative remedies for women and girl victims of rights violations </w:t>
      </w:r>
    </w:p>
    <w:p w14:paraId="612ACCF8" w14:textId="77777777" w:rsidR="00340738" w:rsidRPr="00471761" w:rsidRDefault="00340738" w:rsidP="00340738">
      <w:pPr>
        <w:jc w:val="both"/>
        <w:rPr>
          <w:rFonts w:ascii="Calibri" w:hAnsi="Calibri" w:cs="Times New Roman"/>
        </w:rPr>
      </w:pPr>
    </w:p>
    <w:p w14:paraId="3B228C7A" w14:textId="1966421F" w:rsidR="006F304B" w:rsidRDefault="00340738" w:rsidP="006F304B">
      <w:pPr>
        <w:pStyle w:val="ListParagraph"/>
        <w:numPr>
          <w:ilvl w:val="0"/>
          <w:numId w:val="9"/>
        </w:numPr>
        <w:spacing w:line="360" w:lineRule="auto"/>
        <w:jc w:val="both"/>
        <w:rPr>
          <w:rFonts w:ascii="Calibri" w:hAnsi="Calibri" w:cs="Times New Roman"/>
        </w:rPr>
      </w:pPr>
      <w:r w:rsidRPr="00471761">
        <w:rPr>
          <w:rFonts w:ascii="Calibri" w:hAnsi="Calibri" w:cs="Times New Roman"/>
        </w:rPr>
        <w:t xml:space="preserve">To guarantee </w:t>
      </w:r>
      <w:r w:rsidRPr="00471761">
        <w:rPr>
          <w:rFonts w:ascii="Calibri" w:hAnsi="Calibri" w:cs="Times New Roman"/>
          <w:i/>
        </w:rPr>
        <w:t>transformative equality</w:t>
      </w:r>
      <w:r w:rsidRPr="00471761">
        <w:rPr>
          <w:rFonts w:ascii="Calibri" w:hAnsi="Calibri" w:cs="Times New Roman"/>
        </w:rPr>
        <w:t>, international, regional and national courts, judicial and quasi-judicial bodies, informal justice mechanisms and all relevant bodies with the power to provide remedies to victims of rights violations, including those in transitional justice situations, should apply transformative remedies that both provide meaningful redress for victims and survivors, and hold perpetrators fully accountable for their actions.</w:t>
      </w:r>
      <w:r>
        <w:rPr>
          <w:rFonts w:ascii="Calibri" w:hAnsi="Calibri" w:cs="Times New Roman"/>
        </w:rPr>
        <w:t xml:space="preserve"> </w:t>
      </w:r>
      <w:r w:rsidR="006F304B">
        <w:rPr>
          <w:rFonts w:ascii="Calibri" w:hAnsi="Calibri" w:cs="Times New Roman"/>
        </w:rPr>
        <w:br w:type="page"/>
      </w:r>
    </w:p>
    <w:p w14:paraId="03036373" w14:textId="5BF535EA" w:rsidR="00CA3C56" w:rsidRPr="006F304B" w:rsidRDefault="006F304B" w:rsidP="006F304B">
      <w:pPr>
        <w:pStyle w:val="ListParagraph"/>
        <w:spacing w:line="360" w:lineRule="auto"/>
        <w:jc w:val="both"/>
        <w:rPr>
          <w:rFonts w:ascii="Calibri" w:hAnsi="Calibri" w:cs="Times New Roman"/>
        </w:rPr>
      </w:pPr>
      <w:r>
        <w:rPr>
          <w:noProof/>
          <w:lang w:eastAsia="en-GB"/>
        </w:rPr>
        <w:lastRenderedPageBreak/>
        <w:drawing>
          <wp:anchor distT="0" distB="0" distL="114300" distR="114300" simplePos="0" relativeHeight="251670528" behindDoc="0" locked="0" layoutInCell="1" allowOverlap="1" wp14:anchorId="692239B5" wp14:editId="61C23BF3">
            <wp:simplePos x="0" y="0"/>
            <wp:positionH relativeFrom="margin">
              <wp:align>center</wp:align>
            </wp:positionH>
            <wp:positionV relativeFrom="margin">
              <wp:align>center</wp:align>
            </wp:positionV>
            <wp:extent cx="4984750" cy="3733800"/>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4750" cy="3733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A3C56" w:rsidRPr="006F304B" w:rsidSect="00F54047">
      <w:footerReference w:type="even" r:id="rId13"/>
      <w:footerReference w:type="default" r:id="rId14"/>
      <w:pgSz w:w="11900" w:h="16840"/>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A2C98" w14:textId="77777777" w:rsidR="00D75A79" w:rsidRDefault="00D75A79" w:rsidP="004E5EBC">
      <w:r>
        <w:separator/>
      </w:r>
    </w:p>
  </w:endnote>
  <w:endnote w:type="continuationSeparator" w:id="0">
    <w:p w14:paraId="303EAE4C" w14:textId="77777777" w:rsidR="00D75A79" w:rsidRDefault="00D75A79" w:rsidP="004E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ˆø◊WÁ">
    <w:altName w:val="Cambria"/>
    <w:panose1 w:val="00000000000000000000"/>
    <w:charset w:val="4D"/>
    <w:family w:val="auto"/>
    <w:notTrueType/>
    <w:pitch w:val="default"/>
    <w:sig w:usb0="00000003" w:usb1="00000000" w:usb2="00000000" w:usb3="00000000" w:csb0="00000001" w:csb1="00000000"/>
  </w:font>
  <w:font w:name="Scala Offc">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10676"/>
    </w:tblGrid>
    <w:tr w:rsidR="00D75A79" w14:paraId="065F42BA" w14:textId="77777777" w:rsidTr="002837F4">
      <w:tc>
        <w:tcPr>
          <w:tcW w:w="5000" w:type="pct"/>
          <w:shd w:val="clear" w:color="auto" w:fill="DBE5F1" w:themeFill="accent1" w:themeFillTint="33"/>
        </w:tcPr>
        <w:p w14:paraId="6CB211BC" w14:textId="77777777" w:rsidR="00D75A79" w:rsidRDefault="00D75A79">
          <w:r>
            <w:rPr>
              <w:rFonts w:ascii="Calibri" w:hAnsi="Calibri"/>
              <w:b/>
            </w:rPr>
            <w:fldChar w:fldCharType="begin"/>
          </w:r>
          <w:r>
            <w:rPr>
              <w:rFonts w:ascii="Calibri" w:hAnsi="Calibri"/>
              <w:b/>
              <w:sz w:val="24"/>
              <w:szCs w:val="24"/>
            </w:rPr>
            <w:instrText>PAGE   \* MERGEFORMAT</w:instrText>
          </w:r>
          <w:r>
            <w:rPr>
              <w:rFonts w:ascii="Calibri" w:hAnsi="Calibri"/>
              <w:b/>
            </w:rPr>
            <w:fldChar w:fldCharType="separate"/>
          </w:r>
          <w:r w:rsidR="005F20A5" w:rsidRPr="005F20A5">
            <w:rPr>
              <w:rFonts w:ascii="Calibri" w:hAnsi="Calibri"/>
              <w:b/>
              <w:noProof/>
              <w:lang w:val="nb-NO"/>
            </w:rPr>
            <w:t>6</w:t>
          </w:r>
          <w:r>
            <w:rPr>
              <w:rFonts w:ascii="Calibri" w:hAnsi="Calibri"/>
              <w:b/>
            </w:rPr>
            <w:fldChar w:fldCharType="end"/>
          </w:r>
        </w:p>
      </w:tc>
    </w:tr>
  </w:tbl>
  <w:p w14:paraId="54ECF422" w14:textId="77777777" w:rsidR="00D75A79" w:rsidRDefault="00D75A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10676"/>
    </w:tblGrid>
    <w:tr w:rsidR="00D75A79" w14:paraId="04D55940" w14:textId="77777777" w:rsidTr="00F54047">
      <w:tc>
        <w:tcPr>
          <w:tcW w:w="5000" w:type="pct"/>
          <w:shd w:val="clear" w:color="auto" w:fill="DBE5F1" w:themeFill="accent1" w:themeFillTint="33"/>
        </w:tcPr>
        <w:p w14:paraId="3EF2D4AA" w14:textId="77777777" w:rsidR="00D75A79" w:rsidRDefault="00D75A79">
          <w:pPr>
            <w:jc w:val="right"/>
          </w:pPr>
          <w:r>
            <w:rPr>
              <w:rFonts w:ascii="Calibri" w:hAnsi="Calibri"/>
              <w:b/>
            </w:rPr>
            <w:fldChar w:fldCharType="begin"/>
          </w:r>
          <w:r>
            <w:rPr>
              <w:rFonts w:ascii="Calibri" w:hAnsi="Calibri"/>
              <w:b/>
              <w:sz w:val="24"/>
              <w:szCs w:val="24"/>
            </w:rPr>
            <w:instrText>PAGE   \* MERGEFORMAT</w:instrText>
          </w:r>
          <w:r>
            <w:rPr>
              <w:rFonts w:ascii="Calibri" w:hAnsi="Calibri"/>
              <w:b/>
            </w:rPr>
            <w:fldChar w:fldCharType="separate"/>
          </w:r>
          <w:r w:rsidR="005F20A5" w:rsidRPr="005F20A5">
            <w:rPr>
              <w:rFonts w:ascii="Calibri" w:hAnsi="Calibri"/>
              <w:b/>
              <w:noProof/>
              <w:lang w:val="nb-NO"/>
            </w:rPr>
            <w:t>7</w:t>
          </w:r>
          <w:r>
            <w:rPr>
              <w:rFonts w:ascii="Calibri" w:hAnsi="Calibri"/>
              <w:b/>
            </w:rPr>
            <w:fldChar w:fldCharType="end"/>
          </w:r>
        </w:p>
      </w:tc>
    </w:tr>
  </w:tbl>
  <w:p w14:paraId="7CAE105F" w14:textId="77777777" w:rsidR="00D75A79" w:rsidRDefault="00D75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3FB63" w14:textId="77777777" w:rsidR="00D75A79" w:rsidRDefault="00D75A79" w:rsidP="004E5EBC">
      <w:r>
        <w:separator/>
      </w:r>
    </w:p>
  </w:footnote>
  <w:footnote w:type="continuationSeparator" w:id="0">
    <w:p w14:paraId="7FF5121B" w14:textId="77777777" w:rsidR="00D75A79" w:rsidRDefault="00D75A79" w:rsidP="004E5EBC">
      <w:r>
        <w:continuationSeparator/>
      </w:r>
    </w:p>
  </w:footnote>
  <w:footnote w:id="1">
    <w:p w14:paraId="40BDC4D8" w14:textId="71AE0DCC" w:rsidR="00D75A79" w:rsidRPr="004A7A4C" w:rsidRDefault="00D75A79">
      <w:pPr>
        <w:pStyle w:val="FootnoteText"/>
        <w:rPr>
          <w:rFonts w:ascii="Calibri" w:hAnsi="Calibri"/>
        </w:rPr>
      </w:pPr>
      <w:r w:rsidRPr="004A7A4C">
        <w:rPr>
          <w:rStyle w:val="FootnoteReference"/>
          <w:rFonts w:ascii="Calibri" w:hAnsi="Calibri"/>
        </w:rPr>
        <w:footnoteRef/>
      </w:r>
      <w:r w:rsidRPr="004A7A4C">
        <w:rPr>
          <w:rFonts w:ascii="Calibri" w:hAnsi="Calibri"/>
        </w:rPr>
        <w:t xml:space="preserve"> In this submission, the human rights of women refer to the rights of both women and girls. </w:t>
      </w:r>
    </w:p>
  </w:footnote>
  <w:footnote w:id="2">
    <w:p w14:paraId="242044A4" w14:textId="0B66D944" w:rsidR="00D75A79" w:rsidRPr="000378E1" w:rsidRDefault="00D75A79" w:rsidP="000A5153">
      <w:pPr>
        <w:widowControl w:val="0"/>
        <w:autoSpaceDE w:val="0"/>
        <w:autoSpaceDN w:val="0"/>
        <w:adjustRightInd w:val="0"/>
        <w:ind w:right="57"/>
        <w:contextualSpacing/>
        <w:rPr>
          <w:rFonts w:ascii="Times New Roman" w:hAnsi="Times New Roman" w:cs="Times New Roman"/>
          <w:sz w:val="20"/>
          <w:szCs w:val="20"/>
          <w:lang w:val="en-US"/>
        </w:rPr>
      </w:pPr>
      <w:r w:rsidRPr="00A83890">
        <w:rPr>
          <w:rStyle w:val="FootnoteReference"/>
          <w:rFonts w:ascii="Calibri" w:hAnsi="Calibri"/>
        </w:rPr>
        <w:footnoteRef/>
      </w:r>
      <w:r w:rsidRPr="00A83890">
        <w:rPr>
          <w:rFonts w:ascii="Calibri" w:hAnsi="Calibri"/>
        </w:rPr>
        <w:t xml:space="preserve"> </w:t>
      </w:r>
      <w:r w:rsidRPr="000378E1">
        <w:rPr>
          <w:rFonts w:ascii="Calibri" w:hAnsi="Calibri"/>
          <w:sz w:val="20"/>
          <w:szCs w:val="20"/>
        </w:rPr>
        <w:t>See Christin</w:t>
      </w:r>
      <w:r>
        <w:rPr>
          <w:rFonts w:ascii="Calibri" w:hAnsi="Calibri"/>
          <w:sz w:val="20"/>
          <w:szCs w:val="20"/>
        </w:rPr>
        <w:t>e</w:t>
      </w:r>
      <w:r w:rsidRPr="000378E1">
        <w:rPr>
          <w:rFonts w:ascii="Calibri" w:hAnsi="Calibri"/>
          <w:sz w:val="20"/>
          <w:szCs w:val="20"/>
        </w:rPr>
        <w:t xml:space="preserve"> Chinkin and Hilary Charlesworth, </w:t>
      </w:r>
      <w:r>
        <w:rPr>
          <w:rFonts w:ascii="Calibri" w:hAnsi="Calibri" w:cs="Times New Roman"/>
          <w:sz w:val="20"/>
          <w:szCs w:val="20"/>
          <w:lang w:val="en-US"/>
        </w:rPr>
        <w:t>‘</w:t>
      </w:r>
      <w:r w:rsidRPr="000378E1">
        <w:rPr>
          <w:rFonts w:ascii="Calibri" w:hAnsi="Calibri" w:cs="Times New Roman"/>
          <w:sz w:val="20"/>
          <w:szCs w:val="20"/>
          <w:lang w:val="en-US"/>
        </w:rPr>
        <w:t>Building Women into Peace: the</w:t>
      </w:r>
      <w:r>
        <w:rPr>
          <w:rFonts w:ascii="Calibri" w:hAnsi="Calibri" w:cs="Times New Roman"/>
          <w:sz w:val="20"/>
          <w:szCs w:val="20"/>
          <w:lang w:val="en-US"/>
        </w:rPr>
        <w:t xml:space="preserve"> international legal framework’ (2006) 27(5) </w:t>
      </w:r>
      <w:r w:rsidRPr="00DC0E2B">
        <w:rPr>
          <w:rFonts w:ascii="Calibri" w:hAnsi="Calibri" w:cs="Times New Roman"/>
          <w:i/>
          <w:sz w:val="20"/>
          <w:szCs w:val="20"/>
          <w:lang w:val="en-US"/>
        </w:rPr>
        <w:t>Third World Quarterly</w:t>
      </w:r>
      <w:r>
        <w:rPr>
          <w:rFonts w:ascii="Calibri" w:hAnsi="Calibri" w:cs="Times New Roman"/>
          <w:sz w:val="20"/>
          <w:szCs w:val="20"/>
          <w:lang w:val="en-US"/>
        </w:rPr>
        <w:t xml:space="preserve">, pp. 937-57.   </w:t>
      </w:r>
    </w:p>
  </w:footnote>
  <w:footnote w:id="3">
    <w:p w14:paraId="04F615BB" w14:textId="4AD93DFC" w:rsidR="00D75A79" w:rsidRPr="0008680C" w:rsidRDefault="00D75A79" w:rsidP="000A5153">
      <w:pPr>
        <w:pStyle w:val="FootnoteText"/>
        <w:ind w:right="57"/>
        <w:rPr>
          <w:rFonts w:ascii="Calibri" w:hAnsi="Calibri"/>
        </w:rPr>
      </w:pPr>
      <w:r w:rsidRPr="0008680C">
        <w:rPr>
          <w:rStyle w:val="FootnoteReference"/>
          <w:rFonts w:ascii="Calibri" w:hAnsi="Calibri"/>
        </w:rPr>
        <w:footnoteRef/>
      </w:r>
      <w:r w:rsidRPr="0008680C">
        <w:rPr>
          <w:rFonts w:ascii="Calibri" w:hAnsi="Calibri"/>
        </w:rPr>
        <w:t xml:space="preserve"> </w:t>
      </w:r>
      <w:r>
        <w:rPr>
          <w:rFonts w:ascii="Calibri" w:hAnsi="Calibri" w:cs="Times New Roman"/>
        </w:rPr>
        <w:t>Committee on the Elimination of Discrimination against Women (CEDAW Committee) ‘General Recommendation No. 30 on women in conflict prevention, conflict and post-conflict situations’ (adopted on 18 October 2013) CEDAW/C/GC/30 (CEDAW GR No. 30)</w:t>
      </w:r>
      <w:r w:rsidRPr="0008680C">
        <w:rPr>
          <w:rFonts w:ascii="Calibri" w:hAnsi="Calibri"/>
        </w:rPr>
        <w:t xml:space="preserve">. See also Security Council Report, </w:t>
      </w:r>
      <w:r w:rsidRPr="0008680C">
        <w:rPr>
          <w:rFonts w:ascii="Calibri" w:hAnsi="Calibri"/>
          <w:i/>
        </w:rPr>
        <w:t>Cross Cutting Report on Women, Peace and Security</w:t>
      </w:r>
      <w:r>
        <w:rPr>
          <w:rFonts w:ascii="Calibri" w:hAnsi="Calibri"/>
        </w:rPr>
        <w:t xml:space="preserve"> (New York, October 2010).</w:t>
      </w:r>
    </w:p>
  </w:footnote>
  <w:footnote w:id="4">
    <w:p w14:paraId="629CFF46" w14:textId="06ED7D45" w:rsidR="00D75A79" w:rsidRPr="00361A2D" w:rsidRDefault="00D75A79" w:rsidP="00DC0E2B">
      <w:pPr>
        <w:pStyle w:val="FootnoteText"/>
        <w:ind w:right="57"/>
        <w:rPr>
          <w:rFonts w:ascii="Calibri" w:hAnsi="Calibri"/>
        </w:rPr>
      </w:pPr>
      <w:r w:rsidRPr="00361A2D">
        <w:rPr>
          <w:rStyle w:val="FootnoteReference"/>
          <w:rFonts w:ascii="Calibri" w:hAnsi="Calibri"/>
        </w:rPr>
        <w:footnoteRef/>
      </w:r>
      <w:r>
        <w:rPr>
          <w:rFonts w:ascii="Calibri" w:hAnsi="Calibri" w:cs="Times New Roman"/>
        </w:rPr>
        <w:t xml:space="preserve"> Convention on the Elimination of All Forms of Discrimination against Women (adopted on 18 December 1979, entered into force 3 September 1981) 1249 UNTS 13 (CEDAW); CEDAW GR No. 30; </w:t>
      </w:r>
      <w:r w:rsidRPr="00361A2D">
        <w:rPr>
          <w:rFonts w:ascii="Calibri" w:hAnsi="Calibri" w:cs="Times New Roman"/>
        </w:rPr>
        <w:t xml:space="preserve">United Nations, </w:t>
      </w:r>
      <w:r w:rsidRPr="00361A2D">
        <w:rPr>
          <w:rFonts w:ascii="Calibri" w:hAnsi="Calibri" w:cs="Times New Roman"/>
          <w:i/>
          <w:iCs/>
        </w:rPr>
        <w:t>Beijing Declaration and Platform of Action, adopted at the Fourth World Conference on Women</w:t>
      </w:r>
      <w:r w:rsidRPr="00361A2D">
        <w:rPr>
          <w:rFonts w:ascii="Calibri" w:hAnsi="Calibri" w:cs="Times New Roman"/>
        </w:rPr>
        <w:t>, 27 October 1995</w:t>
      </w:r>
      <w:r>
        <w:rPr>
          <w:rFonts w:ascii="Calibri" w:hAnsi="Calibri" w:cs="Times New Roman"/>
        </w:rPr>
        <w:t xml:space="preserve"> (BPfA); UNGA, </w:t>
      </w:r>
      <w:r>
        <w:rPr>
          <w:rFonts w:ascii="Calibri" w:hAnsi="Calibri" w:cs="Times New Roman"/>
          <w:i/>
        </w:rPr>
        <w:t>Further actions and initiatives to implement the Beijing Declaration and Platform for Action</w:t>
      </w:r>
      <w:r>
        <w:rPr>
          <w:rFonts w:ascii="Calibri" w:hAnsi="Calibri" w:cs="Times New Roman"/>
        </w:rPr>
        <w:t xml:space="preserve">, 16 November 2000, A/RES/S-23-3 (UNGA Outcome Document); and UN Commission on the Status of Women, </w:t>
      </w:r>
      <w:r w:rsidRPr="00AF0B63">
        <w:rPr>
          <w:rFonts w:ascii="Calibri" w:hAnsi="Calibri" w:cs="Times New Roman"/>
          <w:i/>
        </w:rPr>
        <w:t>Agreed Conclusions on the prevention and elimination of violence against women and girls,</w:t>
      </w:r>
      <w:r>
        <w:rPr>
          <w:rFonts w:ascii="Calibri" w:hAnsi="Calibri" w:cs="Times New Roman"/>
        </w:rPr>
        <w:t xml:space="preserve"> 15 March 2013, E/CN/6/2013/11 (CSW Agreed Conclusions 2013). </w:t>
      </w:r>
    </w:p>
  </w:footnote>
  <w:footnote w:id="5">
    <w:p w14:paraId="4F89CE9D" w14:textId="1F984AE7" w:rsidR="00D75A79" w:rsidRPr="001337B4" w:rsidRDefault="00D75A79" w:rsidP="009D1B43">
      <w:pPr>
        <w:rPr>
          <w:rFonts w:ascii="Times" w:eastAsia="Times New Roman" w:hAnsi="Times" w:cs="Times New Roman"/>
          <w:sz w:val="20"/>
          <w:szCs w:val="20"/>
        </w:rPr>
      </w:pPr>
      <w:r w:rsidRPr="001337B4">
        <w:rPr>
          <w:rStyle w:val="FootnoteReference"/>
          <w:rFonts w:ascii="Calibri" w:hAnsi="Calibri"/>
          <w:sz w:val="20"/>
          <w:szCs w:val="20"/>
        </w:rPr>
        <w:footnoteRef/>
      </w:r>
      <w:r w:rsidRPr="001337B4">
        <w:rPr>
          <w:rFonts w:ascii="Calibri" w:hAnsi="Calibri"/>
          <w:sz w:val="20"/>
          <w:szCs w:val="20"/>
        </w:rPr>
        <w:t xml:space="preserve"> </w:t>
      </w:r>
      <w:r w:rsidRPr="001337B4">
        <w:rPr>
          <w:rFonts w:ascii="Calibri" w:eastAsia="Times New Roman" w:hAnsi="Calibri" w:cs="Times New Roman"/>
          <w:sz w:val="20"/>
          <w:szCs w:val="20"/>
        </w:rPr>
        <w:t xml:space="preserve">Dianne Otto (2010) </w:t>
      </w:r>
      <w:r>
        <w:rPr>
          <w:rFonts w:ascii="Calibri" w:eastAsia="Times New Roman" w:hAnsi="Calibri" w:cs="Times New Roman"/>
          <w:sz w:val="20"/>
          <w:szCs w:val="20"/>
        </w:rPr>
        <w:t>‘</w:t>
      </w:r>
      <w:r w:rsidRPr="001337B4">
        <w:rPr>
          <w:rFonts w:ascii="Calibri" w:eastAsia="Times New Roman" w:hAnsi="Calibri" w:cs="Times New Roman"/>
          <w:sz w:val="20"/>
          <w:szCs w:val="20"/>
        </w:rPr>
        <w:t xml:space="preserve">Power and Danger: Feminist Engagement with International Law </w:t>
      </w:r>
      <w:r>
        <w:rPr>
          <w:rFonts w:ascii="Calibri" w:eastAsia="Times New Roman" w:hAnsi="Calibri" w:cs="Times New Roman"/>
          <w:sz w:val="20"/>
          <w:szCs w:val="20"/>
        </w:rPr>
        <w:t>through the UN Security Council’ 32(1)</w:t>
      </w:r>
      <w:r w:rsidRPr="001337B4">
        <w:rPr>
          <w:rFonts w:ascii="Calibri" w:eastAsia="Times New Roman" w:hAnsi="Calibri" w:cs="Times New Roman"/>
          <w:sz w:val="20"/>
          <w:szCs w:val="20"/>
        </w:rPr>
        <w:t xml:space="preserve"> </w:t>
      </w:r>
      <w:r w:rsidRPr="00D84097">
        <w:rPr>
          <w:rFonts w:ascii="Calibri" w:eastAsia="Times New Roman" w:hAnsi="Calibri" w:cs="Times New Roman"/>
          <w:i/>
          <w:sz w:val="20"/>
          <w:szCs w:val="20"/>
        </w:rPr>
        <w:t>Australian Feminist Law Journal</w:t>
      </w:r>
      <w:r>
        <w:rPr>
          <w:rFonts w:ascii="Calibri" w:eastAsia="Times New Roman" w:hAnsi="Calibri" w:cs="Times New Roman"/>
          <w:sz w:val="20"/>
          <w:szCs w:val="20"/>
        </w:rPr>
        <w:t>, pp.</w:t>
      </w:r>
      <w:r w:rsidRPr="001337B4">
        <w:rPr>
          <w:rFonts w:ascii="Calibri" w:eastAsia="Times New Roman" w:hAnsi="Calibri" w:cs="Times New Roman"/>
          <w:sz w:val="20"/>
          <w:szCs w:val="20"/>
        </w:rPr>
        <w:t xml:space="preserve"> 97-121, p. 100.</w:t>
      </w:r>
      <w:r>
        <w:rPr>
          <w:rFonts w:ascii="Times" w:eastAsia="Times New Roman" w:hAnsi="Times" w:cs="Times New Roman"/>
          <w:sz w:val="20"/>
          <w:szCs w:val="20"/>
        </w:rPr>
        <w:t xml:space="preserve"> </w:t>
      </w:r>
    </w:p>
  </w:footnote>
  <w:footnote w:id="6">
    <w:p w14:paraId="0F8C336C" w14:textId="2312A2B5" w:rsidR="00D75A79" w:rsidRPr="000B516A" w:rsidRDefault="00D75A79" w:rsidP="000B516A">
      <w:pPr>
        <w:rPr>
          <w:rFonts w:ascii="Calibri" w:eastAsia="Times New Roman" w:hAnsi="Calibri" w:cs="Times New Roman"/>
          <w:sz w:val="20"/>
          <w:szCs w:val="20"/>
        </w:rPr>
      </w:pPr>
      <w:r w:rsidRPr="000B516A">
        <w:rPr>
          <w:rStyle w:val="FootnoteReference"/>
          <w:rFonts w:ascii="Calibri" w:hAnsi="Calibri"/>
          <w:sz w:val="20"/>
          <w:szCs w:val="20"/>
        </w:rPr>
        <w:footnoteRef/>
      </w:r>
      <w:r w:rsidRPr="000B516A">
        <w:rPr>
          <w:rFonts w:ascii="Calibri" w:hAnsi="Calibri"/>
          <w:sz w:val="20"/>
          <w:szCs w:val="20"/>
        </w:rPr>
        <w:t xml:space="preserve"> </w:t>
      </w:r>
      <w:r w:rsidRPr="00421C5E">
        <w:rPr>
          <w:rFonts w:ascii="Calibri" w:hAnsi="Calibri" w:cs="Times New Roman"/>
          <w:sz w:val="20"/>
          <w:szCs w:val="20"/>
        </w:rPr>
        <w:t>Convention on the Elimination of All Forms of Discrimination against Women (adopted on 18 December 1979, entered into force 3 September 1981) 1249 UNTS 13 (CEDAW).</w:t>
      </w:r>
    </w:p>
  </w:footnote>
  <w:footnote w:id="7">
    <w:p w14:paraId="7C349BDC" w14:textId="2FDB0849" w:rsidR="00D75A79" w:rsidRPr="00361A2D" w:rsidRDefault="00D75A79" w:rsidP="000D6C7D">
      <w:pPr>
        <w:pStyle w:val="FootnoteText"/>
        <w:rPr>
          <w:rFonts w:ascii="Calibri" w:hAnsi="Calibri"/>
        </w:rPr>
      </w:pPr>
      <w:r w:rsidRPr="00361A2D">
        <w:rPr>
          <w:rStyle w:val="FootnoteReference"/>
          <w:rFonts w:ascii="Calibri" w:hAnsi="Calibri"/>
        </w:rPr>
        <w:footnoteRef/>
      </w:r>
      <w:r w:rsidRPr="00361A2D">
        <w:rPr>
          <w:rFonts w:ascii="Calibri" w:hAnsi="Calibri"/>
        </w:rPr>
        <w:t xml:space="preserve"> In this section, “women’s rights” refers to the rights of both women and girls.  </w:t>
      </w:r>
      <w:r>
        <w:rPr>
          <w:rFonts w:ascii="Calibri" w:hAnsi="Calibri"/>
        </w:rPr>
        <w:t>As of April 2015, 188 states have ratified CEDAW or acceded to it.</w:t>
      </w:r>
    </w:p>
  </w:footnote>
  <w:footnote w:id="8">
    <w:p w14:paraId="094C3692" w14:textId="258C5FC5" w:rsidR="00D75A79" w:rsidRPr="00361A2D" w:rsidRDefault="00D75A79" w:rsidP="000D6C7D">
      <w:pPr>
        <w:pStyle w:val="FootnoteText"/>
        <w:rPr>
          <w:rFonts w:ascii="Calibri" w:hAnsi="Calibri"/>
          <w:i/>
        </w:rPr>
      </w:pPr>
      <w:r w:rsidRPr="00361A2D">
        <w:rPr>
          <w:rStyle w:val="FootnoteReference"/>
          <w:rFonts w:ascii="Calibri" w:hAnsi="Calibri"/>
        </w:rPr>
        <w:footnoteRef/>
      </w:r>
      <w:r w:rsidRPr="00361A2D">
        <w:rPr>
          <w:rFonts w:ascii="Calibri" w:hAnsi="Calibri"/>
        </w:rPr>
        <w:t xml:space="preserve"> UN Women </w:t>
      </w:r>
      <w:r w:rsidRPr="00361A2D">
        <w:rPr>
          <w:rFonts w:ascii="Calibri" w:hAnsi="Calibri"/>
          <w:i/>
        </w:rPr>
        <w:t xml:space="preserve">CEDAW and Security Council Resolution 1325: A Quick Guide </w:t>
      </w:r>
      <w:r>
        <w:rPr>
          <w:rFonts w:ascii="Calibri" w:hAnsi="Calibri"/>
        </w:rPr>
        <w:t>(New York, 2010) (CEDAW and SCR 1325 Quick Guide)</w:t>
      </w:r>
      <w:r w:rsidRPr="00361A2D">
        <w:rPr>
          <w:rFonts w:ascii="Calibri" w:hAnsi="Calibri"/>
        </w:rPr>
        <w:t xml:space="preserve"> p. 5. </w:t>
      </w:r>
    </w:p>
  </w:footnote>
  <w:footnote w:id="9">
    <w:p w14:paraId="44AD41F1" w14:textId="217AC581" w:rsidR="00D75A79" w:rsidRPr="000B516A" w:rsidRDefault="00D75A79" w:rsidP="004E5EBC">
      <w:pPr>
        <w:widowControl w:val="0"/>
        <w:autoSpaceDE w:val="0"/>
        <w:autoSpaceDN w:val="0"/>
        <w:adjustRightInd w:val="0"/>
        <w:jc w:val="both"/>
        <w:rPr>
          <w:rFonts w:ascii="Calibri" w:hAnsi="Calibri" w:cs="Times New Roman"/>
          <w:sz w:val="20"/>
          <w:szCs w:val="20"/>
          <w:lang w:val="en-US"/>
        </w:rPr>
      </w:pPr>
      <w:r w:rsidRPr="000B516A">
        <w:rPr>
          <w:rStyle w:val="FootnoteReference"/>
          <w:rFonts w:ascii="Calibri" w:hAnsi="Calibri"/>
          <w:sz w:val="20"/>
          <w:szCs w:val="20"/>
        </w:rPr>
        <w:footnoteRef/>
      </w:r>
      <w:r w:rsidRPr="000B516A">
        <w:rPr>
          <w:rFonts w:ascii="Calibri" w:hAnsi="Calibri"/>
          <w:sz w:val="20"/>
          <w:szCs w:val="20"/>
        </w:rPr>
        <w:t xml:space="preserve"> See Christ</w:t>
      </w:r>
      <w:r>
        <w:rPr>
          <w:rFonts w:ascii="Calibri" w:hAnsi="Calibri"/>
          <w:sz w:val="20"/>
          <w:szCs w:val="20"/>
        </w:rPr>
        <w:t>ine Chinkin, ‘Violence against Women’</w:t>
      </w:r>
      <w:r w:rsidRPr="000B516A">
        <w:rPr>
          <w:rFonts w:ascii="Calibri" w:hAnsi="Calibri"/>
          <w:sz w:val="20"/>
          <w:szCs w:val="20"/>
        </w:rPr>
        <w:t xml:space="preserve"> </w:t>
      </w:r>
      <w:r w:rsidRPr="000B516A">
        <w:rPr>
          <w:rFonts w:ascii="Calibri" w:hAnsi="Calibri" w:cs="Times New Roman"/>
          <w:sz w:val="20"/>
          <w:szCs w:val="20"/>
          <w:lang w:val="en-US"/>
        </w:rPr>
        <w:t>in M</w:t>
      </w:r>
      <w:r>
        <w:rPr>
          <w:rFonts w:ascii="Calibri" w:hAnsi="Calibri" w:cs="Times New Roman"/>
          <w:sz w:val="20"/>
          <w:szCs w:val="20"/>
          <w:lang w:val="en-US"/>
        </w:rPr>
        <w:t>arsha A</w:t>
      </w:r>
      <w:r w:rsidRPr="000B516A">
        <w:rPr>
          <w:rFonts w:ascii="Calibri" w:hAnsi="Calibri" w:cs="Times New Roman"/>
          <w:sz w:val="20"/>
          <w:szCs w:val="20"/>
          <w:lang w:val="en-US"/>
        </w:rPr>
        <w:t>. Freeman, C</w:t>
      </w:r>
      <w:r>
        <w:rPr>
          <w:rFonts w:ascii="Calibri" w:hAnsi="Calibri" w:cs="Times New Roman"/>
          <w:sz w:val="20"/>
          <w:szCs w:val="20"/>
          <w:lang w:val="en-US"/>
        </w:rPr>
        <w:t>hristine</w:t>
      </w:r>
      <w:r w:rsidRPr="000B516A">
        <w:rPr>
          <w:rFonts w:ascii="Calibri" w:hAnsi="Calibri" w:cs="Times New Roman"/>
          <w:sz w:val="20"/>
          <w:szCs w:val="20"/>
          <w:lang w:val="en-US"/>
        </w:rPr>
        <w:t xml:space="preserve"> Chinkin and B</w:t>
      </w:r>
      <w:r>
        <w:rPr>
          <w:rFonts w:ascii="Calibri" w:hAnsi="Calibri" w:cs="Times New Roman"/>
          <w:sz w:val="20"/>
          <w:szCs w:val="20"/>
          <w:lang w:val="en-US"/>
        </w:rPr>
        <w:t>eate</w:t>
      </w:r>
      <w:r w:rsidRPr="000B516A">
        <w:rPr>
          <w:rFonts w:ascii="Calibri" w:hAnsi="Calibri" w:cs="Times New Roman"/>
          <w:sz w:val="20"/>
          <w:szCs w:val="20"/>
          <w:lang w:val="en-US"/>
        </w:rPr>
        <w:t xml:space="preserve"> Rudolf (eds) </w:t>
      </w:r>
      <w:r w:rsidRPr="003F6C59">
        <w:rPr>
          <w:rFonts w:ascii="Calibri" w:hAnsi="Calibri" w:cs="Times New Roman"/>
          <w:i/>
          <w:sz w:val="20"/>
          <w:szCs w:val="20"/>
          <w:lang w:val="en-US"/>
        </w:rPr>
        <w:t>The UN Convention on the Elimination of All Forms of Discrimination against Women</w:t>
      </w:r>
      <w:r>
        <w:rPr>
          <w:rFonts w:ascii="Calibri" w:hAnsi="Calibri" w:cs="Times New Roman"/>
          <w:i/>
          <w:sz w:val="20"/>
          <w:szCs w:val="20"/>
          <w:lang w:val="en-US"/>
        </w:rPr>
        <w:t>:</w:t>
      </w:r>
      <w:r w:rsidRPr="003F6C59">
        <w:rPr>
          <w:rFonts w:ascii="Calibri" w:hAnsi="Calibri" w:cs="Times New Roman"/>
          <w:i/>
          <w:sz w:val="20"/>
          <w:szCs w:val="20"/>
          <w:lang w:val="en-US"/>
        </w:rPr>
        <w:t xml:space="preserve"> A Commentary</w:t>
      </w:r>
      <w:r>
        <w:rPr>
          <w:rFonts w:ascii="Calibri" w:hAnsi="Calibri" w:cs="Times New Roman"/>
          <w:sz w:val="20"/>
          <w:szCs w:val="20"/>
          <w:lang w:val="en-US"/>
        </w:rPr>
        <w:t xml:space="preserve"> (Oxford, Oxford University Press, 2012) (CEDAW Commentary)</w:t>
      </w:r>
      <w:r w:rsidRPr="000B516A">
        <w:rPr>
          <w:rFonts w:ascii="Calibri" w:hAnsi="Calibri" w:cs="Times New Roman"/>
          <w:sz w:val="20"/>
          <w:szCs w:val="20"/>
          <w:lang w:val="en-US"/>
        </w:rPr>
        <w:t xml:space="preserve"> pp. 443-73, p. 463. </w:t>
      </w:r>
    </w:p>
  </w:footnote>
  <w:footnote w:id="10">
    <w:p w14:paraId="45C79B22" w14:textId="5944965E" w:rsidR="00D75A79" w:rsidRPr="0008680C" w:rsidRDefault="00D75A79" w:rsidP="004E5EBC">
      <w:pPr>
        <w:widowControl w:val="0"/>
        <w:autoSpaceDE w:val="0"/>
        <w:autoSpaceDN w:val="0"/>
        <w:adjustRightInd w:val="0"/>
        <w:jc w:val="both"/>
        <w:rPr>
          <w:rFonts w:ascii="Calibri" w:hAnsi="Calibri" w:cs="Times New Roman"/>
          <w:sz w:val="20"/>
          <w:szCs w:val="20"/>
          <w:lang w:val="en-US"/>
        </w:rPr>
      </w:pPr>
      <w:r w:rsidRPr="000B516A">
        <w:rPr>
          <w:rStyle w:val="FootnoteReference"/>
          <w:rFonts w:ascii="Calibri" w:hAnsi="Calibri"/>
          <w:sz w:val="20"/>
          <w:szCs w:val="20"/>
        </w:rPr>
        <w:footnoteRef/>
      </w:r>
      <w:r w:rsidRPr="000B516A">
        <w:rPr>
          <w:rFonts w:ascii="Calibri" w:hAnsi="Calibri"/>
          <w:sz w:val="20"/>
          <w:szCs w:val="20"/>
        </w:rPr>
        <w:t xml:space="preserve"> </w:t>
      </w:r>
      <w:r w:rsidRPr="000B516A">
        <w:rPr>
          <w:rFonts w:ascii="Calibri" w:hAnsi="Calibri" w:cs="Times New Roman"/>
          <w:sz w:val="20"/>
          <w:szCs w:val="20"/>
          <w:lang w:val="en-US"/>
        </w:rPr>
        <w:t>Andrew Byrnes</w:t>
      </w:r>
      <w:r>
        <w:rPr>
          <w:rFonts w:ascii="Calibri" w:hAnsi="Calibri" w:cs="Times New Roman"/>
          <w:sz w:val="20"/>
          <w:szCs w:val="20"/>
          <w:lang w:val="en-US"/>
        </w:rPr>
        <w:t>, ‘Article 1’, in CEDAW Commentary (Byrnes)</w:t>
      </w:r>
      <w:r w:rsidRPr="000B516A">
        <w:rPr>
          <w:rFonts w:ascii="Calibri" w:hAnsi="Calibri" w:cs="Times New Roman"/>
          <w:sz w:val="20"/>
          <w:szCs w:val="20"/>
          <w:lang w:val="en-US"/>
        </w:rPr>
        <w:t xml:space="preserve"> pp. 52-70, p. 56.</w:t>
      </w:r>
      <w:r>
        <w:rPr>
          <w:rFonts w:ascii="Calibri" w:hAnsi="Calibri" w:cs="Times New Roman"/>
          <w:sz w:val="20"/>
          <w:szCs w:val="20"/>
          <w:lang w:val="en-US"/>
        </w:rPr>
        <w:t xml:space="preserve"> </w:t>
      </w:r>
    </w:p>
  </w:footnote>
  <w:footnote w:id="11">
    <w:p w14:paraId="1597465D" w14:textId="722FE409" w:rsidR="00D75A79" w:rsidRPr="0027716C" w:rsidRDefault="00D75A79" w:rsidP="004E5EBC">
      <w:pPr>
        <w:pStyle w:val="FootnoteText"/>
        <w:rPr>
          <w:rFonts w:ascii="Calibri" w:hAnsi="Calibri"/>
        </w:rPr>
      </w:pPr>
      <w:r w:rsidRPr="0027716C">
        <w:rPr>
          <w:rStyle w:val="FootnoteReference"/>
          <w:rFonts w:ascii="Calibri" w:hAnsi="Calibri"/>
        </w:rPr>
        <w:footnoteRef/>
      </w:r>
      <w:r w:rsidRPr="0027716C">
        <w:rPr>
          <w:rFonts w:ascii="Calibri" w:hAnsi="Calibri"/>
        </w:rPr>
        <w:t xml:space="preserve"> CEDAW and SCR 1325 Quick Guide, p. 8.</w:t>
      </w:r>
    </w:p>
  </w:footnote>
  <w:footnote w:id="12">
    <w:p w14:paraId="67731D8C" w14:textId="44675796" w:rsidR="00D75A79" w:rsidRPr="0027716C" w:rsidRDefault="00D75A79" w:rsidP="004E5EBC">
      <w:pPr>
        <w:pStyle w:val="FootnoteText"/>
        <w:rPr>
          <w:rFonts w:ascii="Calibri" w:hAnsi="Calibri"/>
        </w:rPr>
      </w:pPr>
      <w:r w:rsidRPr="0027716C">
        <w:rPr>
          <w:rStyle w:val="FootnoteReference"/>
          <w:rFonts w:ascii="Calibri" w:hAnsi="Calibri"/>
        </w:rPr>
        <w:footnoteRef/>
      </w:r>
      <w:r w:rsidRPr="0027716C">
        <w:rPr>
          <w:rFonts w:ascii="Calibri" w:hAnsi="Calibri"/>
        </w:rPr>
        <w:t xml:space="preserve"> </w:t>
      </w:r>
      <w:r w:rsidRPr="0027716C">
        <w:rPr>
          <w:rFonts w:ascii="Calibri" w:hAnsi="Calibri" w:cs="Times New Roman"/>
        </w:rPr>
        <w:t xml:space="preserve">The related UN Security Council Resolutions on women, peace and security are: </w:t>
      </w:r>
      <w:r w:rsidRPr="0027716C">
        <w:rPr>
          <w:rFonts w:ascii="Calibri" w:hAnsi="Calibri"/>
        </w:rPr>
        <w:t>UN Security Council Resolution 1820 (19 June 2008) UN Doc S/RES/1820 (SCR 1820); UN Security Council Resolution 1888 (30 September 2009) UN Doc S/RES/1888 (SCR 1888)</w:t>
      </w:r>
      <w:r w:rsidRPr="0027716C">
        <w:rPr>
          <w:rFonts w:ascii="Calibri" w:hAnsi="Calibri" w:cs="Times New Roman"/>
        </w:rPr>
        <w:t xml:space="preserve">; </w:t>
      </w:r>
      <w:r w:rsidRPr="0027716C">
        <w:rPr>
          <w:rFonts w:ascii="Calibri" w:hAnsi="Calibri"/>
        </w:rPr>
        <w:t xml:space="preserve">UN Security Council Resolution </w:t>
      </w:r>
      <w:r w:rsidRPr="0027716C">
        <w:rPr>
          <w:rFonts w:ascii="Calibri" w:hAnsi="Calibri" w:cs="Times New Roman"/>
        </w:rPr>
        <w:t xml:space="preserve">1889 (5 October 2009) UN Doc S/RES/1889 (SCR 1889); UN Security Council Resolution 1960 (16 December 2010) UN Doc S/RES/1960 (SCR 1960); UN Security Council Resolution 2106 (24 June 2013) UN Doc S/RES/2106 (SCR 2106); and UN Security Council Resolution 2122 (18 October 2013) UN Doc S/RES/2122 (SCR 2122). </w:t>
      </w:r>
    </w:p>
  </w:footnote>
  <w:footnote w:id="13">
    <w:p w14:paraId="464173CD" w14:textId="1114A0F4" w:rsidR="00D75A79" w:rsidRPr="0027716C" w:rsidRDefault="00D75A79" w:rsidP="004E5EBC">
      <w:pPr>
        <w:jc w:val="both"/>
        <w:rPr>
          <w:rFonts w:ascii="Calibri" w:hAnsi="Calibri" w:cs="Times New Roman"/>
          <w:sz w:val="20"/>
          <w:szCs w:val="20"/>
        </w:rPr>
      </w:pPr>
      <w:r w:rsidRPr="0027716C">
        <w:rPr>
          <w:rStyle w:val="FootnoteReference"/>
          <w:rFonts w:ascii="Calibri" w:hAnsi="Calibri"/>
          <w:sz w:val="20"/>
          <w:szCs w:val="20"/>
        </w:rPr>
        <w:footnoteRef/>
      </w:r>
      <w:r w:rsidRPr="0027716C">
        <w:rPr>
          <w:rFonts w:ascii="Calibri" w:hAnsi="Calibri"/>
          <w:sz w:val="20"/>
          <w:szCs w:val="20"/>
        </w:rPr>
        <w:t xml:space="preserve"> </w:t>
      </w:r>
      <w:r w:rsidRPr="0027716C">
        <w:rPr>
          <w:rFonts w:ascii="Calibri" w:hAnsi="Calibri" w:cs="Times New Roman"/>
          <w:sz w:val="20"/>
          <w:szCs w:val="20"/>
        </w:rPr>
        <w:t>Convention on the Elimination of all Forms of Discrimination against Women (adopted on 18 December 1979, entered into force 3 September 1981) 1249 UNTS 13 (CEDAW); and Committee on the Elimination of Discrimination against Women (CEDAW Committee) General Recommendation No. 30 on women in conflict prevention, conflict and post-conflict situations (adopted on 18 October 2013) CEDAW/C/GC/30 (CEDAW GR No. 30).</w:t>
      </w:r>
    </w:p>
  </w:footnote>
  <w:footnote w:id="14">
    <w:p w14:paraId="5804678C" w14:textId="03F648AC" w:rsidR="00D75A79" w:rsidRPr="0027716C" w:rsidRDefault="00D75A79" w:rsidP="004E5EBC">
      <w:pPr>
        <w:pStyle w:val="FootnoteText"/>
        <w:rPr>
          <w:rFonts w:ascii="Calibri" w:hAnsi="Calibri"/>
        </w:rPr>
      </w:pPr>
      <w:r w:rsidRPr="0027716C">
        <w:rPr>
          <w:rStyle w:val="FootnoteReference"/>
          <w:rFonts w:ascii="Calibri" w:hAnsi="Calibri"/>
        </w:rPr>
        <w:footnoteRef/>
      </w:r>
      <w:r w:rsidRPr="0027716C">
        <w:rPr>
          <w:rFonts w:ascii="Calibri" w:hAnsi="Calibri"/>
        </w:rPr>
        <w:t xml:space="preserve"> </w:t>
      </w:r>
      <w:r w:rsidRPr="0027716C">
        <w:rPr>
          <w:rFonts w:ascii="Calibri" w:hAnsi="Calibri" w:cs="Times New Roman"/>
          <w:i/>
          <w:iCs/>
        </w:rPr>
        <w:t>Beijing Declaration and Platform of Action, adopted at the Fourth World Conference on Women</w:t>
      </w:r>
      <w:r w:rsidRPr="0027716C">
        <w:rPr>
          <w:rFonts w:ascii="Calibri" w:hAnsi="Calibri" w:cs="Times New Roman"/>
        </w:rPr>
        <w:t>, 27 October 1995; referenced in SCR 1325 preparatory paragraph 2 (PP2).</w:t>
      </w:r>
    </w:p>
  </w:footnote>
  <w:footnote w:id="15">
    <w:p w14:paraId="322153EA" w14:textId="325F3CC3" w:rsidR="00D75A79" w:rsidRPr="0027716C" w:rsidRDefault="00D75A79" w:rsidP="004E5EBC">
      <w:pPr>
        <w:pStyle w:val="FootnoteText"/>
        <w:rPr>
          <w:rFonts w:ascii="Calibri" w:hAnsi="Calibri"/>
        </w:rPr>
      </w:pPr>
      <w:r w:rsidRPr="0027716C">
        <w:rPr>
          <w:rStyle w:val="FootnoteReference"/>
          <w:rFonts w:ascii="Calibri" w:hAnsi="Calibri"/>
        </w:rPr>
        <w:footnoteRef/>
      </w:r>
      <w:r w:rsidRPr="0027716C">
        <w:rPr>
          <w:rFonts w:ascii="Calibri" w:hAnsi="Calibri"/>
        </w:rPr>
        <w:t xml:space="preserve"> </w:t>
      </w:r>
      <w:r w:rsidRPr="0027716C">
        <w:rPr>
          <w:rFonts w:ascii="Calibri" w:hAnsi="Calibri" w:cs="Times New Roman"/>
        </w:rPr>
        <w:t xml:space="preserve">UNGA, </w:t>
      </w:r>
      <w:r w:rsidRPr="0027716C">
        <w:rPr>
          <w:rFonts w:ascii="Calibri" w:hAnsi="Calibri" w:cs="Times New Roman"/>
          <w:i/>
        </w:rPr>
        <w:t>Further actions and initiatives to implement the Beijing Declaration and Platform for Action</w:t>
      </w:r>
      <w:r w:rsidRPr="0027716C">
        <w:rPr>
          <w:rFonts w:ascii="Calibri" w:hAnsi="Calibri" w:cs="Times New Roman"/>
        </w:rPr>
        <w:t xml:space="preserve">, 16 November 2000, A/RES/S-23-3; referenced in SCR 1325 in PP2. </w:t>
      </w:r>
    </w:p>
  </w:footnote>
  <w:footnote w:id="16">
    <w:p w14:paraId="011F463B" w14:textId="1D917C69" w:rsidR="00D75A79" w:rsidRPr="0027716C" w:rsidRDefault="00D75A79">
      <w:pPr>
        <w:pStyle w:val="FootnoteText"/>
        <w:rPr>
          <w:rFonts w:ascii="Calibri" w:hAnsi="Calibri"/>
        </w:rPr>
      </w:pPr>
      <w:r w:rsidRPr="0027716C">
        <w:rPr>
          <w:rStyle w:val="FootnoteReference"/>
          <w:rFonts w:ascii="Calibri" w:hAnsi="Calibri"/>
        </w:rPr>
        <w:footnoteRef/>
      </w:r>
      <w:r w:rsidRPr="0027716C">
        <w:rPr>
          <w:rFonts w:ascii="Calibri" w:hAnsi="Calibri"/>
        </w:rPr>
        <w:t xml:space="preserve"> </w:t>
      </w:r>
      <w:r w:rsidRPr="0027716C">
        <w:rPr>
          <w:rFonts w:ascii="Calibri" w:hAnsi="Calibri" w:cs="Times New Roman"/>
        </w:rPr>
        <w:t xml:space="preserve">UN Commission on the Status of Women, Agreed Conclusions on the prevention and elimination of violence against women and girls, 15 March 2013, E/CN/6/2013/11 (CSW Agreed Conclusions 2013). </w:t>
      </w:r>
    </w:p>
  </w:footnote>
  <w:footnote w:id="17">
    <w:p w14:paraId="6FA84B48" w14:textId="2BF5D5B7" w:rsidR="00D75A79" w:rsidRPr="0027716C" w:rsidRDefault="00D75A79" w:rsidP="00FD7CA1">
      <w:pPr>
        <w:rPr>
          <w:rFonts w:ascii="Calibri" w:eastAsia="Times New Roman" w:hAnsi="Calibri" w:cs="Times New Roman"/>
          <w:sz w:val="20"/>
          <w:szCs w:val="20"/>
        </w:rPr>
      </w:pPr>
      <w:r w:rsidRPr="0027716C">
        <w:rPr>
          <w:rStyle w:val="FootnoteReference"/>
          <w:rFonts w:ascii="Calibri" w:hAnsi="Calibri"/>
          <w:sz w:val="20"/>
          <w:szCs w:val="20"/>
        </w:rPr>
        <w:footnoteRef/>
      </w:r>
      <w:r w:rsidRPr="0027716C">
        <w:rPr>
          <w:rFonts w:ascii="Calibri" w:hAnsi="Calibri"/>
          <w:sz w:val="20"/>
          <w:szCs w:val="20"/>
        </w:rPr>
        <w:t xml:space="preserve"> UN General Assembly, </w:t>
      </w:r>
      <w:r w:rsidRPr="0027716C">
        <w:rPr>
          <w:rFonts w:ascii="Calibri" w:hAnsi="Calibri" w:cs="Times New Roman"/>
          <w:color w:val="0D0D0D" w:themeColor="text1" w:themeTint="F2"/>
          <w:sz w:val="20"/>
          <w:szCs w:val="20"/>
        </w:rPr>
        <w:t xml:space="preserve">Optional Protocol to CEDAW, </w:t>
      </w:r>
      <w:r w:rsidRPr="0027716C">
        <w:rPr>
          <w:rFonts w:ascii="Calibri" w:eastAsia="Times New Roman" w:hAnsi="Calibri" w:cs="Arial"/>
          <w:color w:val="0D0D0D" w:themeColor="text1" w:themeTint="F2"/>
          <w:sz w:val="20"/>
          <w:szCs w:val="20"/>
          <w:shd w:val="clear" w:color="auto" w:fill="FFFFFF"/>
        </w:rPr>
        <w:t>(adopted 6 October 1999, entered into force 22 December 2000) UN Doc A/RES/54/4.</w:t>
      </w:r>
    </w:p>
  </w:footnote>
  <w:footnote w:id="18">
    <w:p w14:paraId="439D00B0" w14:textId="5F6F7174" w:rsidR="00D75A79" w:rsidRPr="0027716C" w:rsidRDefault="00D75A79" w:rsidP="00A87520">
      <w:pPr>
        <w:jc w:val="both"/>
        <w:rPr>
          <w:rFonts w:ascii="Calibri" w:eastAsia="Times New Roman" w:hAnsi="Calibri" w:cs="Times New Roman"/>
          <w:sz w:val="20"/>
          <w:szCs w:val="20"/>
        </w:rPr>
      </w:pPr>
      <w:r w:rsidRPr="0027716C">
        <w:rPr>
          <w:rStyle w:val="FootnoteReference"/>
          <w:rFonts w:ascii="Calibri" w:hAnsi="Calibri"/>
          <w:sz w:val="20"/>
          <w:szCs w:val="20"/>
        </w:rPr>
        <w:footnoteRef/>
      </w:r>
      <w:r w:rsidRPr="0027716C">
        <w:rPr>
          <w:rFonts w:ascii="Calibri" w:hAnsi="Calibri"/>
          <w:sz w:val="20"/>
          <w:szCs w:val="20"/>
        </w:rPr>
        <w:t xml:space="preserve"> </w:t>
      </w:r>
      <w:r w:rsidRPr="0027716C">
        <w:rPr>
          <w:rFonts w:ascii="Calibri" w:eastAsia="Times New Roman" w:hAnsi="Calibri" w:cs="Times New Roman"/>
          <w:sz w:val="20"/>
          <w:szCs w:val="20"/>
        </w:rPr>
        <w:t>Universal Declaration of Human Rights (adopted 10 December 1948</w:t>
      </w:r>
      <w:r>
        <w:rPr>
          <w:rFonts w:ascii="Calibri" w:eastAsia="Times New Roman" w:hAnsi="Calibri" w:cs="Times New Roman"/>
          <w:sz w:val="20"/>
          <w:szCs w:val="20"/>
        </w:rPr>
        <w:t>)</w:t>
      </w:r>
      <w:r w:rsidRPr="0027716C">
        <w:rPr>
          <w:rFonts w:ascii="Calibri" w:eastAsia="Times New Roman" w:hAnsi="Calibri" w:cs="Times New Roman"/>
          <w:sz w:val="20"/>
          <w:szCs w:val="20"/>
        </w:rPr>
        <w:t xml:space="preserve"> UNGA Res 217 A(III) (UDHR)</w:t>
      </w:r>
      <w:r w:rsidRPr="0027716C">
        <w:rPr>
          <w:rFonts w:ascii="Calibri" w:hAnsi="Calibri"/>
          <w:sz w:val="20"/>
          <w:szCs w:val="20"/>
        </w:rPr>
        <w:t xml:space="preserve">; International Covenant on Civil and Political Rights (adopted 16 December 1966, entered into force 23 March 1976) 999 UNTS 171 (ICCPR); International Covenant on Economic, Social and Cultural Rights (adopted 16 December 1966, entered into force on 3 January 1976) 999 UNTS 3.  </w:t>
      </w:r>
    </w:p>
  </w:footnote>
  <w:footnote w:id="19">
    <w:p w14:paraId="472C3AC3" w14:textId="229E8B7A" w:rsidR="00D75A79" w:rsidRPr="00241F65" w:rsidRDefault="00D75A79" w:rsidP="00731A16">
      <w:pPr>
        <w:jc w:val="both"/>
        <w:rPr>
          <w:rFonts w:ascii="Calibri" w:eastAsia="Times New Roman" w:hAnsi="Calibri" w:cs="Times New Roman"/>
          <w:sz w:val="20"/>
          <w:szCs w:val="20"/>
        </w:rPr>
      </w:pPr>
      <w:r w:rsidRPr="00241F65">
        <w:rPr>
          <w:rStyle w:val="FootnoteReference"/>
          <w:rFonts w:ascii="Calibri" w:hAnsi="Calibri"/>
          <w:sz w:val="20"/>
          <w:szCs w:val="20"/>
        </w:rPr>
        <w:footnoteRef/>
      </w:r>
      <w:r w:rsidRPr="00241F65">
        <w:rPr>
          <w:rFonts w:ascii="Calibri" w:hAnsi="Calibri"/>
          <w:sz w:val="20"/>
          <w:szCs w:val="20"/>
        </w:rPr>
        <w:t xml:space="preserve"> Convention on the Rights of the Child (adopted 11 November 1989, entered into force 2 September 1990) 1577 UNTS 3 (CRC); Optional Protocol to the Convention on the Rights of the Child on the Sale of Children, Child Prostitution and Child Pornography (adopted 25 May 2000, entered into force 18 January 2002) 2171 UNTS 227; Optional Protocol to the Convention on the Rights of the Child on the Involvement of Children in Armed Conflict (adopted 25 May 2000, entered into force 12 February 2002) 2173 UNTS 222; referenced in SCR 1325 OP9.</w:t>
      </w:r>
    </w:p>
  </w:footnote>
  <w:footnote w:id="20">
    <w:p w14:paraId="4B3F0C4A" w14:textId="43B4DB8F" w:rsidR="00D75A79" w:rsidRPr="00241F65" w:rsidRDefault="00D75A79" w:rsidP="00A87520">
      <w:pPr>
        <w:jc w:val="both"/>
        <w:rPr>
          <w:rFonts w:ascii="Calibri" w:hAnsi="Calibri"/>
          <w:sz w:val="20"/>
          <w:szCs w:val="20"/>
        </w:rPr>
      </w:pPr>
      <w:r w:rsidRPr="00241F65">
        <w:rPr>
          <w:rStyle w:val="FootnoteReference"/>
          <w:rFonts w:ascii="Calibri" w:hAnsi="Calibri"/>
          <w:sz w:val="20"/>
          <w:szCs w:val="20"/>
        </w:rPr>
        <w:footnoteRef/>
      </w:r>
      <w:r w:rsidRPr="00241F65">
        <w:rPr>
          <w:rFonts w:ascii="Calibri" w:hAnsi="Calibri"/>
          <w:sz w:val="20"/>
          <w:szCs w:val="20"/>
        </w:rPr>
        <w:t xml:space="preserve"> Convention Relating to the Status of Refugees (adopted 28 July 1951,</w:t>
      </w:r>
      <w:r>
        <w:rPr>
          <w:rFonts w:ascii="Calibri" w:hAnsi="Calibri"/>
          <w:sz w:val="20"/>
          <w:szCs w:val="20"/>
        </w:rPr>
        <w:t xml:space="preserve"> </w:t>
      </w:r>
      <w:r w:rsidRPr="00241F65">
        <w:rPr>
          <w:rFonts w:ascii="Calibri" w:hAnsi="Calibri"/>
          <w:sz w:val="20"/>
          <w:szCs w:val="20"/>
        </w:rPr>
        <w:t>entered into force 22 April 1954) 189 UNTS 137 (Refugee Convention 1951); Protocol Relating to the Status of Refugees (adopted 31 January 1967, entered into force 4 October 1967) 606 UNTS 267 (Protocol 1967) referenced in SCR 1325 OP9.</w:t>
      </w:r>
      <w:r w:rsidRPr="00241F65">
        <w:rPr>
          <w:rFonts w:ascii="Calibri" w:eastAsia="Times New Roman" w:hAnsi="Calibri" w:cs="Times New Roman"/>
          <w:sz w:val="20"/>
          <w:szCs w:val="20"/>
        </w:rPr>
        <w:t xml:space="preserve"> </w:t>
      </w:r>
      <w:r w:rsidRPr="00241F65">
        <w:rPr>
          <w:rFonts w:ascii="Calibri" w:hAnsi="Calibri"/>
          <w:sz w:val="20"/>
          <w:szCs w:val="20"/>
        </w:rPr>
        <w:t xml:space="preserve">Although SCR 1325 emphasizes the obligations under the Refugee Convention 1951 and Protocol 1967, the subsequent resolutions are silent on international refugee law. Given that the Refugee Convention does not explicitly address gender equality, this has been supplemented by references to CEDAW. </w:t>
      </w:r>
    </w:p>
  </w:footnote>
  <w:footnote w:id="21">
    <w:p w14:paraId="2012385B" w14:textId="275E6075" w:rsidR="00D75A79" w:rsidRPr="00241F65" w:rsidRDefault="00D75A79" w:rsidP="004E5EBC">
      <w:pPr>
        <w:pStyle w:val="FootnoteText"/>
        <w:rPr>
          <w:rFonts w:ascii="Calibri" w:hAnsi="Calibri"/>
        </w:rPr>
      </w:pPr>
      <w:r w:rsidRPr="00241F65">
        <w:rPr>
          <w:rStyle w:val="FootnoteReference"/>
          <w:rFonts w:ascii="Calibri" w:hAnsi="Calibri"/>
        </w:rPr>
        <w:footnoteRef/>
      </w:r>
      <w:r>
        <w:rPr>
          <w:rFonts w:ascii="Calibri" w:hAnsi="Calibri"/>
        </w:rPr>
        <w:t xml:space="preserve"> Convention against Torture </w:t>
      </w:r>
      <w:r w:rsidRPr="00241F65">
        <w:rPr>
          <w:rFonts w:ascii="Calibri" w:hAnsi="Calibri"/>
        </w:rPr>
        <w:t xml:space="preserve">(adopted 10 December 1984, entered into force 26 June 1987) 1465 UNTS 85. </w:t>
      </w:r>
    </w:p>
  </w:footnote>
  <w:footnote w:id="22">
    <w:p w14:paraId="293E8B9C" w14:textId="17C5C9B3" w:rsidR="00D75A79" w:rsidRPr="00241F65" w:rsidRDefault="00D75A79">
      <w:pPr>
        <w:pStyle w:val="FootnoteText"/>
        <w:rPr>
          <w:rFonts w:ascii="Calibri" w:hAnsi="Calibri"/>
        </w:rPr>
      </w:pPr>
      <w:r w:rsidRPr="00241F65">
        <w:rPr>
          <w:rStyle w:val="FootnoteReference"/>
          <w:rFonts w:ascii="Calibri" w:hAnsi="Calibri"/>
        </w:rPr>
        <w:footnoteRef/>
      </w:r>
      <w:r w:rsidRPr="00241F65">
        <w:rPr>
          <w:rFonts w:ascii="Calibri" w:hAnsi="Calibri"/>
        </w:rPr>
        <w:t xml:space="preserve"> Geneva Convention for the Amelioration of the Condition of the Wounded and Sick in Armed Forces in the Field (adopted 12 August 1949, entered into force 21 October 1950) 75 UNTS 31 (Geneva Convention I); Geneva Convention for the Amelioration of the Condition of the Wounded, Sick and Shipwrecked Members of Armed Forces at Sea (adopted 12 August 1949, entered into force 21 October 1950) 75 UNTS 85 (Geneva Convention II); Geneva Convention relative to the Treatment of Prisoners of War (adopted 12 August 1949, entered into force 21 October 1950) 74 UNTS 135 (Geneva Convention III); Geneva Convention relative to the Protection of Civilian Persons in Time of War (adopted 12 August 1949, entered into force 21 October 1950) 75 UNTS 287 (Geneva Convention IV); Protocol Additional to the Geneva Conventions of 12 August 1949, and relating to the Protection of Victims of International Armed Conflicts (Protocol I) (adopted 8 June 1977, entered into force 7 December 1978) 1125 UNTS 3; Protocol Additional to the Geneva Conventions of 12 August 1949, and relating to the Protection of Victims of Non-International Armed Conflicts (</w:t>
      </w:r>
      <w:r>
        <w:rPr>
          <w:rFonts w:ascii="Calibri" w:hAnsi="Calibri"/>
        </w:rPr>
        <w:t xml:space="preserve">Additional </w:t>
      </w:r>
      <w:r w:rsidRPr="00241F65">
        <w:rPr>
          <w:rFonts w:ascii="Calibri" w:hAnsi="Calibri"/>
        </w:rPr>
        <w:t>Protocol II) (adopted 8 June 1977, entered into force 7 December 1978) 1125 UNTS 609; all referenced in SCR 1325 OP9.</w:t>
      </w:r>
    </w:p>
  </w:footnote>
  <w:footnote w:id="23">
    <w:p w14:paraId="79591A93" w14:textId="3FF1F2AB" w:rsidR="00D75A79" w:rsidRPr="00241F65" w:rsidRDefault="00D75A79" w:rsidP="004E5EBC">
      <w:pPr>
        <w:pStyle w:val="FootnoteText"/>
        <w:rPr>
          <w:rFonts w:ascii="Calibri" w:hAnsi="Calibri"/>
        </w:rPr>
      </w:pPr>
      <w:r w:rsidRPr="00241F65">
        <w:rPr>
          <w:rStyle w:val="FootnoteReference"/>
          <w:rFonts w:ascii="Calibri" w:hAnsi="Calibri"/>
        </w:rPr>
        <w:footnoteRef/>
      </w:r>
      <w:r w:rsidRPr="00241F65">
        <w:rPr>
          <w:rFonts w:ascii="Calibri" w:hAnsi="Calibri"/>
        </w:rPr>
        <w:t xml:space="preserve"> Rome Statute of the International Criminal Court (adopted 17 July 1998, entered into force 1 July 2002) 2187 UNTS 3 (Rome Statute 1998); referenced in SCR 1325 OP9.</w:t>
      </w:r>
    </w:p>
  </w:footnote>
  <w:footnote w:id="24">
    <w:p w14:paraId="777FEAF0" w14:textId="0C57D422" w:rsidR="00D75A79" w:rsidRPr="00241F65" w:rsidRDefault="00D75A79" w:rsidP="00254256">
      <w:pPr>
        <w:pStyle w:val="FootnoteText"/>
        <w:rPr>
          <w:rFonts w:ascii="Calibri" w:hAnsi="Calibri"/>
        </w:rPr>
      </w:pPr>
      <w:r w:rsidRPr="00241F65">
        <w:rPr>
          <w:rStyle w:val="FootnoteReference"/>
          <w:rFonts w:ascii="Calibri" w:hAnsi="Calibri"/>
        </w:rPr>
        <w:footnoteRef/>
      </w:r>
      <w:r w:rsidRPr="00241F65">
        <w:rPr>
          <w:rFonts w:ascii="Calibri" w:hAnsi="Calibri"/>
        </w:rPr>
        <w:t xml:space="preserve"> </w:t>
      </w:r>
      <w:r w:rsidRPr="00241F65">
        <w:rPr>
          <w:rFonts w:ascii="Calibri" w:hAnsi="Calibri"/>
          <w:color w:val="000000" w:themeColor="text1"/>
        </w:rPr>
        <w:t>See for instance: Presidential Statements</w:t>
      </w:r>
      <w:r>
        <w:rPr>
          <w:rFonts w:ascii="Calibri" w:hAnsi="Calibri"/>
          <w:color w:val="000000" w:themeColor="text1"/>
        </w:rPr>
        <w:t xml:space="preserve"> of the Security Council</w:t>
      </w:r>
      <w:r w:rsidRPr="00241F65">
        <w:rPr>
          <w:rFonts w:ascii="Calibri" w:hAnsi="Calibri"/>
          <w:color w:val="000000" w:themeColor="text1"/>
        </w:rPr>
        <w:t xml:space="preserve">: </w:t>
      </w:r>
      <w:hyperlink r:id="rId1" w:tgtFrame="_blank" w:history="1">
        <w:r w:rsidRPr="00241F65">
          <w:rPr>
            <w:rStyle w:val="Hyperlink"/>
            <w:rFonts w:ascii="Calibri" w:eastAsia="Times New Roman" w:hAnsi="Calibri" w:cs="Arial"/>
            <w:color w:val="000000" w:themeColor="text1"/>
            <w:u w:val="none"/>
            <w:shd w:val="clear" w:color="auto" w:fill="FFFFFF"/>
          </w:rPr>
          <w:t>S/PRST/2004/40</w:t>
        </w:r>
      </w:hyperlink>
      <w:r w:rsidRPr="00241F65">
        <w:rPr>
          <w:rFonts w:ascii="Calibri" w:eastAsia="Times New Roman" w:hAnsi="Calibri" w:cs="Times New Roman"/>
          <w:color w:val="000000" w:themeColor="text1"/>
        </w:rPr>
        <w:t xml:space="preserve"> </w:t>
      </w:r>
      <w:r w:rsidRPr="00241F65">
        <w:rPr>
          <w:rFonts w:ascii="Calibri" w:eastAsia="Times New Roman" w:hAnsi="Calibri" w:cs="Arial"/>
          <w:color w:val="000000" w:themeColor="text1"/>
          <w:shd w:val="clear" w:color="auto" w:fill="FFFFFF"/>
        </w:rPr>
        <w:t>and</w:t>
      </w:r>
      <w:r w:rsidRPr="00241F65">
        <w:rPr>
          <w:rStyle w:val="apple-converted-space"/>
          <w:rFonts w:ascii="Calibri" w:eastAsia="Times New Roman" w:hAnsi="Calibri" w:cs="Arial"/>
          <w:color w:val="000000" w:themeColor="text1"/>
          <w:shd w:val="clear" w:color="auto" w:fill="FFFFFF"/>
        </w:rPr>
        <w:t> </w:t>
      </w:r>
      <w:hyperlink r:id="rId2" w:tgtFrame="_blank" w:history="1">
        <w:r w:rsidRPr="00241F65">
          <w:rPr>
            <w:rStyle w:val="Hyperlink"/>
            <w:rFonts w:ascii="Calibri" w:eastAsia="Times New Roman" w:hAnsi="Calibri" w:cs="Arial"/>
            <w:color w:val="000000" w:themeColor="text1"/>
            <w:u w:val="none"/>
            <w:shd w:val="clear" w:color="auto" w:fill="FFFFFF"/>
          </w:rPr>
          <w:t>S/PRST/2005/52</w:t>
        </w:r>
      </w:hyperlink>
      <w:r w:rsidRPr="00241F65">
        <w:rPr>
          <w:rFonts w:ascii="Calibri" w:eastAsia="Times New Roman" w:hAnsi="Calibri" w:cs="Times New Roman"/>
          <w:color w:val="000000" w:themeColor="text1"/>
        </w:rPr>
        <w:t>.</w:t>
      </w:r>
    </w:p>
  </w:footnote>
  <w:footnote w:id="25">
    <w:p w14:paraId="34C59D06" w14:textId="48FBFAC5" w:rsidR="00D75A79" w:rsidRPr="00FF2870" w:rsidRDefault="00D75A79" w:rsidP="00FF2870">
      <w:pPr>
        <w:pStyle w:val="HTMLPreformatted"/>
        <w:jc w:val="both"/>
        <w:rPr>
          <w:color w:val="000000"/>
        </w:rPr>
      </w:pPr>
      <w:r w:rsidRPr="00241F65">
        <w:rPr>
          <w:rStyle w:val="FootnoteReference"/>
          <w:rFonts w:ascii="Calibri" w:hAnsi="Calibri"/>
        </w:rPr>
        <w:footnoteRef/>
      </w:r>
      <w:r w:rsidRPr="00241F65">
        <w:rPr>
          <w:rFonts w:ascii="Calibri" w:hAnsi="Calibri"/>
        </w:rPr>
        <w:t xml:space="preserve"> </w:t>
      </w:r>
      <w:r w:rsidRPr="00241F65">
        <w:rPr>
          <w:rFonts w:ascii="Calibri" w:eastAsia="Times New Roman" w:hAnsi="Calibri" w:cs="Times New Roman"/>
          <w:bCs/>
          <w:color w:val="000000"/>
          <w:shd w:val="clear" w:color="auto" w:fill="FFFFFF"/>
        </w:rPr>
        <w:t>Declaration on the Protection of Women and Children in Emergency and Armed Conflict, G.A. res. 3318 (XXIX), 29 U.N. GAOR Supp. (No. 31) at 146, U.N. Doc. A/9631 (1974); Declaration on the Elimination of Violence Against Women</w:t>
      </w:r>
      <w:r>
        <w:rPr>
          <w:rFonts w:ascii="Calibri" w:eastAsia="Times New Roman" w:hAnsi="Calibri" w:cs="Times New Roman"/>
          <w:bCs/>
          <w:color w:val="000000"/>
          <w:shd w:val="clear" w:color="auto" w:fill="FFFFFF"/>
        </w:rPr>
        <w:t xml:space="preserve"> G.A. Res 48/104, A/RES/104 (20 December 1993); </w:t>
      </w:r>
      <w:r w:rsidRPr="000A3B73">
        <w:rPr>
          <w:rFonts w:ascii="Calibri" w:hAnsi="Calibri"/>
          <w:color w:val="0D0D0D" w:themeColor="text1" w:themeTint="F2"/>
        </w:rPr>
        <w:t>W</w:t>
      </w:r>
      <w:r w:rsidRPr="000A3B73">
        <w:rPr>
          <w:rFonts w:ascii="Calibri" w:eastAsia="Times New Roman" w:hAnsi="Calibri" w:cs="Times New Roman"/>
          <w:color w:val="0D0D0D" w:themeColor="text1" w:themeTint="F2"/>
          <w:shd w:val="clear" w:color="auto" w:fill="FFFFFF"/>
        </w:rPr>
        <w:t xml:space="preserve">orld </w:t>
      </w:r>
      <w:r w:rsidRPr="006121F6">
        <w:rPr>
          <w:rFonts w:ascii="Calibri" w:eastAsia="Times New Roman" w:hAnsi="Calibri" w:cs="Times New Roman"/>
          <w:color w:val="0D0D0D" w:themeColor="text1" w:themeTint="F2"/>
          <w:shd w:val="clear" w:color="auto" w:fill="FFFFFF"/>
        </w:rPr>
        <w:t xml:space="preserve">Conference on Human Rights, </w:t>
      </w:r>
      <w:r w:rsidRPr="006121F6">
        <w:rPr>
          <w:rStyle w:val="Emphasis"/>
          <w:rFonts w:ascii="Calibri" w:eastAsia="Times New Roman" w:hAnsi="Calibri" w:cs="Times New Roman"/>
          <w:color w:val="0D0D0D" w:themeColor="text1" w:themeTint="F2"/>
          <w:shd w:val="clear" w:color="auto" w:fill="FFFFFF"/>
        </w:rPr>
        <w:t>Vienna Declaration and Programme of Action</w:t>
      </w:r>
      <w:r w:rsidRPr="006121F6">
        <w:rPr>
          <w:rFonts w:ascii="Calibri" w:eastAsia="Times New Roman" w:hAnsi="Calibri" w:cs="Times New Roman"/>
          <w:color w:val="0D0D0D" w:themeColor="text1" w:themeTint="F2"/>
          <w:shd w:val="clear" w:color="auto" w:fill="FFFFFF"/>
        </w:rPr>
        <w:t>, U.N. Doc. A/CONF.157/23 (July 12, 1993)</w:t>
      </w:r>
      <w:r>
        <w:rPr>
          <w:rFonts w:ascii="Calibri" w:eastAsia="Times New Roman" w:hAnsi="Calibri" w:cs="Times New Roman"/>
          <w:color w:val="0D0D0D" w:themeColor="text1" w:themeTint="F2"/>
          <w:shd w:val="clear" w:color="auto" w:fill="FFFFFF"/>
        </w:rPr>
        <w:t>. See also Aisling Swaine, ‘</w:t>
      </w:r>
      <w:r w:rsidRPr="006121F6">
        <w:rPr>
          <w:rFonts w:ascii="Calibri" w:eastAsia="Times New Roman" w:hAnsi="Calibri" w:cs="Times New Roman"/>
          <w:color w:val="0D0D0D" w:themeColor="text1" w:themeTint="F2"/>
          <w:shd w:val="clear" w:color="auto" w:fill="FFFFFF"/>
        </w:rPr>
        <w:t>Substantive New Normative Provisions on Women and Armed Conflict Concurrently Adopted by the United Nations Security C</w:t>
      </w:r>
      <w:r>
        <w:rPr>
          <w:rFonts w:ascii="Calibri" w:eastAsia="Times New Roman" w:hAnsi="Calibri" w:cs="Times New Roman"/>
          <w:color w:val="0D0D0D" w:themeColor="text1" w:themeTint="F2"/>
          <w:shd w:val="clear" w:color="auto" w:fill="FFFFFF"/>
        </w:rPr>
        <w:t xml:space="preserve">ouncil and the CEDAW Committee’, 18(5) </w:t>
      </w:r>
      <w:r w:rsidRPr="001D05E5">
        <w:rPr>
          <w:rFonts w:ascii="Calibri" w:eastAsia="Times New Roman" w:hAnsi="Calibri" w:cs="Times New Roman"/>
          <w:i/>
          <w:color w:val="0D0D0D" w:themeColor="text1" w:themeTint="F2"/>
          <w:shd w:val="clear" w:color="auto" w:fill="FFFFFF"/>
        </w:rPr>
        <w:t>AWID Insights</w:t>
      </w:r>
      <w:r>
        <w:rPr>
          <w:rFonts w:ascii="Calibri" w:eastAsia="Times New Roman" w:hAnsi="Calibri" w:cs="Times New Roman"/>
          <w:color w:val="0D0D0D" w:themeColor="text1" w:themeTint="F2"/>
          <w:shd w:val="clear" w:color="auto" w:fill="FFFFFF"/>
        </w:rPr>
        <w:t xml:space="preserve">, </w:t>
      </w:r>
      <w:r w:rsidRPr="006121F6">
        <w:rPr>
          <w:rFonts w:ascii="Calibri" w:eastAsia="Times New Roman" w:hAnsi="Calibri" w:cs="Times New Roman"/>
          <w:color w:val="0D0D0D" w:themeColor="text1" w:themeTint="F2"/>
          <w:shd w:val="clear" w:color="auto" w:fill="FFFFFF"/>
        </w:rPr>
        <w:t>18 February 2014.</w:t>
      </w:r>
      <w:r>
        <w:rPr>
          <w:rFonts w:ascii="Calibri" w:eastAsia="Times New Roman" w:hAnsi="Calibri" w:cs="Times New Roman"/>
          <w:color w:val="0D0D0D" w:themeColor="text1" w:themeTint="F2"/>
          <w:shd w:val="clear" w:color="auto" w:fill="FFFFFF"/>
        </w:rPr>
        <w:t xml:space="preserve"> </w:t>
      </w:r>
    </w:p>
  </w:footnote>
  <w:footnote w:id="26">
    <w:p w14:paraId="64D17ABA" w14:textId="4BD91BD9" w:rsidR="00D75A79" w:rsidRPr="009F4A90" w:rsidRDefault="00D75A79">
      <w:pPr>
        <w:pStyle w:val="FootnoteText"/>
        <w:rPr>
          <w:rFonts w:ascii="Calibri" w:hAnsi="Calibri"/>
        </w:rPr>
      </w:pPr>
      <w:r w:rsidRPr="009F4A90">
        <w:rPr>
          <w:rStyle w:val="FootnoteReference"/>
          <w:rFonts w:ascii="Calibri" w:hAnsi="Calibri"/>
        </w:rPr>
        <w:footnoteRef/>
      </w:r>
      <w:r w:rsidRPr="009F4A90">
        <w:rPr>
          <w:rFonts w:ascii="Calibri" w:hAnsi="Calibri"/>
        </w:rPr>
        <w:t xml:space="preserve"> UN Security Council Resolution 1325 (30 October 2000) UN Doc S/RES/1325, preparatory paragraph 6 (PP 6) (SCR 1325).</w:t>
      </w:r>
    </w:p>
  </w:footnote>
  <w:footnote w:id="27">
    <w:p w14:paraId="78DFA44A" w14:textId="4E9F914F" w:rsidR="00D75A79" w:rsidRPr="009F4A90" w:rsidRDefault="00D75A79" w:rsidP="00CC11CF">
      <w:pPr>
        <w:pStyle w:val="FootnoteText"/>
        <w:rPr>
          <w:rFonts w:ascii="Calibri" w:hAnsi="Calibri"/>
        </w:rPr>
      </w:pPr>
      <w:r w:rsidRPr="009F4A90">
        <w:rPr>
          <w:rStyle w:val="FootnoteReference"/>
          <w:rFonts w:ascii="Calibri" w:hAnsi="Calibri"/>
        </w:rPr>
        <w:footnoteRef/>
      </w:r>
      <w:r w:rsidRPr="009F4A90">
        <w:rPr>
          <w:rFonts w:ascii="Calibri" w:hAnsi="Calibri"/>
        </w:rPr>
        <w:t xml:space="preserve"> SCR 1325, operative paragraph 9 (OP 9).</w:t>
      </w:r>
    </w:p>
  </w:footnote>
  <w:footnote w:id="28">
    <w:p w14:paraId="65A944B7" w14:textId="38DCF8DF" w:rsidR="00D75A79" w:rsidRPr="009F4A90" w:rsidRDefault="00D75A79" w:rsidP="00445830">
      <w:pPr>
        <w:widowControl w:val="0"/>
        <w:autoSpaceDE w:val="0"/>
        <w:autoSpaceDN w:val="0"/>
        <w:adjustRightInd w:val="0"/>
        <w:jc w:val="both"/>
        <w:rPr>
          <w:rFonts w:ascii="Calibri" w:hAnsi="Calibri" w:cs="Times New Roman"/>
          <w:sz w:val="20"/>
          <w:szCs w:val="20"/>
          <w:lang w:val="en-US"/>
        </w:rPr>
      </w:pPr>
      <w:r w:rsidRPr="009F4A90">
        <w:rPr>
          <w:rStyle w:val="FootnoteReference"/>
          <w:rFonts w:ascii="Calibri" w:hAnsi="Calibri"/>
          <w:sz w:val="20"/>
          <w:szCs w:val="20"/>
        </w:rPr>
        <w:footnoteRef/>
      </w:r>
      <w:r w:rsidRPr="009F4A90">
        <w:rPr>
          <w:rFonts w:ascii="Calibri" w:hAnsi="Calibri"/>
          <w:sz w:val="20"/>
          <w:szCs w:val="20"/>
        </w:rPr>
        <w:t xml:space="preserve"> </w:t>
      </w:r>
      <w:r w:rsidRPr="009F4A90">
        <w:rPr>
          <w:rFonts w:ascii="Calibri" w:hAnsi="Calibri" w:cs="Times New Roman"/>
          <w:sz w:val="20"/>
          <w:szCs w:val="20"/>
          <w:lang w:val="en-US"/>
        </w:rPr>
        <w:t>Hilary Charlesworth and Christine Chinkin, ‘The New United Nations ‘Gender Architecture’: A Room with a</w:t>
      </w:r>
    </w:p>
    <w:p w14:paraId="29BDFAB2" w14:textId="15879679" w:rsidR="00D75A79" w:rsidRPr="009F4A90" w:rsidRDefault="00D75A79" w:rsidP="00445830">
      <w:pPr>
        <w:pStyle w:val="FootnoteText"/>
        <w:rPr>
          <w:rFonts w:ascii="Calibri" w:hAnsi="Calibri"/>
        </w:rPr>
      </w:pPr>
      <w:r w:rsidRPr="009F4A90">
        <w:rPr>
          <w:rFonts w:ascii="Calibri" w:hAnsi="Calibri" w:cs="Times New Roman"/>
        </w:rPr>
        <w:t xml:space="preserve">View?’ (2013) 17 </w:t>
      </w:r>
      <w:r w:rsidRPr="009F4A90">
        <w:rPr>
          <w:rFonts w:ascii="Calibri" w:hAnsi="Calibri" w:cs="Times New Roman"/>
          <w:i/>
        </w:rPr>
        <w:t>Max Planck Yearbook of United Nations Law</w:t>
      </w:r>
      <w:r>
        <w:rPr>
          <w:rFonts w:ascii="Calibri" w:hAnsi="Calibri" w:cs="Times New Roman"/>
        </w:rPr>
        <w:t>, pp. 1-60.</w:t>
      </w:r>
    </w:p>
  </w:footnote>
  <w:footnote w:id="29">
    <w:p w14:paraId="78474CD0" w14:textId="66A5318E" w:rsidR="00D75A79" w:rsidRPr="009F4A90" w:rsidRDefault="00D75A79" w:rsidP="00445830">
      <w:pPr>
        <w:pStyle w:val="FootnoteText"/>
        <w:rPr>
          <w:rFonts w:ascii="Calibri" w:hAnsi="Calibri"/>
        </w:rPr>
      </w:pPr>
      <w:r w:rsidRPr="009F4A90">
        <w:rPr>
          <w:rStyle w:val="FootnoteReference"/>
          <w:rFonts w:ascii="Calibri" w:hAnsi="Calibri"/>
        </w:rPr>
        <w:footnoteRef/>
      </w:r>
      <w:r w:rsidRPr="009F4A90">
        <w:rPr>
          <w:rFonts w:ascii="Calibri" w:hAnsi="Calibri"/>
        </w:rPr>
        <w:t xml:space="preserve"> </w:t>
      </w:r>
      <w:r w:rsidRPr="009F4A90">
        <w:rPr>
          <w:rFonts w:ascii="Calibri" w:eastAsia="Times New Roman" w:hAnsi="Calibri" w:cs="Arial"/>
          <w:color w:val="333333"/>
          <w:shd w:val="clear" w:color="auto" w:fill="FFFFFF"/>
        </w:rPr>
        <w:t>Byrnes, p. 53.</w:t>
      </w:r>
    </w:p>
  </w:footnote>
  <w:footnote w:id="30">
    <w:p w14:paraId="625AB2B5" w14:textId="77777777" w:rsidR="00D75A79" w:rsidRPr="009F4A90" w:rsidRDefault="00D75A79" w:rsidP="00445830">
      <w:pPr>
        <w:pStyle w:val="FootnoteText"/>
        <w:rPr>
          <w:rFonts w:ascii="Calibri" w:hAnsi="Calibri"/>
        </w:rPr>
      </w:pPr>
      <w:r w:rsidRPr="009F4A90">
        <w:rPr>
          <w:rStyle w:val="FootnoteReference"/>
          <w:rFonts w:ascii="Calibri" w:hAnsi="Calibri"/>
        </w:rPr>
        <w:footnoteRef/>
      </w:r>
      <w:r w:rsidRPr="009F4A90">
        <w:rPr>
          <w:rFonts w:ascii="Calibri" w:hAnsi="Calibri"/>
        </w:rPr>
        <w:t xml:space="preserve"> </w:t>
      </w:r>
      <w:r w:rsidRPr="009F4A90">
        <w:rPr>
          <w:rFonts w:ascii="Calibri" w:eastAsia="Times New Roman" w:hAnsi="Calibri" w:cs="Arial"/>
          <w:color w:val="333333"/>
          <w:shd w:val="clear" w:color="auto" w:fill="FFFFFF"/>
        </w:rPr>
        <w:t>Ibid.</w:t>
      </w:r>
    </w:p>
  </w:footnote>
  <w:footnote w:id="31">
    <w:p w14:paraId="4C86C05D" w14:textId="77777777" w:rsidR="00D75A79" w:rsidRDefault="00D75A79" w:rsidP="00445830">
      <w:pPr>
        <w:pStyle w:val="FootnoteText"/>
      </w:pPr>
      <w:r w:rsidRPr="009F4A90">
        <w:rPr>
          <w:rStyle w:val="FootnoteReference"/>
          <w:rFonts w:ascii="Calibri" w:hAnsi="Calibri"/>
        </w:rPr>
        <w:footnoteRef/>
      </w:r>
      <w:r w:rsidRPr="009F4A90">
        <w:rPr>
          <w:rFonts w:ascii="Calibri" w:hAnsi="Calibri"/>
        </w:rPr>
        <w:t xml:space="preserve"> </w:t>
      </w:r>
      <w:r w:rsidRPr="009F4A90">
        <w:rPr>
          <w:rFonts w:ascii="Calibri" w:eastAsia="Times New Roman" w:hAnsi="Calibri" w:cs="Arial"/>
          <w:color w:val="333333"/>
          <w:shd w:val="clear" w:color="auto" w:fill="FFFFFF"/>
        </w:rPr>
        <w:t>Ibid, p. 69.</w:t>
      </w:r>
    </w:p>
  </w:footnote>
  <w:footnote w:id="32">
    <w:p w14:paraId="1971E84D" w14:textId="73182FC6" w:rsidR="00D75A79" w:rsidRPr="00A96B6F" w:rsidRDefault="00D75A79" w:rsidP="006F09A2">
      <w:pPr>
        <w:rPr>
          <w:rFonts w:ascii="Calibri" w:eastAsia="Times New Roman" w:hAnsi="Calibri" w:cs="Times New Roman"/>
          <w:sz w:val="20"/>
          <w:szCs w:val="20"/>
        </w:rPr>
      </w:pPr>
      <w:r w:rsidRPr="00A96B6F">
        <w:rPr>
          <w:rStyle w:val="FootnoteReference"/>
          <w:rFonts w:ascii="Calibri" w:hAnsi="Calibri"/>
          <w:sz w:val="20"/>
          <w:szCs w:val="20"/>
        </w:rPr>
        <w:footnoteRef/>
      </w:r>
      <w:r w:rsidRPr="00A96B6F">
        <w:rPr>
          <w:rFonts w:ascii="Calibri" w:hAnsi="Calibri"/>
          <w:sz w:val="20"/>
          <w:szCs w:val="20"/>
        </w:rPr>
        <w:t xml:space="preserve"> SCR 1325 PP 5 and OP 1; recalling: Articles 4(1), 7 and 8 of CEDAW; paras 12, 30, 39-40 and 50(a) of CEDAW General Recommendation No. 23</w:t>
      </w:r>
      <w:r>
        <w:rPr>
          <w:rFonts w:ascii="Calibri" w:hAnsi="Calibri"/>
          <w:sz w:val="20"/>
          <w:szCs w:val="20"/>
        </w:rPr>
        <w:t>, adopted at the Sixteenth Session of the CEDAW Committee A/52/38</w:t>
      </w:r>
      <w:r w:rsidRPr="00A96B6F">
        <w:rPr>
          <w:rFonts w:ascii="Calibri" w:hAnsi="Calibri"/>
          <w:sz w:val="20"/>
          <w:szCs w:val="20"/>
        </w:rPr>
        <w:t xml:space="preserve"> (GR No. 23); paras 30, 33, 42, 44 and 46(a) of </w:t>
      </w:r>
      <w:r>
        <w:rPr>
          <w:rFonts w:ascii="Calibri" w:hAnsi="Calibri"/>
          <w:sz w:val="20"/>
          <w:szCs w:val="20"/>
        </w:rPr>
        <w:t xml:space="preserve">CEDAW </w:t>
      </w:r>
      <w:r w:rsidRPr="00A96B6F">
        <w:rPr>
          <w:rFonts w:ascii="Calibri" w:hAnsi="Calibri"/>
          <w:sz w:val="20"/>
          <w:szCs w:val="20"/>
        </w:rPr>
        <w:t>GR No. 30; Article 25 ICCPR; paras 1-8 of ICCPR General Comment No. 25 (participation in public affairs and the right to vote), adopted on 12 July 1996, CCPR/C/21/Rev.1/Add.7 (ICCPR GC No. 25); para 29 of ICCPR General Comment No. 28 (the right of equality between men and women) adopted on 19 March 2000, HRI/GEN/1/Rev.9/Vol.1 (</w:t>
      </w:r>
      <w:r>
        <w:rPr>
          <w:rFonts w:ascii="Calibri" w:hAnsi="Calibri"/>
          <w:sz w:val="20"/>
          <w:szCs w:val="20"/>
        </w:rPr>
        <w:t>ICCPR</w:t>
      </w:r>
      <w:r w:rsidRPr="00A96B6F">
        <w:rPr>
          <w:rFonts w:ascii="Calibri" w:hAnsi="Calibri"/>
          <w:sz w:val="20"/>
          <w:szCs w:val="20"/>
        </w:rPr>
        <w:t xml:space="preserve">GC No. 28).  </w:t>
      </w:r>
    </w:p>
  </w:footnote>
  <w:footnote w:id="33">
    <w:p w14:paraId="55411585" w14:textId="379B976C" w:rsidR="00D75A79" w:rsidRPr="00633386" w:rsidRDefault="00D75A79" w:rsidP="00B42DB6">
      <w:pPr>
        <w:pStyle w:val="FootnoteText"/>
        <w:rPr>
          <w:rFonts w:ascii="Calibri" w:hAnsi="Calibri"/>
        </w:rPr>
      </w:pPr>
      <w:r w:rsidRPr="00A96B6F">
        <w:rPr>
          <w:rStyle w:val="FootnoteReference"/>
          <w:rFonts w:ascii="Calibri" w:hAnsi="Calibri"/>
        </w:rPr>
        <w:footnoteRef/>
      </w:r>
      <w:r w:rsidRPr="00A96B6F">
        <w:rPr>
          <w:rFonts w:ascii="Calibri" w:hAnsi="Calibri"/>
        </w:rPr>
        <w:t xml:space="preserve"> SCR 1325 PP 11 and OPs 17 and 18; Article 18 of CEDAW, all of CEDAW GRs No. 2, 9 and 12; paras 4 and 24(c) of CEDAW GR No. 19; </w:t>
      </w:r>
      <w:r>
        <w:rPr>
          <w:rFonts w:ascii="Calibri" w:hAnsi="Calibri"/>
        </w:rPr>
        <w:t xml:space="preserve">and </w:t>
      </w:r>
      <w:r w:rsidRPr="00A96B6F">
        <w:rPr>
          <w:rFonts w:ascii="Calibri" w:hAnsi="Calibri"/>
        </w:rPr>
        <w:t>para</w:t>
      </w:r>
      <w:r>
        <w:rPr>
          <w:rFonts w:ascii="Calibri" w:hAnsi="Calibri"/>
        </w:rPr>
        <w:t xml:space="preserve"> 38(d) of the CEDAW GR. No. 30. S</w:t>
      </w:r>
      <w:r w:rsidRPr="00A96B6F">
        <w:rPr>
          <w:rFonts w:ascii="Calibri" w:hAnsi="Calibri"/>
        </w:rPr>
        <w:t>ee CEDAW and SCR 1325 Quick Guide, p. 12.</w:t>
      </w:r>
      <w:r w:rsidRPr="00633386">
        <w:rPr>
          <w:rFonts w:ascii="Calibri" w:hAnsi="Calibri"/>
        </w:rPr>
        <w:t xml:space="preserve"> </w:t>
      </w:r>
    </w:p>
  </w:footnote>
  <w:footnote w:id="34">
    <w:p w14:paraId="06CC7FF7" w14:textId="5150F783" w:rsidR="00D75A79" w:rsidRPr="00ED7691" w:rsidRDefault="00D75A79" w:rsidP="00B42DB6">
      <w:pPr>
        <w:pStyle w:val="FootnoteText"/>
        <w:rPr>
          <w:rFonts w:ascii="Calibri" w:hAnsi="Calibri"/>
        </w:rPr>
      </w:pPr>
      <w:r w:rsidRPr="00ED7691">
        <w:rPr>
          <w:rStyle w:val="FootnoteReference"/>
          <w:rFonts w:ascii="Calibri" w:hAnsi="Calibri"/>
        </w:rPr>
        <w:footnoteRef/>
      </w:r>
      <w:r w:rsidRPr="00ED7691">
        <w:rPr>
          <w:rFonts w:ascii="Calibri" w:hAnsi="Calibri"/>
        </w:rPr>
        <w:t xml:space="preserve"> SCR 1325 OP1; para 50(a) of </w:t>
      </w:r>
      <w:r>
        <w:rPr>
          <w:rFonts w:ascii="Calibri" w:hAnsi="Calibri"/>
        </w:rPr>
        <w:t xml:space="preserve">the CEDAW </w:t>
      </w:r>
      <w:r w:rsidRPr="00ED7691">
        <w:rPr>
          <w:rFonts w:ascii="Calibri" w:hAnsi="Calibri"/>
        </w:rPr>
        <w:t xml:space="preserve">GR No. 23; para 46 (b) of </w:t>
      </w:r>
      <w:r>
        <w:rPr>
          <w:rFonts w:ascii="Calibri" w:hAnsi="Calibri"/>
        </w:rPr>
        <w:t>the CEDAW GR No. 30; para 29 of GC No. 28. S</w:t>
      </w:r>
      <w:r w:rsidRPr="00ED7691">
        <w:rPr>
          <w:rFonts w:ascii="Calibri" w:hAnsi="Calibri"/>
        </w:rPr>
        <w:t xml:space="preserve">ee CEDAW and SCR 1325 Quick Guide, p. 30. </w:t>
      </w:r>
    </w:p>
  </w:footnote>
  <w:footnote w:id="35">
    <w:p w14:paraId="0FC9D57B" w14:textId="738D987D" w:rsidR="00D75A79" w:rsidRPr="00ED7691" w:rsidRDefault="00D75A79" w:rsidP="00B42DB6">
      <w:pPr>
        <w:pStyle w:val="FootnoteText"/>
        <w:rPr>
          <w:rFonts w:ascii="Calibri" w:hAnsi="Calibri"/>
        </w:rPr>
      </w:pPr>
      <w:r w:rsidRPr="00ED7691">
        <w:rPr>
          <w:rStyle w:val="FootnoteReference"/>
          <w:rFonts w:ascii="Calibri" w:hAnsi="Calibri"/>
        </w:rPr>
        <w:footnoteRef/>
      </w:r>
      <w:r w:rsidRPr="00ED7691">
        <w:rPr>
          <w:rFonts w:ascii="Calibri" w:hAnsi="Calibri"/>
        </w:rPr>
        <w:t xml:space="preserve"> SCR 1325 OP 2; para 40, GR No. 23</w:t>
      </w:r>
      <w:r>
        <w:rPr>
          <w:rFonts w:ascii="Calibri" w:hAnsi="Calibri"/>
        </w:rPr>
        <w:t xml:space="preserve">; Article 8 of United Nations, </w:t>
      </w:r>
      <w:r w:rsidRPr="00ED7691">
        <w:rPr>
          <w:rFonts w:ascii="Calibri" w:hAnsi="Calibri"/>
        </w:rPr>
        <w:t xml:space="preserve">Charter of the United Nations (signed 26 June 1945, entered into force 24 October 1945) 1 UNTS 16; and above </w:t>
      </w:r>
      <w:r>
        <w:rPr>
          <w:rFonts w:ascii="Calibri" w:hAnsi="Calibri"/>
        </w:rPr>
        <w:t>n32</w:t>
      </w:r>
      <w:r w:rsidRPr="00ED7691">
        <w:rPr>
          <w:rFonts w:ascii="Calibri" w:hAnsi="Calibri"/>
        </w:rPr>
        <w:t xml:space="preserve">. </w:t>
      </w:r>
    </w:p>
  </w:footnote>
  <w:footnote w:id="36">
    <w:p w14:paraId="741D0E6D" w14:textId="0DE36710" w:rsidR="00D75A79" w:rsidRDefault="00D75A79">
      <w:pPr>
        <w:pStyle w:val="FootnoteText"/>
      </w:pPr>
      <w:r w:rsidRPr="00ED7691">
        <w:rPr>
          <w:rStyle w:val="FootnoteReference"/>
          <w:rFonts w:ascii="Calibri" w:hAnsi="Calibri"/>
        </w:rPr>
        <w:footnoteRef/>
      </w:r>
      <w:r w:rsidRPr="00ED7691">
        <w:rPr>
          <w:rFonts w:ascii="Calibri" w:hAnsi="Calibri"/>
        </w:rPr>
        <w:t xml:space="preserve"> SCR 1325 OPs 4 and 5; p</w:t>
      </w:r>
      <w:r>
        <w:rPr>
          <w:rFonts w:ascii="Calibri" w:hAnsi="Calibri"/>
        </w:rPr>
        <w:t>ara 49</w:t>
      </w:r>
      <w:r w:rsidRPr="00ED7691">
        <w:rPr>
          <w:rFonts w:ascii="Calibri" w:hAnsi="Calibri"/>
        </w:rPr>
        <w:t xml:space="preserve"> </w:t>
      </w:r>
      <w:r>
        <w:rPr>
          <w:rFonts w:ascii="Calibri" w:hAnsi="Calibri"/>
        </w:rPr>
        <w:t xml:space="preserve">of the CEDAW </w:t>
      </w:r>
      <w:r w:rsidRPr="00ED7691">
        <w:rPr>
          <w:rFonts w:ascii="Calibri" w:hAnsi="Calibri"/>
        </w:rPr>
        <w:t>GR No. 23</w:t>
      </w:r>
      <w:r>
        <w:rPr>
          <w:rFonts w:ascii="Calibri" w:hAnsi="Calibri"/>
        </w:rPr>
        <w:t>;</w:t>
      </w:r>
      <w:r w:rsidRPr="00ED7691">
        <w:rPr>
          <w:rFonts w:ascii="Calibri" w:hAnsi="Calibri"/>
        </w:rPr>
        <w:t xml:space="preserve"> para 42 of </w:t>
      </w:r>
      <w:r>
        <w:rPr>
          <w:rFonts w:ascii="Calibri" w:hAnsi="Calibri"/>
        </w:rPr>
        <w:t xml:space="preserve">the CEDAW </w:t>
      </w:r>
      <w:r w:rsidRPr="00ED7691">
        <w:rPr>
          <w:rFonts w:ascii="Calibri" w:hAnsi="Calibri"/>
        </w:rPr>
        <w:t xml:space="preserve">GR No. 30 which reiterates this provision, and </w:t>
      </w:r>
      <w:r>
        <w:rPr>
          <w:rFonts w:ascii="Calibri" w:hAnsi="Calibri"/>
        </w:rPr>
        <w:t>above n32</w:t>
      </w:r>
      <w:r w:rsidRPr="00ED7691">
        <w:rPr>
          <w:rFonts w:ascii="Calibri" w:hAnsi="Calibri"/>
        </w:rPr>
        <w:t>.</w:t>
      </w:r>
    </w:p>
  </w:footnote>
  <w:footnote w:id="37">
    <w:p w14:paraId="5AF3F39D" w14:textId="79A8D2BA" w:rsidR="00D75A79" w:rsidRPr="0056786F" w:rsidRDefault="00D75A79" w:rsidP="006E35CE">
      <w:pPr>
        <w:jc w:val="both"/>
        <w:rPr>
          <w:rFonts w:ascii="Times" w:eastAsia="Times New Roman" w:hAnsi="Times" w:cs="Times New Roman"/>
          <w:sz w:val="20"/>
          <w:szCs w:val="20"/>
        </w:rPr>
      </w:pPr>
      <w:r w:rsidRPr="0056786F">
        <w:rPr>
          <w:rStyle w:val="FootnoteReference"/>
          <w:rFonts w:ascii="Calibri" w:hAnsi="Calibri"/>
          <w:sz w:val="20"/>
          <w:szCs w:val="20"/>
        </w:rPr>
        <w:footnoteRef/>
      </w:r>
      <w:r w:rsidRPr="0056786F">
        <w:rPr>
          <w:rFonts w:ascii="Calibri" w:hAnsi="Calibri"/>
          <w:sz w:val="20"/>
          <w:szCs w:val="20"/>
        </w:rPr>
        <w:t xml:space="preserve"> Paras 46</w:t>
      </w:r>
      <w:r>
        <w:rPr>
          <w:rFonts w:ascii="Calibri" w:hAnsi="Calibri"/>
          <w:sz w:val="20"/>
          <w:szCs w:val="20"/>
        </w:rPr>
        <w:t xml:space="preserve"> (c)-</w:t>
      </w:r>
      <w:r w:rsidRPr="0056786F">
        <w:rPr>
          <w:rFonts w:ascii="Calibri" w:hAnsi="Calibri"/>
          <w:sz w:val="20"/>
          <w:szCs w:val="20"/>
        </w:rPr>
        <w:t>(d) and 47 (a)</w:t>
      </w:r>
      <w:r>
        <w:rPr>
          <w:rFonts w:ascii="Calibri" w:hAnsi="Calibri"/>
          <w:sz w:val="20"/>
          <w:szCs w:val="20"/>
        </w:rPr>
        <w:t>-</w:t>
      </w:r>
      <w:r w:rsidRPr="0056786F">
        <w:rPr>
          <w:rFonts w:ascii="Calibri" w:hAnsi="Calibri"/>
          <w:sz w:val="20"/>
          <w:szCs w:val="20"/>
        </w:rPr>
        <w:t>(b) of CEDAW GR No. 30</w:t>
      </w:r>
      <w:r>
        <w:rPr>
          <w:rFonts w:ascii="Calibri" w:hAnsi="Calibri"/>
          <w:color w:val="0D0D0D" w:themeColor="text1" w:themeTint="F2"/>
          <w:sz w:val="20"/>
          <w:szCs w:val="20"/>
        </w:rPr>
        <w:t>;</w:t>
      </w:r>
      <w:r w:rsidRPr="00875FEE">
        <w:rPr>
          <w:rFonts w:ascii="Calibri" w:hAnsi="Calibri"/>
          <w:color w:val="0D0D0D" w:themeColor="text1" w:themeTint="F2"/>
          <w:sz w:val="20"/>
          <w:szCs w:val="20"/>
        </w:rPr>
        <w:t xml:space="preserve"> Article 40 of the UN Declaration on the Rights of Indigenous Peoples</w:t>
      </w:r>
      <w:r>
        <w:rPr>
          <w:rFonts w:ascii="Calibri" w:hAnsi="Calibri"/>
          <w:color w:val="0D0D0D" w:themeColor="text1" w:themeTint="F2"/>
          <w:sz w:val="20"/>
          <w:szCs w:val="20"/>
        </w:rPr>
        <w:t xml:space="preserve">, resolution adopted by the UN General Assembly, </w:t>
      </w:r>
      <w:r w:rsidRPr="00875FEE">
        <w:rPr>
          <w:rFonts w:ascii="Calibri" w:eastAsia="Times New Roman" w:hAnsi="Calibri" w:cs="Times New Roman"/>
          <w:color w:val="0D0D0D" w:themeColor="text1" w:themeTint="F2"/>
          <w:sz w:val="20"/>
          <w:szCs w:val="20"/>
        </w:rPr>
        <w:t>2 October 2007, A/RES/61/295.</w:t>
      </w:r>
    </w:p>
  </w:footnote>
  <w:footnote w:id="38">
    <w:p w14:paraId="0E3F80E8" w14:textId="1BC161D3" w:rsidR="00D75A79" w:rsidRPr="00875FEE" w:rsidRDefault="00D75A79" w:rsidP="00BE7662">
      <w:pPr>
        <w:pStyle w:val="FootnoteText"/>
        <w:jc w:val="left"/>
        <w:rPr>
          <w:rFonts w:ascii="Calibri" w:hAnsi="Calibri"/>
        </w:rPr>
      </w:pPr>
      <w:r w:rsidRPr="00875FEE">
        <w:rPr>
          <w:rStyle w:val="FootnoteReference"/>
          <w:rFonts w:ascii="Calibri" w:hAnsi="Calibri"/>
        </w:rPr>
        <w:footnoteRef/>
      </w:r>
      <w:r w:rsidRPr="00875FEE">
        <w:rPr>
          <w:rFonts w:ascii="Calibri" w:hAnsi="Calibri"/>
        </w:rPr>
        <w:t xml:space="preserve"> SCR 1325 O</w:t>
      </w:r>
      <w:r>
        <w:rPr>
          <w:rFonts w:ascii="Calibri" w:hAnsi="Calibri"/>
        </w:rPr>
        <w:t xml:space="preserve">P 8(c); Articles 1-5(a), 7 and 15 of CEDAW; para 11 CEDAW GR No. 28; paras 70-73 of CEDAW GR No. 30, and see above n32. See also the International Committee of the Red Cross (ICRC) Customary IHL Database, Chapter 39. Other Persons Afforded Specific Protection, available from: </w:t>
      </w:r>
      <w:r w:rsidRPr="00817818">
        <w:rPr>
          <w:rFonts w:ascii="Calibri" w:hAnsi="Calibri"/>
        </w:rPr>
        <w:t>https://www.icrc.org/customary-ihl/eng/docs/v1_cha_chapter39</w:t>
      </w:r>
      <w:r>
        <w:rPr>
          <w:rFonts w:ascii="Calibri" w:hAnsi="Calibri"/>
        </w:rPr>
        <w:t xml:space="preserve">. </w:t>
      </w:r>
    </w:p>
  </w:footnote>
  <w:footnote w:id="39">
    <w:p w14:paraId="2991B467" w14:textId="45DA38F9" w:rsidR="00D75A79" w:rsidRDefault="00D75A79" w:rsidP="006E35CE">
      <w:pPr>
        <w:pStyle w:val="FootnoteText"/>
      </w:pPr>
      <w:r w:rsidRPr="00D210B7">
        <w:rPr>
          <w:rStyle w:val="FootnoteReference"/>
          <w:rFonts w:ascii="Calibri" w:hAnsi="Calibri"/>
        </w:rPr>
        <w:footnoteRef/>
      </w:r>
      <w:r w:rsidRPr="00D210B7">
        <w:rPr>
          <w:rFonts w:ascii="Calibri" w:hAnsi="Calibri"/>
        </w:rPr>
        <w:t xml:space="preserve"> </w:t>
      </w:r>
      <w:r>
        <w:rPr>
          <w:rFonts w:ascii="Calibri" w:hAnsi="Calibri"/>
        </w:rPr>
        <w:t xml:space="preserve">SCR 1325 OPs 6 and 7; Articles 1-4(1), 5(a) and 6 of CEDAW; all of the CEDAW GR No. 15; and para 31(b) of the CEDAW GR No. 24.  </w:t>
      </w:r>
    </w:p>
  </w:footnote>
  <w:footnote w:id="40">
    <w:p w14:paraId="7F180C04" w14:textId="46B71ECA" w:rsidR="00D75A79" w:rsidRPr="00361A2D" w:rsidRDefault="00D75A79" w:rsidP="006E35CE">
      <w:pPr>
        <w:pStyle w:val="FootnoteText"/>
        <w:rPr>
          <w:rFonts w:ascii="Calibri" w:hAnsi="Calibri"/>
        </w:rPr>
      </w:pPr>
      <w:r w:rsidRPr="00875FEE">
        <w:rPr>
          <w:rStyle w:val="FootnoteReference"/>
          <w:rFonts w:ascii="Calibri" w:hAnsi="Calibri"/>
        </w:rPr>
        <w:footnoteRef/>
      </w:r>
      <w:r w:rsidRPr="00875FEE">
        <w:rPr>
          <w:rFonts w:ascii="Calibri" w:hAnsi="Calibri"/>
        </w:rPr>
        <w:t xml:space="preserve"> SCR 1325 </w:t>
      </w:r>
      <w:r>
        <w:rPr>
          <w:rFonts w:ascii="Calibri" w:hAnsi="Calibri"/>
        </w:rPr>
        <w:t>OP</w:t>
      </w:r>
      <w:r w:rsidRPr="00875FEE">
        <w:rPr>
          <w:rFonts w:ascii="Calibri" w:hAnsi="Calibri"/>
        </w:rPr>
        <w:t xml:space="preserve"> 10, </w:t>
      </w:r>
      <w:r>
        <w:rPr>
          <w:rFonts w:ascii="Calibri" w:hAnsi="Calibri"/>
        </w:rPr>
        <w:t xml:space="preserve">Articles 1-4(1), 5(a) and 6 of CEDAW, Article 34 of the CRC, paras 72(g) and 76 of the Committee on the Rights of the Child General Comment No. 13 (children’s right to freedom from all forms of violence) (2011) (CRC GC No. 18); </w:t>
      </w:r>
      <w:r w:rsidRPr="00875FEE">
        <w:rPr>
          <w:rFonts w:ascii="Calibri" w:hAnsi="Calibri"/>
        </w:rPr>
        <w:t>paras 6-7</w:t>
      </w:r>
      <w:r>
        <w:rPr>
          <w:rFonts w:ascii="Calibri" w:hAnsi="Calibri"/>
        </w:rPr>
        <w:t>, 15-16 and 23</w:t>
      </w:r>
      <w:r w:rsidRPr="00875FEE">
        <w:rPr>
          <w:rFonts w:ascii="Calibri" w:hAnsi="Calibri"/>
        </w:rPr>
        <w:t xml:space="preserve"> of </w:t>
      </w:r>
      <w:r>
        <w:rPr>
          <w:rFonts w:ascii="Calibri" w:hAnsi="Calibri"/>
        </w:rPr>
        <w:t xml:space="preserve">the CEDAW GR No 19; paras  33 (c), </w:t>
      </w:r>
      <w:r w:rsidRPr="00875FEE">
        <w:rPr>
          <w:rFonts w:ascii="Calibri" w:hAnsi="Calibri"/>
        </w:rPr>
        <w:t xml:space="preserve">38, 50, 52-54, 57(d)-(g), 67, 73(f), 78, 81(c), (j) and(k) of </w:t>
      </w:r>
      <w:r>
        <w:rPr>
          <w:rFonts w:ascii="Calibri" w:hAnsi="Calibri"/>
        </w:rPr>
        <w:t>the CEDAW GR N</w:t>
      </w:r>
      <w:r w:rsidRPr="00875FEE">
        <w:rPr>
          <w:rFonts w:ascii="Calibri" w:hAnsi="Calibri"/>
        </w:rPr>
        <w:t>o. 30.</w:t>
      </w:r>
      <w:r>
        <w:rPr>
          <w:rFonts w:ascii="Calibri" w:hAnsi="Calibri"/>
        </w:rPr>
        <w:t xml:space="preserve"> </w:t>
      </w:r>
    </w:p>
  </w:footnote>
  <w:footnote w:id="41">
    <w:p w14:paraId="39807A56" w14:textId="31A2EEE5" w:rsidR="00D75A79" w:rsidRPr="00F01120" w:rsidRDefault="00D75A79" w:rsidP="00B42DB6">
      <w:pPr>
        <w:pStyle w:val="FootnoteText"/>
        <w:rPr>
          <w:rFonts w:ascii="Calibri" w:hAnsi="Calibri"/>
        </w:rPr>
      </w:pPr>
      <w:r w:rsidRPr="00F01120">
        <w:rPr>
          <w:rStyle w:val="FootnoteReference"/>
          <w:rFonts w:ascii="Calibri" w:hAnsi="Calibri"/>
        </w:rPr>
        <w:footnoteRef/>
      </w:r>
      <w:r w:rsidRPr="00F01120">
        <w:rPr>
          <w:rFonts w:ascii="Calibri" w:hAnsi="Calibri"/>
        </w:rPr>
        <w:t xml:space="preserve"> SCR 1325 OP 11</w:t>
      </w:r>
      <w:r>
        <w:rPr>
          <w:rFonts w:ascii="Calibri" w:hAnsi="Calibri"/>
        </w:rPr>
        <w:t xml:space="preserve">; </w:t>
      </w:r>
      <w:r w:rsidRPr="00F01120">
        <w:rPr>
          <w:rFonts w:ascii="Calibri" w:hAnsi="Calibri"/>
        </w:rPr>
        <w:t>Preamble, Articles 7(g)</w:t>
      </w:r>
      <w:r>
        <w:rPr>
          <w:rFonts w:ascii="Calibri" w:hAnsi="Calibri"/>
        </w:rPr>
        <w:t>,</w:t>
      </w:r>
      <w:r w:rsidRPr="00F01120">
        <w:rPr>
          <w:rFonts w:ascii="Calibri" w:hAnsi="Calibri"/>
        </w:rPr>
        <w:t xml:space="preserve"> 8</w:t>
      </w:r>
      <w:r>
        <w:rPr>
          <w:rFonts w:ascii="Calibri" w:hAnsi="Calibri"/>
        </w:rPr>
        <w:t>(2)</w:t>
      </w:r>
      <w:r w:rsidRPr="00F01120">
        <w:rPr>
          <w:rFonts w:ascii="Calibri" w:hAnsi="Calibri"/>
        </w:rPr>
        <w:t>(b)(xxii)</w:t>
      </w:r>
      <w:r>
        <w:rPr>
          <w:rFonts w:ascii="Calibri" w:hAnsi="Calibri"/>
        </w:rPr>
        <w:t xml:space="preserve"> of the Rome Statute; Common Article 3, Geneva Conventions; Article 14(1) Third Geneva Convention; Article 27(2) Fourth Geneva Convention; Article 75(2) Additional Protocol I; Article 4(2) Additional Protocol II; Article 4(e) of the Statute for the International Criminal Tribunal for Rwanda; Article 3(e) of the Statute of the Special Court for Sierra Leone;  see the section on “access to justice” in the CEDAW GR No. 30. See also ICRC Customary IHL Database, “Rule 93. Rape and Other forms of Sexual Violence”, available from: </w:t>
      </w:r>
      <w:r w:rsidRPr="00F01120">
        <w:rPr>
          <w:rFonts w:ascii="Calibri" w:hAnsi="Calibri"/>
        </w:rPr>
        <w:t>https://www.icrc.org/customary-ihl/eng/docs/v1_cha_chapter32_rule93#Fn_17_4</w:t>
      </w:r>
      <w:r>
        <w:rPr>
          <w:rFonts w:ascii="Calibri" w:hAnsi="Calibri"/>
        </w:rPr>
        <w:t>.</w:t>
      </w:r>
    </w:p>
  </w:footnote>
  <w:footnote w:id="42">
    <w:p w14:paraId="756B2A6A" w14:textId="14B0BDEC" w:rsidR="00D75A79" w:rsidRPr="00101133" w:rsidRDefault="00D75A79" w:rsidP="006E35CE">
      <w:pPr>
        <w:pStyle w:val="FootnoteText"/>
        <w:rPr>
          <w:rFonts w:ascii="Calibri" w:hAnsi="Calibri"/>
        </w:rPr>
      </w:pPr>
      <w:r w:rsidRPr="00101133">
        <w:rPr>
          <w:rStyle w:val="FootnoteReference"/>
          <w:rFonts w:ascii="Calibri" w:hAnsi="Calibri"/>
        </w:rPr>
        <w:footnoteRef/>
      </w:r>
      <w:r w:rsidRPr="00101133">
        <w:rPr>
          <w:rFonts w:ascii="Calibri" w:hAnsi="Calibri"/>
        </w:rPr>
        <w:t xml:space="preserve"> </w:t>
      </w:r>
      <w:r>
        <w:rPr>
          <w:rFonts w:ascii="Calibri" w:hAnsi="Calibri"/>
        </w:rPr>
        <w:t xml:space="preserve">SCR 1325 OP 12; Article 78, Additional Protocol I; Article 22, African Charter on the Rights and Welfare of the Child; Article 23, CRC; Article 9, </w:t>
      </w:r>
      <w:r w:rsidRPr="0058203B">
        <w:rPr>
          <w:rFonts w:ascii="Calibri" w:hAnsi="Calibri" w:cs="Times New Roman"/>
        </w:rPr>
        <w:t>Belém do Pará</w:t>
      </w:r>
      <w:r>
        <w:rPr>
          <w:rFonts w:ascii="Calibri" w:hAnsi="Calibri"/>
        </w:rPr>
        <w:t xml:space="preserve">; See ICRC Customary IHL Database, “Rule 131. Treatment of Displaced Persons”, available from: </w:t>
      </w:r>
      <w:r w:rsidRPr="00880D6D">
        <w:rPr>
          <w:rFonts w:ascii="Calibri" w:hAnsi="Calibri"/>
        </w:rPr>
        <w:t>https://www.icrc.org/customary-ihl/eng/docs/v1_cha_chapter38_rule131#Fn_6_23</w:t>
      </w:r>
      <w:r>
        <w:rPr>
          <w:rFonts w:ascii="Calibri" w:hAnsi="Calibri"/>
        </w:rPr>
        <w:t xml:space="preserve">; see also Articles 1-3 and 15 of CEDAW; </w:t>
      </w:r>
      <w:r w:rsidRPr="00101133">
        <w:rPr>
          <w:rFonts w:ascii="Calibri" w:hAnsi="Calibri"/>
        </w:rPr>
        <w:t>para</w:t>
      </w:r>
      <w:r>
        <w:rPr>
          <w:rFonts w:ascii="Calibri" w:hAnsi="Calibri"/>
        </w:rPr>
        <w:t>s</w:t>
      </w:r>
      <w:r w:rsidRPr="00101133">
        <w:rPr>
          <w:rFonts w:ascii="Calibri" w:hAnsi="Calibri"/>
        </w:rPr>
        <w:t xml:space="preserve"> 54 </w:t>
      </w:r>
      <w:r>
        <w:rPr>
          <w:rFonts w:ascii="Calibri" w:hAnsi="Calibri"/>
        </w:rPr>
        <w:t>and 57 of CEDAW GR No. 30.</w:t>
      </w:r>
    </w:p>
  </w:footnote>
  <w:footnote w:id="43">
    <w:p w14:paraId="44EAB7F5" w14:textId="18B3E4A7" w:rsidR="00D75A79" w:rsidRPr="00880D6D" w:rsidRDefault="00D75A79" w:rsidP="002D2D72">
      <w:pPr>
        <w:pStyle w:val="FootnoteText"/>
        <w:jc w:val="left"/>
        <w:rPr>
          <w:rFonts w:ascii="Calibri" w:hAnsi="Calibri"/>
        </w:rPr>
      </w:pPr>
      <w:r w:rsidRPr="00880D6D">
        <w:rPr>
          <w:rStyle w:val="FootnoteReference"/>
          <w:rFonts w:ascii="Calibri" w:hAnsi="Calibri"/>
        </w:rPr>
        <w:footnoteRef/>
      </w:r>
      <w:r w:rsidRPr="00880D6D">
        <w:rPr>
          <w:rFonts w:ascii="Calibri" w:hAnsi="Calibri"/>
        </w:rPr>
        <w:t xml:space="preserve"> </w:t>
      </w:r>
      <w:r>
        <w:rPr>
          <w:rFonts w:ascii="Calibri" w:hAnsi="Calibri"/>
        </w:rPr>
        <w:t xml:space="preserve">SCR 1325, OP 13, Articles 1-4(1), 5(a) and 6 of CEDAW; para 69 of the CEDAW GR No. 30; Article 39 of the CRC; Articles 6 and 7 of the Optional Protocol on the Involvement of Children in Armed Conflicts; Principle B(2) Refugee Convention 1951. See ICRC Customary IHL Database, “Practice Relating to Rule 135. Children. Section E: Rehabilitation and Reintegration of former child soldiers, available from: </w:t>
      </w:r>
      <w:r w:rsidRPr="00612C55">
        <w:rPr>
          <w:rFonts w:ascii="Calibri" w:hAnsi="Calibri"/>
        </w:rPr>
        <w:t>https://www.icrc.org/customary-ihl/eng/docs/v2_rul_rule135_sectione</w:t>
      </w:r>
      <w:r>
        <w:rPr>
          <w:rFonts w:ascii="Calibri" w:hAnsi="Calibri"/>
        </w:rPr>
        <w:t>.</w:t>
      </w:r>
    </w:p>
  </w:footnote>
  <w:footnote w:id="44">
    <w:p w14:paraId="3B6D542A" w14:textId="466E3849" w:rsidR="00D75A79" w:rsidRPr="004222CA" w:rsidRDefault="00D75A79" w:rsidP="006251E3">
      <w:pPr>
        <w:pStyle w:val="FootnoteText"/>
        <w:rPr>
          <w:rFonts w:ascii="Calibri" w:hAnsi="Calibri"/>
        </w:rPr>
      </w:pPr>
      <w:r w:rsidRPr="004222CA">
        <w:rPr>
          <w:rStyle w:val="FootnoteReference"/>
          <w:rFonts w:ascii="Calibri" w:hAnsi="Calibri"/>
        </w:rPr>
        <w:footnoteRef/>
      </w:r>
      <w:r>
        <w:rPr>
          <w:rFonts w:ascii="Calibri" w:hAnsi="Calibri"/>
        </w:rPr>
        <w:t xml:space="preserve"> Savitri W.E. Goonesekere, ‘</w:t>
      </w:r>
      <w:r w:rsidRPr="004222CA">
        <w:rPr>
          <w:rFonts w:ascii="Calibri" w:hAnsi="Calibri"/>
        </w:rPr>
        <w:t>Ar</w:t>
      </w:r>
      <w:r>
        <w:rPr>
          <w:rFonts w:ascii="Calibri" w:hAnsi="Calibri"/>
        </w:rPr>
        <w:t>ticle 15’</w:t>
      </w:r>
      <w:r w:rsidRPr="004222CA">
        <w:rPr>
          <w:rFonts w:ascii="Calibri" w:hAnsi="Calibri"/>
        </w:rPr>
        <w:t xml:space="preserve"> in </w:t>
      </w:r>
      <w:r>
        <w:rPr>
          <w:rFonts w:ascii="Calibri" w:hAnsi="Calibri"/>
        </w:rPr>
        <w:t>CEDAW Commentary</w:t>
      </w:r>
      <w:r w:rsidRPr="004222CA">
        <w:rPr>
          <w:rFonts w:ascii="Calibri" w:hAnsi="Calibri"/>
        </w:rPr>
        <w:t xml:space="preserve">, </w:t>
      </w:r>
      <w:r>
        <w:rPr>
          <w:rFonts w:ascii="Calibri" w:hAnsi="Calibri"/>
        </w:rPr>
        <w:t xml:space="preserve">pp. 387-408, </w:t>
      </w:r>
      <w:r w:rsidRPr="004222CA">
        <w:rPr>
          <w:rFonts w:ascii="Calibri" w:hAnsi="Calibri"/>
        </w:rPr>
        <w:t xml:space="preserve">p. 401. </w:t>
      </w:r>
    </w:p>
  </w:footnote>
  <w:footnote w:id="45">
    <w:p w14:paraId="4A79A6BA" w14:textId="2FC59136" w:rsidR="00D75A79" w:rsidRPr="004222CA" w:rsidRDefault="00D75A79" w:rsidP="00C225C7">
      <w:pPr>
        <w:pStyle w:val="FootnoteText"/>
        <w:rPr>
          <w:rFonts w:ascii="Calibri" w:hAnsi="Calibri"/>
        </w:rPr>
      </w:pPr>
      <w:r w:rsidRPr="004222CA">
        <w:rPr>
          <w:rStyle w:val="FootnoteReference"/>
          <w:rFonts w:ascii="Calibri" w:hAnsi="Calibri"/>
        </w:rPr>
        <w:footnoteRef/>
      </w:r>
      <w:r w:rsidRPr="004222CA">
        <w:rPr>
          <w:rFonts w:ascii="Calibri" w:hAnsi="Calibri"/>
        </w:rPr>
        <w:t xml:space="preserve"> SCR 1820, OP4; SCR 1888, OP 6; SCR 1889, OP 10; SCR 1960, PP 15; SCR 2106, OP 2; SCR 2122, OP 10. </w:t>
      </w:r>
    </w:p>
  </w:footnote>
  <w:footnote w:id="46">
    <w:p w14:paraId="3608A83E" w14:textId="6E12C0CA" w:rsidR="00D75A79" w:rsidRPr="004222CA" w:rsidRDefault="00D75A79" w:rsidP="00551F8F">
      <w:pPr>
        <w:pStyle w:val="FootnoteText"/>
        <w:rPr>
          <w:rFonts w:ascii="Calibri" w:hAnsi="Calibri"/>
        </w:rPr>
      </w:pPr>
      <w:r w:rsidRPr="004222CA">
        <w:rPr>
          <w:rStyle w:val="FootnoteReference"/>
          <w:rFonts w:ascii="Calibri" w:hAnsi="Calibri"/>
        </w:rPr>
        <w:footnoteRef/>
      </w:r>
      <w:r w:rsidRPr="004222CA">
        <w:rPr>
          <w:rFonts w:ascii="Calibri" w:hAnsi="Calibri"/>
        </w:rPr>
        <w:t xml:space="preserve"> See paras 74-80, CEDAW GR No. 30.  </w:t>
      </w:r>
    </w:p>
  </w:footnote>
  <w:footnote w:id="47">
    <w:p w14:paraId="6AB5BF59" w14:textId="5F4F38D7" w:rsidR="00D75A79" w:rsidRPr="004222CA" w:rsidRDefault="00D75A79">
      <w:pPr>
        <w:pStyle w:val="FootnoteText"/>
        <w:rPr>
          <w:rFonts w:ascii="Calibri" w:hAnsi="Calibri"/>
        </w:rPr>
      </w:pPr>
      <w:r w:rsidRPr="004222CA">
        <w:rPr>
          <w:rStyle w:val="FootnoteReference"/>
          <w:rFonts w:ascii="Calibri" w:hAnsi="Calibri"/>
        </w:rPr>
        <w:footnoteRef/>
      </w:r>
      <w:r w:rsidRPr="004222CA">
        <w:rPr>
          <w:rFonts w:ascii="Calibri" w:hAnsi="Calibri"/>
        </w:rPr>
        <w:t xml:space="preserve"> SCR 1820, OP4.</w:t>
      </w:r>
    </w:p>
  </w:footnote>
  <w:footnote w:id="48">
    <w:p w14:paraId="42A96E2C" w14:textId="2C9C3A56" w:rsidR="00D75A79" w:rsidRPr="003720F4" w:rsidRDefault="00D75A79">
      <w:pPr>
        <w:pStyle w:val="FootnoteText"/>
        <w:rPr>
          <w:rFonts w:ascii="Calibri" w:hAnsi="Calibri"/>
        </w:rPr>
      </w:pPr>
      <w:r w:rsidRPr="003720F4">
        <w:rPr>
          <w:rStyle w:val="FootnoteReference"/>
          <w:rFonts w:ascii="Calibri" w:hAnsi="Calibri"/>
        </w:rPr>
        <w:footnoteRef/>
      </w:r>
      <w:r w:rsidRPr="003720F4">
        <w:rPr>
          <w:rFonts w:ascii="Calibri" w:hAnsi="Calibri"/>
        </w:rPr>
        <w:t xml:space="preserve"> SCR 1888, OPs 6 and 8.</w:t>
      </w:r>
    </w:p>
  </w:footnote>
  <w:footnote w:id="49">
    <w:p w14:paraId="2299A67E" w14:textId="667FD051" w:rsidR="00D75A79" w:rsidRPr="003720F4" w:rsidRDefault="00D75A79">
      <w:pPr>
        <w:pStyle w:val="FootnoteText"/>
        <w:rPr>
          <w:rFonts w:ascii="Calibri" w:hAnsi="Calibri"/>
        </w:rPr>
      </w:pPr>
      <w:r w:rsidRPr="003720F4">
        <w:rPr>
          <w:rStyle w:val="FootnoteReference"/>
          <w:rFonts w:ascii="Calibri" w:hAnsi="Calibri"/>
        </w:rPr>
        <w:footnoteRef/>
      </w:r>
      <w:r w:rsidRPr="003720F4">
        <w:rPr>
          <w:rFonts w:ascii="Calibri" w:hAnsi="Calibri"/>
        </w:rPr>
        <w:t xml:space="preserve"> SCR 1889, OP 10.</w:t>
      </w:r>
    </w:p>
  </w:footnote>
  <w:footnote w:id="50">
    <w:p w14:paraId="0428B519" w14:textId="50678F5D" w:rsidR="00D75A79" w:rsidRPr="003720F4" w:rsidRDefault="00D75A79">
      <w:pPr>
        <w:pStyle w:val="FootnoteText"/>
        <w:rPr>
          <w:rFonts w:ascii="Calibri" w:hAnsi="Calibri"/>
        </w:rPr>
      </w:pPr>
      <w:r w:rsidRPr="003720F4">
        <w:rPr>
          <w:rStyle w:val="FootnoteReference"/>
          <w:rFonts w:ascii="Calibri" w:hAnsi="Calibri"/>
        </w:rPr>
        <w:footnoteRef/>
      </w:r>
      <w:r w:rsidRPr="003720F4">
        <w:rPr>
          <w:rFonts w:ascii="Calibri" w:hAnsi="Calibri"/>
        </w:rPr>
        <w:t xml:space="preserve"> SCR 2122, OP 10.</w:t>
      </w:r>
    </w:p>
  </w:footnote>
  <w:footnote w:id="51">
    <w:p w14:paraId="329393D3" w14:textId="03645641" w:rsidR="00D75A79" w:rsidRPr="003720F4" w:rsidRDefault="00D75A79">
      <w:pPr>
        <w:pStyle w:val="FootnoteText"/>
        <w:rPr>
          <w:rFonts w:ascii="Calibri" w:hAnsi="Calibri"/>
        </w:rPr>
      </w:pPr>
      <w:r w:rsidRPr="003720F4">
        <w:rPr>
          <w:rStyle w:val="FootnoteReference"/>
          <w:rFonts w:ascii="Calibri" w:hAnsi="Calibri"/>
        </w:rPr>
        <w:footnoteRef/>
      </w:r>
      <w:r w:rsidRPr="003720F4">
        <w:rPr>
          <w:rFonts w:ascii="Calibri" w:hAnsi="Calibri"/>
        </w:rPr>
        <w:t xml:space="preserve"> </w:t>
      </w:r>
      <w:r>
        <w:rPr>
          <w:rFonts w:ascii="Calibri" w:hAnsi="Calibri"/>
        </w:rPr>
        <w:t>SCR 1888, OP 13; SCR 1889, OP 10.</w:t>
      </w:r>
    </w:p>
  </w:footnote>
  <w:footnote w:id="52">
    <w:p w14:paraId="1FCBDB36" w14:textId="7F48003B" w:rsidR="00D75A79" w:rsidRPr="003720F4" w:rsidRDefault="00D75A79">
      <w:pPr>
        <w:pStyle w:val="FootnoteText"/>
        <w:rPr>
          <w:rFonts w:ascii="Calibri" w:hAnsi="Calibri"/>
        </w:rPr>
      </w:pPr>
      <w:r w:rsidRPr="003720F4">
        <w:rPr>
          <w:rStyle w:val="FootnoteReference"/>
          <w:rFonts w:ascii="Calibri" w:hAnsi="Calibri"/>
        </w:rPr>
        <w:footnoteRef/>
      </w:r>
      <w:r w:rsidRPr="003720F4">
        <w:rPr>
          <w:rFonts w:ascii="Calibri" w:hAnsi="Calibri"/>
        </w:rPr>
        <w:t xml:space="preserve"> SCR 1960, PP 13. </w:t>
      </w:r>
    </w:p>
  </w:footnote>
  <w:footnote w:id="53">
    <w:p w14:paraId="3553D5A9" w14:textId="5A6BBD91" w:rsidR="00D75A79" w:rsidRPr="003720F4" w:rsidRDefault="00D75A79" w:rsidP="003F6FD2">
      <w:pPr>
        <w:pStyle w:val="FootnoteText"/>
        <w:rPr>
          <w:rFonts w:ascii="Calibri" w:hAnsi="Calibri"/>
        </w:rPr>
      </w:pPr>
      <w:r w:rsidRPr="003720F4">
        <w:rPr>
          <w:rStyle w:val="FootnoteReference"/>
          <w:rFonts w:ascii="Calibri" w:hAnsi="Calibri"/>
        </w:rPr>
        <w:footnoteRef/>
      </w:r>
      <w:r w:rsidRPr="003720F4">
        <w:rPr>
          <w:rFonts w:ascii="Calibri" w:hAnsi="Calibri"/>
        </w:rPr>
        <w:t xml:space="preserve"> SCR 1888, OP13; SCR 1889, PP 9 and OP 10; Art</w:t>
      </w:r>
      <w:r>
        <w:rPr>
          <w:rFonts w:ascii="Calibri" w:hAnsi="Calibri"/>
        </w:rPr>
        <w:t>icles 1-3, 4(1), 5(a), 10-12 and 14</w:t>
      </w:r>
      <w:r w:rsidRPr="003720F4">
        <w:rPr>
          <w:rFonts w:ascii="Calibri" w:hAnsi="Calibri"/>
        </w:rPr>
        <w:t xml:space="preserve"> of CEDAW; paras 48-52 of the CEDAW GR No. 30; Articles 1, 3, 6, 12 and 13(1) of ICESCR; paras 1, 31, 32, and 55 of the General Comment to the ICESCR No. 13 (Art 13) adopted on 12 August 1999, E/C/12/1999/10 (ICESCR GC No. 13).</w:t>
      </w:r>
    </w:p>
  </w:footnote>
  <w:footnote w:id="54">
    <w:p w14:paraId="13E271C0" w14:textId="67F79348" w:rsidR="00D75A79" w:rsidRPr="003720F4" w:rsidRDefault="00D75A79" w:rsidP="00E32684">
      <w:pPr>
        <w:jc w:val="both"/>
        <w:rPr>
          <w:rFonts w:ascii="Calibri" w:eastAsia="Times New Roman" w:hAnsi="Calibri" w:cs="Times New Roman"/>
          <w:sz w:val="20"/>
          <w:szCs w:val="20"/>
        </w:rPr>
      </w:pPr>
      <w:r w:rsidRPr="003720F4">
        <w:rPr>
          <w:rStyle w:val="FootnoteReference"/>
          <w:rFonts w:ascii="Calibri" w:hAnsi="Calibri"/>
          <w:sz w:val="20"/>
          <w:szCs w:val="20"/>
        </w:rPr>
        <w:footnoteRef/>
      </w:r>
      <w:r w:rsidRPr="003720F4">
        <w:rPr>
          <w:rFonts w:ascii="Calibri" w:hAnsi="Calibri"/>
          <w:sz w:val="20"/>
          <w:szCs w:val="20"/>
        </w:rPr>
        <w:t xml:space="preserve"> Article 10 of CEDAW; Article 13(1) of ICESCR; paras 1, 31, 32, and 55 of ICESCR GC No. 13; Article 29(1) of the CRC; para 16 of CRC General Comment No. 1, adopted on 17 April 2001, </w:t>
      </w:r>
      <w:r w:rsidRPr="003720F4">
        <w:rPr>
          <w:rFonts w:ascii="Calibri" w:eastAsia="Times New Roman" w:hAnsi="Calibri" w:cs="Times New Roman"/>
          <w:sz w:val="20"/>
          <w:szCs w:val="20"/>
        </w:rPr>
        <w:t>CRC/GC/2001/1</w:t>
      </w:r>
      <w:r>
        <w:rPr>
          <w:rFonts w:ascii="Calibri" w:eastAsia="Times New Roman" w:hAnsi="Calibri" w:cs="Times New Roman"/>
          <w:sz w:val="20"/>
          <w:szCs w:val="20"/>
        </w:rPr>
        <w:t xml:space="preserve"> (CRC GC No. 1). </w:t>
      </w:r>
    </w:p>
  </w:footnote>
  <w:footnote w:id="55">
    <w:p w14:paraId="2D072A91" w14:textId="77777777" w:rsidR="00D75A79" w:rsidRPr="00E32684" w:rsidRDefault="00D75A79" w:rsidP="00387481">
      <w:pPr>
        <w:pStyle w:val="FootnoteText"/>
        <w:rPr>
          <w:rFonts w:ascii="Calibri" w:hAnsi="Calibri"/>
        </w:rPr>
      </w:pPr>
      <w:r w:rsidRPr="003720F4">
        <w:rPr>
          <w:rStyle w:val="FootnoteReference"/>
          <w:rFonts w:ascii="Calibri" w:hAnsi="Calibri"/>
        </w:rPr>
        <w:footnoteRef/>
      </w:r>
      <w:r w:rsidRPr="003720F4">
        <w:rPr>
          <w:rFonts w:ascii="Calibri" w:hAnsi="Calibri"/>
        </w:rPr>
        <w:t xml:space="preserve"> Articles 13-14 of CEDAW and paras 48-9, 52(b) of the CEDAW GR No. 30.</w:t>
      </w:r>
      <w:r w:rsidRPr="00E32684">
        <w:rPr>
          <w:rFonts w:ascii="Calibri" w:hAnsi="Calibri"/>
        </w:rPr>
        <w:t xml:space="preserve"> </w:t>
      </w:r>
    </w:p>
  </w:footnote>
  <w:footnote w:id="56">
    <w:p w14:paraId="658F5345" w14:textId="19C8D275" w:rsidR="00D75A79" w:rsidRPr="00E32684" w:rsidRDefault="00D75A79" w:rsidP="00E32684">
      <w:pPr>
        <w:pStyle w:val="FootnoteText"/>
        <w:rPr>
          <w:rFonts w:ascii="Calibri" w:hAnsi="Calibri"/>
        </w:rPr>
      </w:pPr>
      <w:r w:rsidRPr="00E32684">
        <w:rPr>
          <w:rStyle w:val="FootnoteReference"/>
          <w:rFonts w:ascii="Calibri" w:hAnsi="Calibri"/>
        </w:rPr>
        <w:footnoteRef/>
      </w:r>
      <w:r>
        <w:rPr>
          <w:rFonts w:ascii="Calibri" w:hAnsi="Calibri"/>
        </w:rPr>
        <w:t xml:space="preserve"> </w:t>
      </w:r>
      <w:r w:rsidRPr="00AE4168">
        <w:rPr>
          <w:rFonts w:ascii="Calibri" w:hAnsi="Calibri"/>
        </w:rPr>
        <w:t xml:space="preserve">SCR 1820, OP 13; SCR 1889, OP 10; SCR 1960, </w:t>
      </w:r>
      <w:r>
        <w:rPr>
          <w:rFonts w:ascii="Calibri" w:hAnsi="Calibri"/>
        </w:rPr>
        <w:t>PP 13 and OP8; SCR 210</w:t>
      </w:r>
      <w:r w:rsidRPr="00AE4168">
        <w:rPr>
          <w:rFonts w:ascii="Calibri" w:hAnsi="Calibri"/>
        </w:rPr>
        <w:t>6 OPs 19 and 20; SCR 2122, OP</w:t>
      </w:r>
      <w:r>
        <w:rPr>
          <w:rFonts w:ascii="Calibri" w:hAnsi="Calibri"/>
        </w:rPr>
        <w:t xml:space="preserve"> 11; paras 38(e) and (h), 48, 50-51, 52 (c)-(e), 54, 57 (d) and (g) and 60 of the CEDAW GR No. 30; paras 27, 34 and 38 of CRC General Comment No. 4 on Adolescent Health and Development in the context of the Convention on the Rights of the Child, adopted on 1 July 2003, </w:t>
      </w:r>
      <w:r w:rsidRPr="003867EE">
        <w:rPr>
          <w:rFonts w:ascii="Calibri" w:hAnsi="Calibri"/>
        </w:rPr>
        <w:t>CRC/GC/2003/4</w:t>
      </w:r>
      <w:r>
        <w:rPr>
          <w:rFonts w:ascii="Calibri" w:hAnsi="Calibri"/>
        </w:rPr>
        <w:t xml:space="preserve"> (CRC GC No. 4). </w:t>
      </w:r>
    </w:p>
  </w:footnote>
  <w:footnote w:id="57">
    <w:p w14:paraId="1F3D3F9A" w14:textId="7D5A6E30" w:rsidR="00D75A79" w:rsidRPr="000852AC" w:rsidRDefault="00D75A79" w:rsidP="000852AC">
      <w:pPr>
        <w:pStyle w:val="FootnoteText"/>
        <w:rPr>
          <w:rFonts w:ascii="Calibri" w:hAnsi="Calibri"/>
        </w:rPr>
      </w:pPr>
      <w:r w:rsidRPr="00E32684">
        <w:rPr>
          <w:rStyle w:val="FootnoteReference"/>
          <w:rFonts w:ascii="Calibri" w:hAnsi="Calibri"/>
          <w:color w:val="0D0D0D" w:themeColor="text1" w:themeTint="F2"/>
        </w:rPr>
        <w:footnoteRef/>
      </w:r>
      <w:r w:rsidRPr="00E32684">
        <w:rPr>
          <w:rFonts w:ascii="Calibri" w:hAnsi="Calibri"/>
          <w:color w:val="0D0D0D" w:themeColor="text1" w:themeTint="F2"/>
        </w:rPr>
        <w:t xml:space="preserve"> </w:t>
      </w:r>
      <w:r>
        <w:rPr>
          <w:rFonts w:ascii="Calibri" w:hAnsi="Calibri"/>
        </w:rPr>
        <w:t>Geneva Convention IV.</w:t>
      </w:r>
      <w:r w:rsidRPr="004F255A">
        <w:rPr>
          <w:rFonts w:ascii="Calibri" w:hAnsi="Calibri"/>
          <w:color w:val="0D0D0D" w:themeColor="text1" w:themeTint="F2"/>
        </w:rPr>
        <w:t xml:space="preserve"> </w:t>
      </w:r>
      <w:r w:rsidRPr="00DE49AA">
        <w:rPr>
          <w:rFonts w:ascii="Calibri" w:hAnsi="Calibri"/>
        </w:rPr>
        <w:t>Practice, here, refers to the practices of states and international organizations and conferences, national military manuals, and soft law, as contained in the ICRC Customary IHL Database</w:t>
      </w:r>
      <w:r>
        <w:rPr>
          <w:rFonts w:ascii="Calibri" w:hAnsi="Calibri"/>
        </w:rPr>
        <w:t xml:space="preserve"> Rules No. 134 on Women and 135 on Children, cited earlier in Section 1. </w:t>
      </w:r>
      <w:r w:rsidRPr="00AD36FC">
        <w:rPr>
          <w:rFonts w:ascii="Calibri" w:hAnsi="Calibri"/>
          <w:color w:val="0D0D0D" w:themeColor="text1" w:themeTint="F2"/>
        </w:rPr>
        <w:t xml:space="preserve"> </w:t>
      </w:r>
    </w:p>
  </w:footnote>
  <w:footnote w:id="58">
    <w:p w14:paraId="4A136927" w14:textId="0DFC7EFD" w:rsidR="00D75A79" w:rsidRPr="00DE49AA" w:rsidRDefault="00D75A79">
      <w:pPr>
        <w:pStyle w:val="FootnoteText"/>
        <w:rPr>
          <w:rFonts w:ascii="Calibri" w:hAnsi="Calibri"/>
        </w:rPr>
      </w:pPr>
      <w:r w:rsidRPr="00DE49AA">
        <w:rPr>
          <w:rStyle w:val="FootnoteReference"/>
          <w:rFonts w:ascii="Calibri" w:hAnsi="Calibri"/>
        </w:rPr>
        <w:footnoteRef/>
      </w:r>
      <w:r w:rsidRPr="00DE49AA">
        <w:rPr>
          <w:rFonts w:ascii="Calibri" w:hAnsi="Calibri"/>
        </w:rPr>
        <w:t xml:space="preserve"> Art</w:t>
      </w:r>
      <w:r>
        <w:rPr>
          <w:rFonts w:ascii="Calibri" w:hAnsi="Calibri"/>
        </w:rPr>
        <w:t xml:space="preserve">icle 48 of the Additional Protocol I. </w:t>
      </w:r>
      <w:r w:rsidRPr="00E32684">
        <w:rPr>
          <w:rFonts w:ascii="Calibri" w:hAnsi="Calibri"/>
          <w:color w:val="0D0D0D" w:themeColor="text1" w:themeTint="F2"/>
        </w:rPr>
        <w:t xml:space="preserve">See, for instance, </w:t>
      </w:r>
      <w:r>
        <w:rPr>
          <w:rFonts w:ascii="Calibri" w:hAnsi="Calibri"/>
          <w:color w:val="0D0D0D" w:themeColor="text1" w:themeTint="F2"/>
        </w:rPr>
        <w:t>SCR 1960 PPs 5-6</w:t>
      </w:r>
      <w:r w:rsidRPr="00E32684">
        <w:rPr>
          <w:rFonts w:ascii="Calibri" w:hAnsi="Calibri"/>
          <w:color w:val="0D0D0D" w:themeColor="text1" w:themeTint="F2"/>
        </w:rPr>
        <w:t xml:space="preserve">; </w:t>
      </w:r>
      <w:r>
        <w:rPr>
          <w:rFonts w:ascii="Calibri" w:hAnsi="Calibri"/>
          <w:color w:val="0D0D0D" w:themeColor="text1" w:themeTint="F2"/>
        </w:rPr>
        <w:t>SCR 2122,</w:t>
      </w:r>
      <w:r w:rsidRPr="00E32684">
        <w:rPr>
          <w:rFonts w:ascii="Calibri" w:hAnsi="Calibri"/>
          <w:color w:val="0D0D0D" w:themeColor="text1" w:themeTint="F2"/>
        </w:rPr>
        <w:t xml:space="preserve"> PPs 6, 7, 9, 10</w:t>
      </w:r>
      <w:r>
        <w:rPr>
          <w:rFonts w:ascii="Calibri" w:hAnsi="Calibri"/>
          <w:color w:val="0D0D0D" w:themeColor="text1" w:themeTint="F2"/>
        </w:rPr>
        <w:t xml:space="preserve"> and</w:t>
      </w:r>
      <w:r w:rsidRPr="00E32684">
        <w:rPr>
          <w:rFonts w:ascii="Calibri" w:hAnsi="Calibri"/>
          <w:color w:val="0D0D0D" w:themeColor="text1" w:themeTint="F2"/>
        </w:rPr>
        <w:t xml:space="preserve"> OP3.</w:t>
      </w:r>
    </w:p>
  </w:footnote>
  <w:footnote w:id="59">
    <w:p w14:paraId="241F89F5" w14:textId="0640BF21" w:rsidR="00D75A79" w:rsidRPr="00DE49AA" w:rsidRDefault="00D75A79" w:rsidP="00263198">
      <w:pPr>
        <w:pStyle w:val="FootnoteText"/>
        <w:rPr>
          <w:rFonts w:ascii="Calibri" w:hAnsi="Calibri"/>
        </w:rPr>
      </w:pPr>
      <w:r w:rsidRPr="00DE49AA">
        <w:rPr>
          <w:rStyle w:val="FootnoteReference"/>
          <w:rFonts w:ascii="Calibri" w:hAnsi="Calibri"/>
        </w:rPr>
        <w:footnoteRef/>
      </w:r>
      <w:r w:rsidRPr="00DE49AA">
        <w:rPr>
          <w:rFonts w:ascii="Calibri" w:hAnsi="Calibri"/>
        </w:rPr>
        <w:t xml:space="preserve"> </w:t>
      </w:r>
      <w:r>
        <w:rPr>
          <w:rFonts w:ascii="Calibri" w:hAnsi="Calibri"/>
        </w:rPr>
        <w:t>See</w:t>
      </w:r>
      <w:r w:rsidRPr="00DE49AA">
        <w:rPr>
          <w:rFonts w:ascii="Calibri" w:hAnsi="Calibri"/>
        </w:rPr>
        <w:t xml:space="preserve"> the ICRC Customary IHL Database</w:t>
      </w:r>
      <w:r>
        <w:rPr>
          <w:rFonts w:ascii="Calibri" w:hAnsi="Calibri"/>
        </w:rPr>
        <w:t xml:space="preserve"> Rules No. 134 on Women and 135 on Children,</w:t>
      </w:r>
      <w:r w:rsidRPr="00DE49AA">
        <w:rPr>
          <w:rFonts w:ascii="Calibri" w:hAnsi="Calibri"/>
        </w:rPr>
        <w:t xml:space="preserve"> cited earlier in Section 1. </w:t>
      </w:r>
    </w:p>
  </w:footnote>
  <w:footnote w:id="60">
    <w:p w14:paraId="3606770B" w14:textId="2EB3CAA3" w:rsidR="00D75A79" w:rsidRPr="00DE49AA" w:rsidRDefault="00D75A79">
      <w:pPr>
        <w:pStyle w:val="FootnoteText"/>
        <w:rPr>
          <w:rFonts w:ascii="Calibri" w:hAnsi="Calibri"/>
        </w:rPr>
      </w:pPr>
      <w:r w:rsidRPr="00DE49AA">
        <w:rPr>
          <w:rStyle w:val="FootnoteReference"/>
          <w:rFonts w:ascii="Calibri" w:hAnsi="Calibri"/>
        </w:rPr>
        <w:footnoteRef/>
      </w:r>
      <w:r w:rsidRPr="00DE49AA">
        <w:rPr>
          <w:rFonts w:ascii="Calibri" w:hAnsi="Calibri"/>
        </w:rPr>
        <w:t xml:space="preserve"> SCR </w:t>
      </w:r>
      <w:r>
        <w:rPr>
          <w:rFonts w:ascii="Calibri" w:hAnsi="Calibri"/>
        </w:rPr>
        <w:t xml:space="preserve">1820 PPs 3, 6-9, 13, OPs 1-3, 6 and 7. </w:t>
      </w:r>
      <w:r w:rsidRPr="00DE49AA">
        <w:rPr>
          <w:rFonts w:ascii="Calibri" w:hAnsi="Calibri"/>
        </w:rPr>
        <w:t xml:space="preserve"> </w:t>
      </w:r>
    </w:p>
  </w:footnote>
  <w:footnote w:id="61">
    <w:p w14:paraId="552E7FC9" w14:textId="0FF6A383" w:rsidR="00D75A79" w:rsidRPr="00DE49AA" w:rsidRDefault="00D75A79">
      <w:pPr>
        <w:pStyle w:val="FootnoteText"/>
        <w:rPr>
          <w:rFonts w:ascii="Calibri" w:hAnsi="Calibri"/>
        </w:rPr>
      </w:pPr>
      <w:r w:rsidRPr="00DE49AA">
        <w:rPr>
          <w:rStyle w:val="FootnoteReference"/>
          <w:rFonts w:ascii="Calibri" w:hAnsi="Calibri"/>
        </w:rPr>
        <w:footnoteRef/>
      </w:r>
      <w:r w:rsidRPr="00DE49AA">
        <w:rPr>
          <w:rFonts w:ascii="Calibri" w:hAnsi="Calibri"/>
        </w:rPr>
        <w:t xml:space="preserve"> SCR 1889, OP 12.</w:t>
      </w:r>
    </w:p>
  </w:footnote>
  <w:footnote w:id="62">
    <w:p w14:paraId="24BDF812" w14:textId="0085A18A" w:rsidR="00D75A79" w:rsidRPr="00957E0D" w:rsidRDefault="00D75A79">
      <w:pPr>
        <w:pStyle w:val="FootnoteText"/>
        <w:rPr>
          <w:rFonts w:ascii="Calibri" w:hAnsi="Calibri"/>
        </w:rPr>
      </w:pPr>
      <w:r w:rsidRPr="00957E0D">
        <w:rPr>
          <w:rStyle w:val="FootnoteReference"/>
          <w:rFonts w:ascii="Calibri" w:hAnsi="Calibri"/>
        </w:rPr>
        <w:footnoteRef/>
      </w:r>
      <w:r w:rsidRPr="00957E0D">
        <w:rPr>
          <w:rFonts w:ascii="Calibri" w:hAnsi="Calibri"/>
        </w:rPr>
        <w:t xml:space="preserve"> SCR 2106, OP 17.</w:t>
      </w:r>
    </w:p>
  </w:footnote>
  <w:footnote w:id="63">
    <w:p w14:paraId="09BE271A" w14:textId="66DDDC12" w:rsidR="00D75A79" w:rsidRPr="00957E0D" w:rsidRDefault="00D75A79">
      <w:pPr>
        <w:pStyle w:val="FootnoteText"/>
        <w:rPr>
          <w:rFonts w:ascii="Calibri" w:hAnsi="Calibri"/>
        </w:rPr>
      </w:pPr>
      <w:r w:rsidRPr="00957E0D">
        <w:rPr>
          <w:rStyle w:val="FootnoteReference"/>
          <w:rFonts w:ascii="Calibri" w:hAnsi="Calibri"/>
        </w:rPr>
        <w:footnoteRef/>
      </w:r>
      <w:r w:rsidRPr="00957E0D">
        <w:rPr>
          <w:rFonts w:ascii="Calibri" w:hAnsi="Calibri"/>
        </w:rPr>
        <w:t xml:space="preserve"> SCR 1820, OP 3; SCR 1888, OP3; SCR 1960 OP 5; and SCR 2106 OP 10. See also ICRC Customary IHL Database, Rule 152. Command Responsibility for Orders to Commit War Crimes, available from: https://www.icrc.org/customary-ihl/eng/docs/v1_cha_chapter43_rule152?OpenDocument&amp;highlight=command,responsibility; and Rule 153. Command Responsibility for Failure to Prevent, Suppress or Report War Crimes, available from: https://www.icrc.org/customary-ihl/eng/docs/v1_cha_chapter43_rule153?OpenDocument&amp;highlight=command,responsibility.</w:t>
      </w:r>
    </w:p>
  </w:footnote>
  <w:footnote w:id="64">
    <w:p w14:paraId="6668D881" w14:textId="1D673455" w:rsidR="00D75A79" w:rsidRPr="00957E0D" w:rsidRDefault="00D75A79">
      <w:pPr>
        <w:pStyle w:val="FootnoteText"/>
        <w:rPr>
          <w:rFonts w:ascii="Calibri" w:hAnsi="Calibri"/>
        </w:rPr>
      </w:pPr>
      <w:r w:rsidRPr="00957E0D">
        <w:rPr>
          <w:rStyle w:val="FootnoteReference"/>
          <w:rFonts w:ascii="Calibri" w:hAnsi="Calibri"/>
        </w:rPr>
        <w:footnoteRef/>
      </w:r>
      <w:r w:rsidRPr="00957E0D">
        <w:rPr>
          <w:rFonts w:ascii="Calibri" w:hAnsi="Calibri"/>
        </w:rPr>
        <w:t xml:space="preserve"> SCR 1888, OP 3. </w:t>
      </w:r>
    </w:p>
  </w:footnote>
  <w:footnote w:id="65">
    <w:p w14:paraId="32F752F3" w14:textId="7C0FBBA6" w:rsidR="00D75A79" w:rsidRPr="00957E0D" w:rsidRDefault="00D75A79">
      <w:pPr>
        <w:pStyle w:val="FootnoteText"/>
        <w:rPr>
          <w:rFonts w:ascii="Calibri" w:hAnsi="Calibri"/>
        </w:rPr>
      </w:pPr>
      <w:r w:rsidRPr="00957E0D">
        <w:rPr>
          <w:rStyle w:val="FootnoteReference"/>
          <w:rFonts w:ascii="Calibri" w:hAnsi="Calibri"/>
        </w:rPr>
        <w:footnoteRef/>
      </w:r>
      <w:r w:rsidRPr="00957E0D">
        <w:rPr>
          <w:rFonts w:ascii="Calibri" w:hAnsi="Calibri"/>
        </w:rPr>
        <w:t xml:space="preserve"> SCR 1960 OP 5; SCR 2106, OP 8. </w:t>
      </w:r>
    </w:p>
  </w:footnote>
  <w:footnote w:id="66">
    <w:p w14:paraId="7C3E534A" w14:textId="012F0EDE" w:rsidR="00D75A79" w:rsidRPr="00957E0D" w:rsidRDefault="00D75A79">
      <w:pPr>
        <w:pStyle w:val="FootnoteText"/>
        <w:rPr>
          <w:rFonts w:ascii="Calibri" w:hAnsi="Calibri"/>
        </w:rPr>
      </w:pPr>
      <w:r w:rsidRPr="00957E0D">
        <w:rPr>
          <w:rStyle w:val="FootnoteReference"/>
          <w:rFonts w:ascii="Calibri" w:hAnsi="Calibri"/>
        </w:rPr>
        <w:footnoteRef/>
      </w:r>
      <w:r w:rsidRPr="00957E0D">
        <w:rPr>
          <w:rFonts w:ascii="Calibri" w:hAnsi="Calibri"/>
        </w:rPr>
        <w:t xml:space="preserve"> SCR </w:t>
      </w:r>
      <w:r>
        <w:rPr>
          <w:rFonts w:ascii="Calibri" w:hAnsi="Calibri"/>
        </w:rPr>
        <w:t>1820, OP 7</w:t>
      </w:r>
      <w:r w:rsidRPr="00957E0D">
        <w:rPr>
          <w:rFonts w:ascii="Calibri" w:hAnsi="Calibri"/>
        </w:rPr>
        <w:t>; SCR 1888</w:t>
      </w:r>
      <w:r>
        <w:rPr>
          <w:rFonts w:ascii="Calibri" w:hAnsi="Calibri"/>
        </w:rPr>
        <w:t>,</w:t>
      </w:r>
      <w:r w:rsidRPr="00957E0D">
        <w:rPr>
          <w:rFonts w:ascii="Calibri" w:hAnsi="Calibri"/>
        </w:rPr>
        <w:t xml:space="preserve"> OP 21;</w:t>
      </w:r>
      <w:r>
        <w:rPr>
          <w:rFonts w:ascii="Calibri" w:hAnsi="Calibri"/>
        </w:rPr>
        <w:t xml:space="preserve"> SCR 1960, OP16;</w:t>
      </w:r>
      <w:r w:rsidRPr="00957E0D">
        <w:rPr>
          <w:rFonts w:ascii="Calibri" w:hAnsi="Calibri"/>
        </w:rPr>
        <w:t xml:space="preserve"> and SCR 2106, OP 15.</w:t>
      </w:r>
    </w:p>
  </w:footnote>
  <w:footnote w:id="67">
    <w:p w14:paraId="19866F16" w14:textId="18EF3074" w:rsidR="00D75A79" w:rsidRPr="00957E0D" w:rsidRDefault="00D75A79" w:rsidP="00F3615E">
      <w:pPr>
        <w:pStyle w:val="NoSpacing"/>
        <w:rPr>
          <w:rFonts w:ascii="Calibri" w:hAnsi="Calibri"/>
        </w:rPr>
      </w:pPr>
      <w:r w:rsidRPr="00957E0D">
        <w:rPr>
          <w:rStyle w:val="FootnoteReference"/>
          <w:rFonts w:ascii="Calibri" w:hAnsi="Calibri"/>
        </w:rPr>
        <w:footnoteRef/>
      </w:r>
      <w:r w:rsidRPr="00957E0D">
        <w:rPr>
          <w:rFonts w:ascii="Calibri" w:hAnsi="Calibri"/>
        </w:rPr>
        <w:t xml:space="preserve"> UN Secretary-General's Bulletin ST/SGB/1999/13, Observance By United Nations Forces Of International Humanitarian Law, Section 4. </w:t>
      </w:r>
    </w:p>
  </w:footnote>
  <w:footnote w:id="68">
    <w:p w14:paraId="5217540F" w14:textId="435298EA" w:rsidR="00D75A79" w:rsidRPr="00957E0D" w:rsidRDefault="00D75A79" w:rsidP="00AD36FC">
      <w:pPr>
        <w:pStyle w:val="FootnoteText"/>
        <w:rPr>
          <w:rFonts w:ascii="Calibri" w:hAnsi="Calibri"/>
        </w:rPr>
      </w:pPr>
      <w:r w:rsidRPr="00957E0D">
        <w:rPr>
          <w:rStyle w:val="FootnoteReference"/>
          <w:rFonts w:ascii="Calibri" w:hAnsi="Calibri"/>
        </w:rPr>
        <w:footnoteRef/>
      </w:r>
      <w:r w:rsidRPr="00957E0D">
        <w:rPr>
          <w:rFonts w:ascii="Calibri" w:hAnsi="Calibri"/>
        </w:rPr>
        <w:t xml:space="preserve"> SCR 1889, OP 3; SCR 2106, OP 3.</w:t>
      </w:r>
    </w:p>
  </w:footnote>
  <w:footnote w:id="69">
    <w:p w14:paraId="6400A827" w14:textId="25BCB0FE" w:rsidR="00D75A79" w:rsidRPr="00957E0D" w:rsidRDefault="00D75A79" w:rsidP="00AD36FC">
      <w:pPr>
        <w:pStyle w:val="FootnoteText"/>
        <w:rPr>
          <w:rFonts w:ascii="Calibri" w:hAnsi="Calibri"/>
        </w:rPr>
      </w:pPr>
      <w:r w:rsidRPr="00957E0D">
        <w:rPr>
          <w:rStyle w:val="FootnoteReference"/>
          <w:rFonts w:ascii="Calibri" w:hAnsi="Calibri"/>
        </w:rPr>
        <w:footnoteRef/>
      </w:r>
      <w:r w:rsidRPr="00957E0D">
        <w:rPr>
          <w:rFonts w:ascii="Calibri" w:hAnsi="Calibri"/>
        </w:rPr>
        <w:t xml:space="preserve"> SCR 1325, OP 11; SCR 2122, OP 12.</w:t>
      </w:r>
    </w:p>
  </w:footnote>
  <w:footnote w:id="70">
    <w:p w14:paraId="1087A820" w14:textId="2024EF05" w:rsidR="00D75A79" w:rsidRPr="00957E0D" w:rsidRDefault="00D75A79" w:rsidP="00AD36FC">
      <w:pPr>
        <w:pStyle w:val="FootnoteText"/>
        <w:rPr>
          <w:rFonts w:ascii="Calibri" w:hAnsi="Calibri"/>
        </w:rPr>
      </w:pPr>
      <w:r w:rsidRPr="00957E0D">
        <w:rPr>
          <w:rStyle w:val="FootnoteReference"/>
          <w:rFonts w:ascii="Calibri" w:hAnsi="Calibri"/>
        </w:rPr>
        <w:footnoteRef/>
      </w:r>
      <w:r w:rsidRPr="00957E0D">
        <w:rPr>
          <w:rFonts w:ascii="Calibri" w:hAnsi="Calibri"/>
        </w:rPr>
        <w:t xml:space="preserve"> SCR 2106, OP 2. See Articles 6-8 of the Rome Statute 1998.</w:t>
      </w:r>
    </w:p>
  </w:footnote>
  <w:footnote w:id="71">
    <w:p w14:paraId="4A960144" w14:textId="30172A07" w:rsidR="00D75A79" w:rsidRPr="00957E0D" w:rsidRDefault="00D75A79">
      <w:pPr>
        <w:pStyle w:val="FootnoteText"/>
        <w:rPr>
          <w:rFonts w:ascii="Calibri" w:hAnsi="Calibri"/>
        </w:rPr>
      </w:pPr>
      <w:r w:rsidRPr="00957E0D">
        <w:rPr>
          <w:rStyle w:val="FootnoteReference"/>
          <w:rFonts w:ascii="Calibri" w:hAnsi="Calibri"/>
        </w:rPr>
        <w:footnoteRef/>
      </w:r>
      <w:r w:rsidRPr="00957E0D">
        <w:rPr>
          <w:rFonts w:ascii="Calibri" w:hAnsi="Calibri"/>
        </w:rPr>
        <w:t xml:space="preserve"> SCR 1820, PP 9; SCR 1888, PP 9; SCR 1960, PP 12; SCR 2106, PP 9.</w:t>
      </w:r>
    </w:p>
  </w:footnote>
  <w:footnote w:id="72">
    <w:p w14:paraId="33A7AFE1" w14:textId="3EE4EA55" w:rsidR="00D75A79" w:rsidRPr="009139C5" w:rsidRDefault="00D75A79">
      <w:pPr>
        <w:pStyle w:val="FootnoteText"/>
        <w:rPr>
          <w:rFonts w:ascii="Calibri" w:hAnsi="Calibri"/>
        </w:rPr>
      </w:pPr>
      <w:r w:rsidRPr="009139C5">
        <w:rPr>
          <w:rStyle w:val="FootnoteReference"/>
          <w:rFonts w:ascii="Calibri" w:hAnsi="Calibri"/>
        </w:rPr>
        <w:footnoteRef/>
      </w:r>
      <w:r w:rsidRPr="009139C5">
        <w:rPr>
          <w:rFonts w:ascii="Calibri" w:hAnsi="Calibri"/>
        </w:rPr>
        <w:t xml:space="preserve"> SCR 2122, OP 12. </w:t>
      </w:r>
    </w:p>
  </w:footnote>
  <w:footnote w:id="73">
    <w:p w14:paraId="6D3F784B" w14:textId="77777777" w:rsidR="00D75A79" w:rsidRPr="009139C5" w:rsidRDefault="00D75A79" w:rsidP="009139C5">
      <w:pPr>
        <w:pStyle w:val="FootnoteText"/>
        <w:rPr>
          <w:rFonts w:ascii="Calibri" w:hAnsi="Calibri"/>
          <w:sz w:val="18"/>
        </w:rPr>
      </w:pPr>
      <w:r w:rsidRPr="009139C5">
        <w:rPr>
          <w:rStyle w:val="FootnoteReference"/>
          <w:rFonts w:ascii="Calibri" w:hAnsi="Calibri"/>
        </w:rPr>
        <w:footnoteRef/>
      </w:r>
      <w:r w:rsidRPr="009139C5">
        <w:rPr>
          <w:rFonts w:ascii="Calibri" w:hAnsi="Calibri"/>
        </w:rPr>
        <w:t xml:space="preserve"> SCR 1888, OP 1; SCR 1960, OP 1; SCR 2106, OP 1.</w:t>
      </w:r>
    </w:p>
  </w:footnote>
  <w:footnote w:id="74">
    <w:p w14:paraId="2BD55172" w14:textId="0BC179BC" w:rsidR="00D75A79" w:rsidRPr="009139C5" w:rsidRDefault="00D75A79" w:rsidP="003F32C3">
      <w:pPr>
        <w:pStyle w:val="FootnoteText"/>
        <w:rPr>
          <w:rFonts w:ascii="Calibri" w:hAnsi="Calibri"/>
        </w:rPr>
      </w:pPr>
      <w:r w:rsidRPr="009139C5">
        <w:rPr>
          <w:rStyle w:val="FootnoteReference"/>
          <w:rFonts w:ascii="Calibri" w:hAnsi="Calibri"/>
        </w:rPr>
        <w:footnoteRef/>
      </w:r>
      <w:r w:rsidRPr="009139C5">
        <w:rPr>
          <w:rFonts w:ascii="Calibri" w:hAnsi="Calibri"/>
        </w:rPr>
        <w:t xml:space="preserve"> </w:t>
      </w:r>
      <w:r>
        <w:rPr>
          <w:rFonts w:ascii="Calibri" w:hAnsi="Calibri"/>
        </w:rPr>
        <w:t>SCR 1960, OPs 3 and</w:t>
      </w:r>
      <w:r w:rsidRPr="009139C5">
        <w:rPr>
          <w:rFonts w:ascii="Calibri" w:hAnsi="Calibri"/>
        </w:rPr>
        <w:t xml:space="preserve"> 5.</w:t>
      </w:r>
    </w:p>
  </w:footnote>
  <w:footnote w:id="75">
    <w:p w14:paraId="1D8F8E55" w14:textId="77777777" w:rsidR="00D75A79" w:rsidRPr="00F25CEF" w:rsidRDefault="00D75A79" w:rsidP="00957E0D">
      <w:pPr>
        <w:pStyle w:val="FootnoteText"/>
        <w:rPr>
          <w:rFonts w:ascii="Calibri" w:hAnsi="Calibri"/>
        </w:rPr>
      </w:pPr>
      <w:r w:rsidRPr="009139C5">
        <w:rPr>
          <w:rStyle w:val="FootnoteReference"/>
          <w:rFonts w:ascii="Calibri" w:hAnsi="Calibri"/>
        </w:rPr>
        <w:footnoteRef/>
      </w:r>
      <w:r w:rsidRPr="009139C5">
        <w:rPr>
          <w:rFonts w:ascii="Calibri" w:hAnsi="Calibri"/>
        </w:rPr>
        <w:t xml:space="preserve"> SCR 1820, OP 4.</w:t>
      </w:r>
      <w:r w:rsidRPr="00F25CEF">
        <w:rPr>
          <w:rFonts w:ascii="Calibri" w:hAnsi="Calibri"/>
        </w:rPr>
        <w:t xml:space="preserve"> </w:t>
      </w:r>
    </w:p>
  </w:footnote>
  <w:footnote w:id="76">
    <w:p w14:paraId="0029B7BB" w14:textId="2B0D076D" w:rsidR="00D75A79" w:rsidRPr="00361A2D" w:rsidRDefault="00D75A79" w:rsidP="004E5EBC">
      <w:pPr>
        <w:pStyle w:val="FootnoteText"/>
        <w:rPr>
          <w:rFonts w:ascii="Calibri" w:hAnsi="Calibri"/>
        </w:rPr>
      </w:pPr>
      <w:r w:rsidRPr="00361A2D">
        <w:rPr>
          <w:rStyle w:val="FootnoteReference"/>
          <w:rFonts w:ascii="Calibri" w:hAnsi="Calibri"/>
        </w:rPr>
        <w:footnoteRef/>
      </w:r>
      <w:r>
        <w:rPr>
          <w:rFonts w:ascii="Calibri" w:hAnsi="Calibri"/>
        </w:rPr>
        <w:t xml:space="preserve"> CEDAW GR No. 30, paras 26, </w:t>
      </w:r>
      <w:r w:rsidRPr="00361A2D">
        <w:rPr>
          <w:rFonts w:ascii="Calibri" w:hAnsi="Calibri"/>
        </w:rPr>
        <w:t xml:space="preserve">28, 82-3. </w:t>
      </w:r>
      <w:r>
        <w:rPr>
          <w:rFonts w:ascii="Calibri" w:hAnsi="Calibri"/>
        </w:rPr>
        <w:t xml:space="preserve">Note that the SCR 2122 was adopted by the Security Council on the same day as the CEDAW GR No. 30, and as such is not referred to in the GR, but is included in this submission as an important Security Council resolution on women, peace and security. </w:t>
      </w:r>
    </w:p>
  </w:footnote>
  <w:footnote w:id="77">
    <w:p w14:paraId="7BB200DF" w14:textId="4DD327C4" w:rsidR="00D75A79" w:rsidRPr="00361A2D" w:rsidRDefault="00D75A79" w:rsidP="004E5EBC">
      <w:pPr>
        <w:pStyle w:val="FootnoteText"/>
        <w:rPr>
          <w:rFonts w:ascii="Calibri" w:hAnsi="Calibri"/>
        </w:rPr>
      </w:pPr>
      <w:r w:rsidRPr="00361A2D">
        <w:rPr>
          <w:rStyle w:val="FootnoteReference"/>
          <w:rFonts w:ascii="Calibri" w:hAnsi="Calibri"/>
        </w:rPr>
        <w:footnoteRef/>
      </w:r>
      <w:r w:rsidRPr="00361A2D">
        <w:rPr>
          <w:rFonts w:ascii="Calibri" w:hAnsi="Calibri"/>
        </w:rPr>
        <w:t xml:space="preserve"> For a brief overview of the notable features of CEDAW GR No 30, see this analysis by Development Alternatives with Wom</w:t>
      </w:r>
      <w:r>
        <w:rPr>
          <w:rFonts w:ascii="Calibri" w:hAnsi="Calibri"/>
        </w:rPr>
        <w:t>en for a New Era ‘</w:t>
      </w:r>
      <w:r w:rsidRPr="00361A2D">
        <w:rPr>
          <w:rFonts w:ascii="Calibri" w:hAnsi="Calibri"/>
        </w:rPr>
        <w:t>CEDAW GR 30</w:t>
      </w:r>
      <w:r>
        <w:rPr>
          <w:rFonts w:ascii="Calibri" w:hAnsi="Calibri"/>
        </w:rPr>
        <w:t xml:space="preserve"> on Women in Conflict Prevention, Conflict and Post-Conflict Situations’ (2013) available from:</w:t>
      </w:r>
      <w:r w:rsidRPr="00361A2D">
        <w:rPr>
          <w:rFonts w:ascii="Calibri" w:hAnsi="Calibri"/>
        </w:rPr>
        <w:t xml:space="preserve"> http://www.dawnnet.org/feminist-resources/content/cedaw-gr-30-women-conflict-prevention-conflict-and-post-conflict-situations</w:t>
      </w:r>
      <w:r>
        <w:rPr>
          <w:rFonts w:ascii="Calibri" w:hAnsi="Calibri"/>
        </w:rPr>
        <w:t>.</w:t>
      </w:r>
    </w:p>
  </w:footnote>
  <w:footnote w:id="78">
    <w:p w14:paraId="76D87660" w14:textId="6EDB5427" w:rsidR="00D75A79" w:rsidRPr="00361A2D" w:rsidRDefault="00D75A79" w:rsidP="004E5EBC">
      <w:pPr>
        <w:pStyle w:val="FootnoteText"/>
        <w:rPr>
          <w:rFonts w:ascii="Calibri" w:hAnsi="Calibri"/>
        </w:rPr>
      </w:pPr>
      <w:r w:rsidRPr="00361A2D">
        <w:rPr>
          <w:rStyle w:val="FootnoteReference"/>
          <w:rFonts w:ascii="Calibri" w:hAnsi="Calibri"/>
        </w:rPr>
        <w:footnoteRef/>
      </w:r>
      <w:r>
        <w:rPr>
          <w:rFonts w:ascii="Calibri" w:hAnsi="Calibri"/>
        </w:rPr>
        <w:t xml:space="preserve"> </w:t>
      </w:r>
      <w:proofErr w:type="gramStart"/>
      <w:r>
        <w:rPr>
          <w:rFonts w:ascii="Calibri" w:hAnsi="Calibri"/>
        </w:rPr>
        <w:t>CEDAW GR No. 30 section 2 (drawing on Article 9 of CEDAW)</w:t>
      </w:r>
      <w:r w:rsidRPr="00361A2D">
        <w:rPr>
          <w:rFonts w:ascii="Calibri" w:hAnsi="Calibri"/>
        </w:rPr>
        <w:t>.</w:t>
      </w:r>
      <w:proofErr w:type="gramEnd"/>
    </w:p>
  </w:footnote>
  <w:footnote w:id="79">
    <w:p w14:paraId="305D4B29" w14:textId="6F38491C" w:rsidR="00D75A79" w:rsidRPr="00361A2D" w:rsidRDefault="00D75A79" w:rsidP="00985EAF">
      <w:pPr>
        <w:pStyle w:val="FootnoteText"/>
        <w:rPr>
          <w:rFonts w:ascii="Calibri" w:hAnsi="Calibri"/>
        </w:rPr>
      </w:pPr>
      <w:r w:rsidRPr="00361A2D">
        <w:rPr>
          <w:rStyle w:val="FootnoteReference"/>
          <w:rFonts w:ascii="Calibri" w:hAnsi="Calibri"/>
        </w:rPr>
        <w:footnoteRef/>
      </w:r>
      <w:r>
        <w:rPr>
          <w:rFonts w:ascii="Calibri" w:hAnsi="Calibri"/>
        </w:rPr>
        <w:t xml:space="preserve"> CEDAW GR No. 30 section 1 (drawing on Articles 8 and 10 of CEDAW). </w:t>
      </w:r>
    </w:p>
  </w:footnote>
  <w:footnote w:id="80">
    <w:p w14:paraId="2C7C7B91" w14:textId="5D59BB6B" w:rsidR="00D75A79" w:rsidRPr="003976F2" w:rsidRDefault="00D75A79" w:rsidP="002E4178">
      <w:pPr>
        <w:pStyle w:val="FootnoteText"/>
        <w:rPr>
          <w:rFonts w:ascii="Calibri" w:hAnsi="Calibri"/>
        </w:rPr>
      </w:pPr>
      <w:r w:rsidRPr="003976F2">
        <w:rPr>
          <w:rStyle w:val="FootnoteReference"/>
          <w:rFonts w:ascii="Calibri" w:hAnsi="Calibri"/>
        </w:rPr>
        <w:footnoteRef/>
      </w:r>
      <w:r>
        <w:rPr>
          <w:rFonts w:ascii="Calibri" w:hAnsi="Calibri"/>
        </w:rPr>
        <w:t xml:space="preserve"> TCEDAW GR No. 30, Part A, sections 1- 3, paras</w:t>
      </w:r>
      <w:r w:rsidRPr="003976F2">
        <w:rPr>
          <w:rFonts w:ascii="Calibri" w:hAnsi="Calibri"/>
        </w:rPr>
        <w:t xml:space="preserve"> 29-4</w:t>
      </w:r>
      <w:r>
        <w:rPr>
          <w:rFonts w:ascii="Calibri" w:hAnsi="Calibri"/>
        </w:rPr>
        <w:t xml:space="preserve">7 and 53 (which </w:t>
      </w:r>
      <w:proofErr w:type="gramStart"/>
      <w:r>
        <w:rPr>
          <w:rFonts w:ascii="Calibri" w:hAnsi="Calibri"/>
        </w:rPr>
        <w:t>draws</w:t>
      </w:r>
      <w:proofErr w:type="gramEnd"/>
      <w:r>
        <w:rPr>
          <w:rFonts w:ascii="Calibri" w:hAnsi="Calibri"/>
        </w:rPr>
        <w:t xml:space="preserve"> on Articles 1-3, 15).</w:t>
      </w:r>
    </w:p>
  </w:footnote>
  <w:footnote w:id="81">
    <w:p w14:paraId="2E6ABB79" w14:textId="3066BC5E" w:rsidR="00D75A79" w:rsidRPr="003976F2" w:rsidRDefault="00D75A79" w:rsidP="004E5EBC">
      <w:pPr>
        <w:pStyle w:val="FootnoteText"/>
        <w:rPr>
          <w:rFonts w:ascii="Calibri" w:hAnsi="Calibri"/>
        </w:rPr>
      </w:pPr>
      <w:r w:rsidRPr="003976F2">
        <w:rPr>
          <w:rStyle w:val="FootnoteReference"/>
          <w:rFonts w:ascii="Calibri" w:hAnsi="Calibri"/>
        </w:rPr>
        <w:footnoteRef/>
      </w:r>
      <w:r w:rsidRPr="003976F2">
        <w:rPr>
          <w:rFonts w:ascii="Calibri" w:hAnsi="Calibri"/>
        </w:rPr>
        <w:t xml:space="preserve"> The rights of stateless women are mentioned together with refuge</w:t>
      </w:r>
      <w:r>
        <w:rPr>
          <w:rFonts w:ascii="Calibri" w:hAnsi="Calibri"/>
        </w:rPr>
        <w:t>es, asylum seekers and IDPs in para</w:t>
      </w:r>
      <w:r w:rsidRPr="003976F2">
        <w:rPr>
          <w:rFonts w:ascii="Calibri" w:hAnsi="Calibri"/>
        </w:rPr>
        <w:t xml:space="preserve"> 8, but are ad</w:t>
      </w:r>
      <w:r>
        <w:rPr>
          <w:rFonts w:ascii="Calibri" w:hAnsi="Calibri"/>
        </w:rPr>
        <w:t xml:space="preserve">dressed separately in section 6, paras 58-61 of the CEDAW GR No. 30. </w:t>
      </w:r>
    </w:p>
  </w:footnote>
  <w:footnote w:id="82">
    <w:p w14:paraId="4FA6DC2F" w14:textId="6424B25C" w:rsidR="00D75A79" w:rsidRPr="003976F2" w:rsidRDefault="00D75A79" w:rsidP="004E5EBC">
      <w:pPr>
        <w:pStyle w:val="FootnoteText"/>
        <w:rPr>
          <w:rFonts w:ascii="Calibri" w:hAnsi="Calibri"/>
        </w:rPr>
      </w:pPr>
      <w:r w:rsidRPr="003976F2">
        <w:rPr>
          <w:rStyle w:val="FootnoteReference"/>
          <w:rFonts w:ascii="Calibri" w:hAnsi="Calibri"/>
        </w:rPr>
        <w:footnoteRef/>
      </w:r>
      <w:r w:rsidRPr="003976F2">
        <w:rPr>
          <w:rFonts w:ascii="Calibri" w:hAnsi="Calibri"/>
        </w:rPr>
        <w:t xml:space="preserve"> </w:t>
      </w:r>
      <w:proofErr w:type="gramStart"/>
      <w:r>
        <w:rPr>
          <w:rFonts w:ascii="Calibri" w:hAnsi="Calibri"/>
        </w:rPr>
        <w:t>CEDAW GR No. 30, para 42.</w:t>
      </w:r>
      <w:proofErr w:type="gramEnd"/>
      <w:r>
        <w:rPr>
          <w:rFonts w:ascii="Calibri" w:hAnsi="Calibri"/>
        </w:rPr>
        <w:t xml:space="preserve"> </w:t>
      </w:r>
      <w:r w:rsidRPr="003976F2">
        <w:rPr>
          <w:rFonts w:ascii="Calibri" w:hAnsi="Calibri"/>
        </w:rPr>
        <w:t xml:space="preserve"> </w:t>
      </w:r>
    </w:p>
  </w:footnote>
  <w:footnote w:id="83">
    <w:p w14:paraId="4F59DF00" w14:textId="119033EC" w:rsidR="00D75A79" w:rsidRPr="003976F2" w:rsidRDefault="00D75A79" w:rsidP="004E5EBC">
      <w:pPr>
        <w:pStyle w:val="FootnoteText"/>
        <w:rPr>
          <w:rFonts w:ascii="Calibri" w:hAnsi="Calibri"/>
        </w:rPr>
      </w:pPr>
      <w:r w:rsidRPr="003976F2">
        <w:rPr>
          <w:rStyle w:val="FootnoteReference"/>
          <w:rFonts w:ascii="Calibri" w:hAnsi="Calibri"/>
        </w:rPr>
        <w:footnoteRef/>
      </w:r>
      <w:r>
        <w:rPr>
          <w:rFonts w:ascii="Calibri" w:hAnsi="Calibri"/>
        </w:rPr>
        <w:t xml:space="preserve"> </w:t>
      </w:r>
      <w:proofErr w:type="gramStart"/>
      <w:r>
        <w:rPr>
          <w:rFonts w:ascii="Calibri" w:hAnsi="Calibri"/>
        </w:rPr>
        <w:t>CEDAW GR No. 30, section 5, paras 55-7 and section 9, para 73</w:t>
      </w:r>
      <w:r w:rsidRPr="003976F2">
        <w:rPr>
          <w:rFonts w:ascii="Calibri" w:hAnsi="Calibri"/>
        </w:rPr>
        <w:t>.</w:t>
      </w:r>
      <w:proofErr w:type="gramEnd"/>
    </w:p>
  </w:footnote>
  <w:footnote w:id="84">
    <w:p w14:paraId="45CCDA5E" w14:textId="35C9961A" w:rsidR="00D75A79" w:rsidRPr="003976F2" w:rsidRDefault="00D75A79" w:rsidP="004E5EBC">
      <w:pPr>
        <w:pStyle w:val="FootnoteText"/>
        <w:rPr>
          <w:rFonts w:ascii="Calibri" w:hAnsi="Calibri"/>
        </w:rPr>
      </w:pPr>
      <w:r w:rsidRPr="003976F2">
        <w:rPr>
          <w:rStyle w:val="FootnoteReference"/>
          <w:rFonts w:ascii="Calibri" w:hAnsi="Calibri"/>
        </w:rPr>
        <w:footnoteRef/>
      </w:r>
      <w:r w:rsidRPr="003976F2">
        <w:rPr>
          <w:rFonts w:ascii="Calibri" w:hAnsi="Calibri"/>
        </w:rPr>
        <w:t xml:space="preserve"> </w:t>
      </w:r>
      <w:r>
        <w:rPr>
          <w:rFonts w:ascii="Calibri" w:hAnsi="Calibri"/>
        </w:rPr>
        <w:t xml:space="preserve">See CEDAW GR No. 30 para 37. </w:t>
      </w:r>
      <w:r w:rsidRPr="003976F2">
        <w:rPr>
          <w:rFonts w:ascii="Calibri" w:hAnsi="Calibri"/>
        </w:rPr>
        <w:t xml:space="preserve">As noted above, SCR 2106 (2013) expands on the discussion of HIV/AIDS in SCR 1325.  </w:t>
      </w:r>
    </w:p>
  </w:footnote>
  <w:footnote w:id="85">
    <w:p w14:paraId="3E14C83A" w14:textId="7DB77755" w:rsidR="00D75A79" w:rsidRPr="00361A2D" w:rsidRDefault="00D75A79" w:rsidP="00C30715">
      <w:pPr>
        <w:pStyle w:val="FootnoteText"/>
        <w:rPr>
          <w:rFonts w:ascii="Calibri" w:hAnsi="Calibri"/>
        </w:rPr>
      </w:pPr>
      <w:r w:rsidRPr="003976F2">
        <w:rPr>
          <w:rStyle w:val="FootnoteReference"/>
          <w:rFonts w:ascii="Calibri" w:hAnsi="Calibri"/>
        </w:rPr>
        <w:footnoteRef/>
      </w:r>
      <w:r w:rsidRPr="003976F2">
        <w:rPr>
          <w:rFonts w:ascii="Calibri" w:hAnsi="Calibri"/>
        </w:rPr>
        <w:t xml:space="preserve"> </w:t>
      </w:r>
      <w:proofErr w:type="gramStart"/>
      <w:r>
        <w:rPr>
          <w:rFonts w:ascii="Calibri" w:hAnsi="Calibri"/>
        </w:rPr>
        <w:t xml:space="preserve">CEDAW </w:t>
      </w:r>
      <w:r w:rsidRPr="003976F2">
        <w:rPr>
          <w:rFonts w:ascii="Calibri" w:hAnsi="Calibri"/>
        </w:rPr>
        <w:t>GR No</w:t>
      </w:r>
      <w:r>
        <w:rPr>
          <w:rFonts w:ascii="Calibri" w:hAnsi="Calibri"/>
        </w:rPr>
        <w:t>.</w:t>
      </w:r>
      <w:r w:rsidRPr="003976F2">
        <w:rPr>
          <w:rFonts w:ascii="Calibri" w:hAnsi="Calibri"/>
        </w:rPr>
        <w:t xml:space="preserve"> 30, </w:t>
      </w:r>
      <w:r>
        <w:rPr>
          <w:rFonts w:ascii="Calibri" w:hAnsi="Calibri"/>
        </w:rPr>
        <w:t>paras 38 (f)-(h), 52 (c)-(e), 64-65.</w:t>
      </w:r>
      <w:proofErr w:type="gramEnd"/>
    </w:p>
  </w:footnote>
  <w:footnote w:id="86">
    <w:p w14:paraId="201C23C9" w14:textId="0269F430" w:rsidR="00D75A79" w:rsidRPr="00361A2D" w:rsidRDefault="00D75A79" w:rsidP="009E3E6A">
      <w:pPr>
        <w:pStyle w:val="FootnoteText"/>
        <w:rPr>
          <w:rFonts w:ascii="Calibri" w:hAnsi="Calibri"/>
        </w:rPr>
      </w:pPr>
      <w:r w:rsidRPr="00361A2D">
        <w:rPr>
          <w:rStyle w:val="FootnoteReference"/>
          <w:rFonts w:ascii="Calibri" w:hAnsi="Calibri"/>
        </w:rPr>
        <w:footnoteRef/>
      </w:r>
      <w:r w:rsidRPr="00361A2D">
        <w:rPr>
          <w:rFonts w:ascii="Calibri" w:hAnsi="Calibri"/>
        </w:rPr>
        <w:t xml:space="preserve"> </w:t>
      </w:r>
      <w:proofErr w:type="gramStart"/>
      <w:r>
        <w:rPr>
          <w:rFonts w:ascii="Calibri" w:hAnsi="Calibri"/>
        </w:rPr>
        <w:t>CEDAW GR No. 30, para 80 (a) and (b) (d) (e) (f) (g) (h) (i) (j) (k) (l).</w:t>
      </w:r>
      <w:proofErr w:type="gramEnd"/>
      <w:r>
        <w:rPr>
          <w:rFonts w:ascii="Calibri" w:hAnsi="Calibri"/>
        </w:rPr>
        <w:t xml:space="preserve"> </w:t>
      </w:r>
    </w:p>
  </w:footnote>
  <w:footnote w:id="87">
    <w:p w14:paraId="5D13580C" w14:textId="6F737D45" w:rsidR="00D75A79" w:rsidRPr="00361A2D" w:rsidRDefault="00D75A79" w:rsidP="004E5EBC">
      <w:pPr>
        <w:pStyle w:val="FootnoteText"/>
        <w:rPr>
          <w:rFonts w:ascii="Calibri" w:hAnsi="Calibri"/>
        </w:rPr>
      </w:pPr>
      <w:r w:rsidRPr="00361A2D">
        <w:rPr>
          <w:rStyle w:val="FootnoteReference"/>
          <w:rFonts w:ascii="Calibri" w:hAnsi="Calibri"/>
        </w:rPr>
        <w:footnoteRef/>
      </w:r>
      <w:r w:rsidRPr="00361A2D">
        <w:rPr>
          <w:rFonts w:ascii="Calibri" w:hAnsi="Calibri"/>
        </w:rPr>
        <w:t xml:space="preserve"> </w:t>
      </w:r>
      <w:r>
        <w:rPr>
          <w:rFonts w:ascii="Calibri" w:hAnsi="Calibri"/>
        </w:rPr>
        <w:t>SCR 1889 also refers to women’s access to land and property, albeit in less detail than the CEDAW GR No. 30.</w:t>
      </w:r>
    </w:p>
  </w:footnote>
  <w:footnote w:id="88">
    <w:p w14:paraId="4A25AC49" w14:textId="253502C1" w:rsidR="00D75A79" w:rsidRPr="00361A2D" w:rsidRDefault="00D75A79" w:rsidP="004E5EBC">
      <w:pPr>
        <w:pStyle w:val="FootnoteText"/>
        <w:rPr>
          <w:rFonts w:ascii="Calibri" w:hAnsi="Calibri"/>
        </w:rPr>
      </w:pPr>
      <w:r w:rsidRPr="00361A2D">
        <w:rPr>
          <w:rStyle w:val="FootnoteReference"/>
          <w:rFonts w:ascii="Calibri" w:hAnsi="Calibri"/>
        </w:rPr>
        <w:footnoteRef/>
      </w:r>
      <w:r>
        <w:rPr>
          <w:rFonts w:ascii="Calibri" w:hAnsi="Calibri"/>
        </w:rPr>
        <w:t xml:space="preserve"> CEDAW </w:t>
      </w:r>
      <w:r w:rsidRPr="00361A2D">
        <w:rPr>
          <w:rFonts w:ascii="Calibri" w:hAnsi="Calibri"/>
        </w:rPr>
        <w:t>GR No</w:t>
      </w:r>
      <w:r>
        <w:rPr>
          <w:rFonts w:ascii="Calibri" w:hAnsi="Calibri"/>
        </w:rPr>
        <w:t>.</w:t>
      </w:r>
      <w:r w:rsidRPr="00361A2D">
        <w:rPr>
          <w:rFonts w:ascii="Calibri" w:hAnsi="Calibri"/>
        </w:rPr>
        <w:t xml:space="preserve"> 30, </w:t>
      </w:r>
      <w:r>
        <w:rPr>
          <w:rFonts w:ascii="Calibri" w:hAnsi="Calibri"/>
        </w:rPr>
        <w:t>paras</w:t>
      </w:r>
      <w:r w:rsidRPr="00361A2D">
        <w:rPr>
          <w:rFonts w:ascii="Calibri" w:hAnsi="Calibri"/>
        </w:rPr>
        <w:t xml:space="preserve"> </w:t>
      </w:r>
      <w:r>
        <w:rPr>
          <w:rFonts w:ascii="Calibri" w:hAnsi="Calibri"/>
        </w:rPr>
        <w:t xml:space="preserve">48-50, </w:t>
      </w:r>
      <w:r w:rsidRPr="00361A2D">
        <w:rPr>
          <w:rFonts w:ascii="Calibri" w:hAnsi="Calibri"/>
        </w:rPr>
        <w:t xml:space="preserve">62-65. </w:t>
      </w:r>
    </w:p>
  </w:footnote>
  <w:footnote w:id="89">
    <w:p w14:paraId="472000A1" w14:textId="35982C45" w:rsidR="00D75A79" w:rsidRPr="00361A2D" w:rsidRDefault="00D75A79" w:rsidP="004E5EBC">
      <w:pPr>
        <w:widowControl w:val="0"/>
        <w:autoSpaceDE w:val="0"/>
        <w:autoSpaceDN w:val="0"/>
        <w:adjustRightInd w:val="0"/>
        <w:jc w:val="both"/>
        <w:rPr>
          <w:rFonts w:ascii="Calibri" w:hAnsi="Calibri" w:cs="Times New Roman"/>
          <w:sz w:val="20"/>
          <w:szCs w:val="20"/>
        </w:rPr>
      </w:pPr>
      <w:r w:rsidRPr="00361A2D">
        <w:rPr>
          <w:rStyle w:val="FootnoteReference"/>
          <w:rFonts w:ascii="Calibri" w:hAnsi="Calibri" w:cs="Times New Roman"/>
          <w:sz w:val="20"/>
          <w:szCs w:val="20"/>
        </w:rPr>
        <w:footnoteRef/>
      </w:r>
      <w:r w:rsidRPr="00361A2D">
        <w:rPr>
          <w:rFonts w:ascii="Calibri" w:hAnsi="Calibri" w:cs="Times New Roman"/>
          <w:sz w:val="20"/>
          <w:szCs w:val="20"/>
        </w:rPr>
        <w:t xml:space="preserve"> United Nations, </w:t>
      </w:r>
      <w:r w:rsidRPr="00361A2D">
        <w:rPr>
          <w:rFonts w:ascii="Calibri" w:hAnsi="Calibri" w:cs="Times New Roman"/>
          <w:i/>
          <w:iCs/>
          <w:sz w:val="20"/>
          <w:szCs w:val="20"/>
        </w:rPr>
        <w:t>Beijing Declaration and Platform of Action, adopted at the Fourth World Conference on Women</w:t>
      </w:r>
      <w:r w:rsidRPr="00361A2D">
        <w:rPr>
          <w:rFonts w:ascii="Calibri" w:hAnsi="Calibri" w:cs="Times New Roman"/>
          <w:sz w:val="20"/>
          <w:szCs w:val="20"/>
        </w:rPr>
        <w:t>, 27 October 1995. [</w:t>
      </w:r>
      <w:r w:rsidRPr="00361A2D">
        <w:rPr>
          <w:rFonts w:ascii="Calibri" w:hAnsi="Calibri" w:cs="Times New Roman"/>
          <w:i/>
          <w:sz w:val="20"/>
          <w:szCs w:val="20"/>
        </w:rPr>
        <w:t>Beijing Platform</w:t>
      </w:r>
      <w:r w:rsidRPr="00361A2D">
        <w:rPr>
          <w:rFonts w:ascii="Calibri" w:hAnsi="Calibri" w:cs="Times New Roman"/>
          <w:sz w:val="20"/>
          <w:szCs w:val="20"/>
        </w:rPr>
        <w:t>]</w:t>
      </w:r>
      <w:r>
        <w:rPr>
          <w:rFonts w:ascii="Calibri" w:hAnsi="Calibri" w:cs="Times New Roman"/>
          <w:sz w:val="20"/>
          <w:szCs w:val="20"/>
        </w:rPr>
        <w:t>.</w:t>
      </w:r>
    </w:p>
  </w:footnote>
  <w:footnote w:id="90">
    <w:p w14:paraId="31C50844" w14:textId="3510A446" w:rsidR="00D75A79" w:rsidRPr="00B71273" w:rsidRDefault="00D75A79" w:rsidP="004E5EBC">
      <w:pPr>
        <w:pStyle w:val="FootnoteText"/>
        <w:rPr>
          <w:rFonts w:ascii="Calibri" w:hAnsi="Calibri"/>
        </w:rPr>
      </w:pPr>
      <w:r w:rsidRPr="00361A2D">
        <w:rPr>
          <w:rStyle w:val="FootnoteReference"/>
          <w:rFonts w:ascii="Calibri" w:hAnsi="Calibri"/>
        </w:rPr>
        <w:footnoteRef/>
      </w:r>
      <w:r>
        <w:rPr>
          <w:rFonts w:ascii="Calibri" w:hAnsi="Calibri"/>
        </w:rPr>
        <w:t xml:space="preserve"> See </w:t>
      </w:r>
      <w:r w:rsidRPr="00361A2D">
        <w:rPr>
          <w:rFonts w:ascii="Calibri" w:hAnsi="Calibri"/>
        </w:rPr>
        <w:t xml:space="preserve">SCR 1325, </w:t>
      </w:r>
      <w:r>
        <w:rPr>
          <w:rFonts w:ascii="Calibri" w:hAnsi="Calibri"/>
        </w:rPr>
        <w:t>OPs 3-</w:t>
      </w:r>
      <w:r w:rsidRPr="00361A2D">
        <w:rPr>
          <w:rFonts w:ascii="Calibri" w:hAnsi="Calibri"/>
        </w:rPr>
        <w:t>6.</w:t>
      </w:r>
    </w:p>
  </w:footnote>
  <w:footnote w:id="91">
    <w:p w14:paraId="6EDAE221" w14:textId="611D92DD" w:rsidR="00D75A79" w:rsidRPr="00071BFC" w:rsidRDefault="00D75A79" w:rsidP="004E5EBC">
      <w:pPr>
        <w:pStyle w:val="FootnoteText"/>
        <w:rPr>
          <w:rFonts w:ascii="Calibri" w:hAnsi="Calibri"/>
        </w:rPr>
      </w:pPr>
      <w:r w:rsidRPr="00071BFC">
        <w:rPr>
          <w:rStyle w:val="FootnoteReference"/>
          <w:rFonts w:ascii="Calibri" w:hAnsi="Calibri"/>
        </w:rPr>
        <w:footnoteRef/>
      </w:r>
      <w:r w:rsidRPr="00071BFC">
        <w:rPr>
          <w:rFonts w:ascii="Calibri" w:hAnsi="Calibri"/>
        </w:rPr>
        <w:t xml:space="preserve"> See </w:t>
      </w:r>
      <w:r w:rsidRPr="00071BFC">
        <w:rPr>
          <w:rFonts w:ascii="Calibri" w:hAnsi="Calibri"/>
          <w:i/>
        </w:rPr>
        <w:t>Beijing Platform</w:t>
      </w:r>
      <w:r w:rsidRPr="00071BFC">
        <w:rPr>
          <w:rFonts w:ascii="Calibri" w:hAnsi="Calibri"/>
        </w:rPr>
        <w:t xml:space="preserve">, Strategic Objective E.1, and SCR 1325, OP 1. </w:t>
      </w:r>
    </w:p>
  </w:footnote>
  <w:footnote w:id="92">
    <w:p w14:paraId="5E220C7D" w14:textId="5076B8B8" w:rsidR="00D75A79" w:rsidRPr="00071BFC" w:rsidRDefault="00D75A79" w:rsidP="004E5EBC">
      <w:pPr>
        <w:pStyle w:val="FootnoteText"/>
        <w:rPr>
          <w:rFonts w:ascii="Calibri" w:hAnsi="Calibri"/>
        </w:rPr>
      </w:pPr>
      <w:r w:rsidRPr="00071BFC">
        <w:rPr>
          <w:rStyle w:val="FootnoteReference"/>
          <w:rFonts w:ascii="Calibri" w:hAnsi="Calibri"/>
        </w:rPr>
        <w:footnoteRef/>
      </w:r>
      <w:r w:rsidRPr="00071BFC">
        <w:rPr>
          <w:rFonts w:ascii="Calibri" w:hAnsi="Calibri"/>
        </w:rPr>
        <w:t xml:space="preserve"> See </w:t>
      </w:r>
      <w:r w:rsidRPr="00071BFC">
        <w:rPr>
          <w:rFonts w:ascii="Calibri" w:hAnsi="Calibri"/>
          <w:i/>
        </w:rPr>
        <w:t>Beijing Platform</w:t>
      </w:r>
      <w:r w:rsidRPr="00071BFC">
        <w:rPr>
          <w:rFonts w:ascii="Calibri" w:hAnsi="Calibri"/>
        </w:rPr>
        <w:t xml:space="preserve">, Strategic Objective E.1. [on the participation of women in conflict-resolution at decision-making levels], and E4 [on women’s contribution to fostering a culture of peace]; and SCR 1325, OPs 6 [on involving women in all peacekeeping and peace-building measures], and 8(b) [on involving women in the implementation mechanisms of peace agreements]. </w:t>
      </w:r>
    </w:p>
  </w:footnote>
  <w:footnote w:id="93">
    <w:p w14:paraId="5B460507" w14:textId="19A0DB9A" w:rsidR="00D75A79" w:rsidRPr="00071BFC" w:rsidRDefault="00D75A79" w:rsidP="004E5EBC">
      <w:pPr>
        <w:pStyle w:val="FootnoteText"/>
        <w:rPr>
          <w:rFonts w:ascii="Calibri" w:hAnsi="Calibri"/>
        </w:rPr>
      </w:pPr>
      <w:r w:rsidRPr="00071BFC">
        <w:rPr>
          <w:rStyle w:val="FootnoteReference"/>
          <w:rFonts w:ascii="Calibri" w:hAnsi="Calibri"/>
        </w:rPr>
        <w:footnoteRef/>
      </w:r>
      <w:r w:rsidRPr="00071BFC">
        <w:rPr>
          <w:rFonts w:ascii="Calibri" w:hAnsi="Calibri"/>
        </w:rPr>
        <w:t xml:space="preserve"> See </w:t>
      </w:r>
      <w:r w:rsidRPr="00071BFC">
        <w:rPr>
          <w:rFonts w:ascii="Calibri" w:hAnsi="Calibri"/>
          <w:i/>
        </w:rPr>
        <w:t>Beijing Platform</w:t>
      </w:r>
      <w:r w:rsidRPr="00071BFC">
        <w:rPr>
          <w:rFonts w:ascii="Calibri" w:hAnsi="Calibri"/>
        </w:rPr>
        <w:t>, Strategic Objectives E.1. [on the protection of women living in armed conflict or under foreign occupation], and E5 [on the protection of r</w:t>
      </w:r>
      <w:r>
        <w:rPr>
          <w:rFonts w:ascii="Calibri" w:hAnsi="Calibri"/>
        </w:rPr>
        <w:t>efugee women]; and SCR 1325, OP</w:t>
      </w:r>
      <w:r w:rsidRPr="00071BFC">
        <w:rPr>
          <w:rFonts w:ascii="Calibri" w:hAnsi="Calibri"/>
        </w:rPr>
        <w:t xml:space="preserve"> 9 [on respecting the international law applicable to the rights and protection of women and girls], and 10 [on protection from gender-based violence].</w:t>
      </w:r>
    </w:p>
  </w:footnote>
  <w:footnote w:id="94">
    <w:p w14:paraId="283BD3C8" w14:textId="6AA74124" w:rsidR="00D75A79" w:rsidRPr="00071BFC" w:rsidRDefault="00D75A79" w:rsidP="004E5EBC">
      <w:pPr>
        <w:pStyle w:val="FootnoteText"/>
        <w:rPr>
          <w:rFonts w:ascii="Calibri" w:hAnsi="Calibri"/>
        </w:rPr>
      </w:pPr>
      <w:r w:rsidRPr="00071BFC">
        <w:rPr>
          <w:rStyle w:val="FootnoteReference"/>
          <w:rFonts w:ascii="Calibri" w:hAnsi="Calibri"/>
        </w:rPr>
        <w:footnoteRef/>
      </w:r>
      <w:r w:rsidRPr="00071BFC">
        <w:rPr>
          <w:rFonts w:ascii="Calibri" w:hAnsi="Calibri"/>
        </w:rPr>
        <w:t xml:space="preserve"> See </w:t>
      </w:r>
      <w:r w:rsidRPr="00071BFC">
        <w:rPr>
          <w:rFonts w:ascii="Calibri" w:hAnsi="Calibri"/>
          <w:i/>
        </w:rPr>
        <w:t>Beijing Platform</w:t>
      </w:r>
      <w:r w:rsidRPr="00071BFC">
        <w:rPr>
          <w:rFonts w:ascii="Calibri" w:hAnsi="Calibri"/>
        </w:rPr>
        <w:t>, Strategic Objective E.5. [on the protection, assistance and training of refugee women], and</w:t>
      </w:r>
      <w:r>
        <w:rPr>
          <w:rFonts w:ascii="Calibri" w:hAnsi="Calibri"/>
        </w:rPr>
        <w:t xml:space="preserve"> </w:t>
      </w:r>
      <w:r w:rsidRPr="00071BFC">
        <w:rPr>
          <w:rFonts w:ascii="Calibri" w:hAnsi="Calibri"/>
        </w:rPr>
        <w:t xml:space="preserve">SCR 1325, OP 12 [on taking into account the particular needs of women and girls in refugee camps]. </w:t>
      </w:r>
    </w:p>
  </w:footnote>
  <w:footnote w:id="95">
    <w:p w14:paraId="1A386B43" w14:textId="77777777" w:rsidR="00D75A79" w:rsidRPr="00071BFC" w:rsidRDefault="00D75A79" w:rsidP="004E5EBC">
      <w:pPr>
        <w:pStyle w:val="FootnoteText"/>
        <w:rPr>
          <w:rFonts w:ascii="Calibri" w:hAnsi="Calibri"/>
        </w:rPr>
      </w:pPr>
      <w:r w:rsidRPr="00071BFC">
        <w:rPr>
          <w:rStyle w:val="FootnoteReference"/>
          <w:rFonts w:ascii="Calibri" w:hAnsi="Calibri"/>
        </w:rPr>
        <w:footnoteRef/>
      </w:r>
      <w:r w:rsidRPr="00071BFC">
        <w:rPr>
          <w:rFonts w:ascii="Calibri" w:hAnsi="Calibri"/>
        </w:rPr>
        <w:t xml:space="preserve"> </w:t>
      </w:r>
      <w:r w:rsidRPr="00071BFC">
        <w:rPr>
          <w:rFonts w:ascii="Calibri" w:hAnsi="Calibri"/>
          <w:i/>
        </w:rPr>
        <w:t>Beijing Platform</w:t>
      </w:r>
      <w:r w:rsidRPr="00071BFC">
        <w:rPr>
          <w:rFonts w:ascii="Calibri" w:hAnsi="Calibri"/>
        </w:rPr>
        <w:t xml:space="preserve">, Strategic Objective E.2. </w:t>
      </w:r>
    </w:p>
  </w:footnote>
  <w:footnote w:id="96">
    <w:p w14:paraId="0177A762" w14:textId="7632E751" w:rsidR="00D75A79" w:rsidRPr="00071BFC" w:rsidRDefault="00D75A79" w:rsidP="004E5EBC">
      <w:pPr>
        <w:pStyle w:val="FootnoteText"/>
        <w:rPr>
          <w:rFonts w:ascii="Calibri" w:hAnsi="Calibri"/>
        </w:rPr>
      </w:pPr>
      <w:r w:rsidRPr="00071BFC">
        <w:rPr>
          <w:rStyle w:val="FootnoteReference"/>
          <w:rFonts w:ascii="Calibri" w:hAnsi="Calibri"/>
        </w:rPr>
        <w:footnoteRef/>
      </w:r>
      <w:r w:rsidRPr="00071BFC">
        <w:rPr>
          <w:rFonts w:ascii="Calibri" w:hAnsi="Calibri"/>
        </w:rPr>
        <w:t xml:space="preserve"> SCR 1325, OPs 5, 10 and 13.</w:t>
      </w:r>
    </w:p>
  </w:footnote>
  <w:footnote w:id="97">
    <w:p w14:paraId="2D51CBBD" w14:textId="07344089" w:rsidR="00D75A79" w:rsidRPr="00071BFC" w:rsidRDefault="00D75A79" w:rsidP="004E5EBC">
      <w:pPr>
        <w:pStyle w:val="FootnoteText"/>
        <w:rPr>
          <w:rFonts w:ascii="Calibri" w:hAnsi="Calibri"/>
        </w:rPr>
      </w:pPr>
      <w:r w:rsidRPr="00071BFC">
        <w:rPr>
          <w:rStyle w:val="FootnoteReference"/>
          <w:rFonts w:ascii="Calibri" w:hAnsi="Calibri"/>
        </w:rPr>
        <w:footnoteRef/>
      </w:r>
      <w:r w:rsidRPr="00071BFC">
        <w:rPr>
          <w:rFonts w:ascii="Calibri" w:hAnsi="Calibri"/>
        </w:rPr>
        <w:t xml:space="preserve"> </w:t>
      </w:r>
      <w:r w:rsidRPr="00071BFC">
        <w:rPr>
          <w:rFonts w:ascii="Calibri" w:hAnsi="Calibri"/>
          <w:i/>
        </w:rPr>
        <w:t>Beijing Platform</w:t>
      </w:r>
      <w:r w:rsidRPr="00071BFC">
        <w:rPr>
          <w:rFonts w:ascii="Calibri" w:hAnsi="Calibri"/>
        </w:rPr>
        <w:t xml:space="preserve">, OP 113. </w:t>
      </w:r>
    </w:p>
  </w:footnote>
  <w:footnote w:id="98">
    <w:p w14:paraId="3601D792" w14:textId="77777777" w:rsidR="00D75A79" w:rsidRPr="00071BFC" w:rsidRDefault="00D75A79" w:rsidP="004E5EBC">
      <w:pPr>
        <w:pStyle w:val="FootnoteText"/>
        <w:rPr>
          <w:rFonts w:ascii="Calibri" w:hAnsi="Calibri"/>
        </w:rPr>
      </w:pPr>
      <w:r w:rsidRPr="00071BFC">
        <w:rPr>
          <w:rStyle w:val="FootnoteReference"/>
          <w:rFonts w:ascii="Calibri" w:hAnsi="Calibri"/>
        </w:rPr>
        <w:footnoteRef/>
      </w:r>
      <w:r w:rsidRPr="00071BFC">
        <w:rPr>
          <w:rFonts w:ascii="Calibri" w:hAnsi="Calibri"/>
        </w:rPr>
        <w:t xml:space="preserve"> </w:t>
      </w:r>
      <w:r w:rsidRPr="00071BFC">
        <w:rPr>
          <w:rFonts w:ascii="Calibri" w:hAnsi="Calibri"/>
          <w:i/>
        </w:rPr>
        <w:t>Beijing Platform</w:t>
      </w:r>
      <w:r w:rsidRPr="00071BFC">
        <w:rPr>
          <w:rFonts w:ascii="Calibri" w:hAnsi="Calibri"/>
        </w:rPr>
        <w:t>, Strategic Objective D1.</w:t>
      </w:r>
    </w:p>
  </w:footnote>
  <w:footnote w:id="99">
    <w:p w14:paraId="7FB7C192" w14:textId="77777777" w:rsidR="00D75A79" w:rsidRPr="00071BFC" w:rsidRDefault="00D75A79" w:rsidP="004E5EBC">
      <w:pPr>
        <w:pStyle w:val="FootnoteText"/>
        <w:rPr>
          <w:rFonts w:ascii="Calibri" w:hAnsi="Calibri"/>
        </w:rPr>
      </w:pPr>
      <w:r w:rsidRPr="00071BFC">
        <w:rPr>
          <w:rStyle w:val="FootnoteReference"/>
          <w:rFonts w:ascii="Calibri" w:hAnsi="Calibri"/>
        </w:rPr>
        <w:footnoteRef/>
      </w:r>
      <w:r w:rsidRPr="00071BFC">
        <w:rPr>
          <w:rFonts w:ascii="Calibri" w:hAnsi="Calibri"/>
        </w:rPr>
        <w:t xml:space="preserve"> </w:t>
      </w:r>
      <w:r w:rsidRPr="00071BFC">
        <w:rPr>
          <w:rFonts w:ascii="Calibri" w:hAnsi="Calibri"/>
          <w:i/>
        </w:rPr>
        <w:t>Beijing Platform</w:t>
      </w:r>
      <w:r w:rsidRPr="00071BFC">
        <w:rPr>
          <w:rFonts w:ascii="Calibri" w:hAnsi="Calibri"/>
        </w:rPr>
        <w:t>, Strategic Objective D2.</w:t>
      </w:r>
    </w:p>
  </w:footnote>
  <w:footnote w:id="100">
    <w:p w14:paraId="4789ED75" w14:textId="77777777" w:rsidR="00D75A79" w:rsidRPr="00071BFC" w:rsidRDefault="00D75A79" w:rsidP="004E5EBC">
      <w:pPr>
        <w:pStyle w:val="FootnoteText"/>
        <w:rPr>
          <w:rFonts w:ascii="Calibri" w:hAnsi="Calibri"/>
        </w:rPr>
      </w:pPr>
      <w:r w:rsidRPr="00071BFC">
        <w:rPr>
          <w:rStyle w:val="FootnoteReference"/>
          <w:rFonts w:ascii="Calibri" w:hAnsi="Calibri"/>
        </w:rPr>
        <w:footnoteRef/>
      </w:r>
      <w:r w:rsidRPr="00071BFC">
        <w:rPr>
          <w:rFonts w:ascii="Calibri" w:hAnsi="Calibri"/>
        </w:rPr>
        <w:t xml:space="preserve"> </w:t>
      </w:r>
      <w:r w:rsidRPr="00071BFC">
        <w:rPr>
          <w:rFonts w:ascii="Calibri" w:hAnsi="Calibri"/>
          <w:i/>
        </w:rPr>
        <w:t>Beijing Platform</w:t>
      </w:r>
      <w:r w:rsidRPr="00071BFC">
        <w:rPr>
          <w:rFonts w:ascii="Calibri" w:hAnsi="Calibri"/>
        </w:rPr>
        <w:t>, Strategic Objective D3.</w:t>
      </w:r>
    </w:p>
  </w:footnote>
  <w:footnote w:id="101">
    <w:p w14:paraId="104979F8" w14:textId="14DE35C6" w:rsidR="00D75A79" w:rsidRPr="00071BFC" w:rsidRDefault="00D75A79">
      <w:pPr>
        <w:pStyle w:val="FootnoteText"/>
        <w:rPr>
          <w:rFonts w:ascii="Calibri" w:hAnsi="Calibri"/>
        </w:rPr>
      </w:pPr>
      <w:r w:rsidRPr="00071BFC">
        <w:rPr>
          <w:rStyle w:val="FootnoteReference"/>
          <w:rFonts w:ascii="Calibri" w:hAnsi="Calibri"/>
        </w:rPr>
        <w:footnoteRef/>
      </w:r>
      <w:r w:rsidRPr="00071BFC">
        <w:rPr>
          <w:rFonts w:ascii="Calibri" w:hAnsi="Calibri"/>
        </w:rPr>
        <w:t xml:space="preserve"> </w:t>
      </w:r>
      <w:r>
        <w:rPr>
          <w:rFonts w:ascii="Calibri" w:hAnsi="Calibri" w:cs="Times New Roman"/>
        </w:rPr>
        <w:t>UN General Assembly</w:t>
      </w:r>
      <w:r w:rsidRPr="00071BFC">
        <w:rPr>
          <w:rFonts w:ascii="Calibri" w:hAnsi="Calibri" w:cs="Times New Roman"/>
        </w:rPr>
        <w:t xml:space="preserve">, </w:t>
      </w:r>
      <w:r w:rsidRPr="00071BFC">
        <w:rPr>
          <w:rFonts w:ascii="Calibri" w:hAnsi="Calibri" w:cs="Times New Roman"/>
          <w:i/>
        </w:rPr>
        <w:t>Further actions and initiatives to implement the Beijing Declaration and Platform for Action</w:t>
      </w:r>
      <w:r w:rsidRPr="00071BFC">
        <w:rPr>
          <w:rFonts w:ascii="Calibri" w:hAnsi="Calibri" w:cs="Times New Roman"/>
        </w:rPr>
        <w:t>, 16 November 2000, A/RES</w:t>
      </w:r>
      <w:r>
        <w:rPr>
          <w:rFonts w:ascii="Calibri" w:hAnsi="Calibri" w:cs="Times New Roman"/>
        </w:rPr>
        <w:t>/S-23-3 (UNGA Outcome Document).</w:t>
      </w:r>
    </w:p>
  </w:footnote>
  <w:footnote w:id="102">
    <w:p w14:paraId="227E2951" w14:textId="77777777" w:rsidR="00D75A79" w:rsidRPr="00071BFC" w:rsidRDefault="00D75A79" w:rsidP="00865EA7">
      <w:pPr>
        <w:pStyle w:val="FootnoteText"/>
        <w:rPr>
          <w:rFonts w:ascii="Calibri" w:hAnsi="Calibri"/>
        </w:rPr>
      </w:pPr>
      <w:r w:rsidRPr="00071BFC">
        <w:rPr>
          <w:rStyle w:val="FootnoteReference"/>
          <w:rFonts w:ascii="Calibri" w:hAnsi="Calibri"/>
        </w:rPr>
        <w:footnoteRef/>
      </w:r>
      <w:r w:rsidRPr="00071BFC">
        <w:rPr>
          <w:rFonts w:ascii="Calibri" w:hAnsi="Calibri"/>
        </w:rPr>
        <w:t xml:space="preserve"> Ibid.  </w:t>
      </w:r>
    </w:p>
  </w:footnote>
  <w:footnote w:id="103">
    <w:p w14:paraId="5D03DA19" w14:textId="77777777" w:rsidR="00D75A79" w:rsidRPr="00071BFC" w:rsidRDefault="00D75A79" w:rsidP="00865EA7">
      <w:pPr>
        <w:pStyle w:val="FootnoteText"/>
        <w:rPr>
          <w:rFonts w:ascii="Calibri" w:hAnsi="Calibri"/>
        </w:rPr>
      </w:pPr>
      <w:r w:rsidRPr="00071BFC">
        <w:rPr>
          <w:rStyle w:val="FootnoteReference"/>
          <w:rFonts w:ascii="Calibri" w:hAnsi="Calibri"/>
        </w:rPr>
        <w:footnoteRef/>
      </w:r>
      <w:r w:rsidRPr="00071BFC">
        <w:rPr>
          <w:rFonts w:ascii="Calibri" w:hAnsi="Calibri"/>
        </w:rPr>
        <w:t xml:space="preserve"> Ibid. </w:t>
      </w:r>
    </w:p>
  </w:footnote>
  <w:footnote w:id="104">
    <w:p w14:paraId="77D2CA78" w14:textId="323C06DA" w:rsidR="00D75A79" w:rsidRPr="004E5CB0" w:rsidRDefault="00D75A79" w:rsidP="00865EA7">
      <w:pPr>
        <w:pStyle w:val="FootnoteText"/>
        <w:rPr>
          <w:rFonts w:ascii="Calibri" w:hAnsi="Calibri"/>
        </w:rPr>
      </w:pPr>
      <w:r w:rsidRPr="00071BFC">
        <w:rPr>
          <w:rStyle w:val="FootnoteReference"/>
          <w:rFonts w:ascii="Calibri" w:hAnsi="Calibri"/>
        </w:rPr>
        <w:footnoteRef/>
      </w:r>
      <w:r w:rsidRPr="00071BFC">
        <w:rPr>
          <w:rFonts w:ascii="Calibri" w:hAnsi="Calibri"/>
        </w:rPr>
        <w:t xml:space="preserve"> </w:t>
      </w:r>
      <w:r>
        <w:rPr>
          <w:rFonts w:ascii="Calibri" w:hAnsi="Calibri" w:cs="Times New Roman"/>
        </w:rPr>
        <w:t>UNGA Outcome Document</w:t>
      </w:r>
      <w:r>
        <w:rPr>
          <w:rFonts w:ascii="Calibri" w:hAnsi="Calibri"/>
        </w:rPr>
        <w:t xml:space="preserve">, </w:t>
      </w:r>
      <w:r w:rsidRPr="00071BFC">
        <w:rPr>
          <w:rFonts w:ascii="Calibri" w:hAnsi="Calibri"/>
        </w:rPr>
        <w:t>para 17.</w:t>
      </w:r>
      <w:r w:rsidRPr="004E5CB0">
        <w:rPr>
          <w:rFonts w:ascii="Calibri" w:hAnsi="Calibri"/>
        </w:rPr>
        <w:t xml:space="preserve"> </w:t>
      </w:r>
    </w:p>
  </w:footnote>
  <w:footnote w:id="105">
    <w:p w14:paraId="3DD39C6D" w14:textId="75ED2892" w:rsidR="00D75A79" w:rsidRPr="00071BFC" w:rsidRDefault="00D75A79" w:rsidP="004E5CB0">
      <w:pPr>
        <w:pStyle w:val="FootnoteText"/>
        <w:rPr>
          <w:rFonts w:ascii="Calibri" w:hAnsi="Calibri"/>
        </w:rPr>
      </w:pPr>
      <w:r w:rsidRPr="00071BFC">
        <w:rPr>
          <w:rStyle w:val="FootnoteReference"/>
          <w:rFonts w:ascii="Calibri" w:hAnsi="Calibri"/>
        </w:rPr>
        <w:footnoteRef/>
      </w:r>
      <w:r w:rsidRPr="00071BFC">
        <w:rPr>
          <w:rFonts w:ascii="Calibri" w:hAnsi="Calibri"/>
        </w:rPr>
        <w:t xml:space="preserve"> </w:t>
      </w:r>
      <w:r>
        <w:rPr>
          <w:rFonts w:ascii="Calibri" w:hAnsi="Calibri" w:cs="Times New Roman"/>
        </w:rPr>
        <w:t>UNGA Outcome Document</w:t>
      </w:r>
      <w:r w:rsidRPr="00071BFC">
        <w:rPr>
          <w:rFonts w:ascii="Calibri" w:hAnsi="Calibri"/>
        </w:rPr>
        <w:t>, para 13.</w:t>
      </w:r>
    </w:p>
  </w:footnote>
  <w:footnote w:id="106">
    <w:p w14:paraId="7A24DB49" w14:textId="77777777" w:rsidR="00D75A79" w:rsidRPr="00071BFC" w:rsidRDefault="00D75A79" w:rsidP="004E5CB0">
      <w:pPr>
        <w:pStyle w:val="FootnoteText"/>
        <w:rPr>
          <w:rFonts w:ascii="Calibri" w:hAnsi="Calibri"/>
        </w:rPr>
      </w:pPr>
      <w:r w:rsidRPr="00071BFC">
        <w:rPr>
          <w:rStyle w:val="FootnoteReference"/>
          <w:rFonts w:ascii="Calibri" w:hAnsi="Calibri"/>
        </w:rPr>
        <w:footnoteRef/>
      </w:r>
      <w:r w:rsidRPr="00071BFC">
        <w:rPr>
          <w:rFonts w:ascii="Calibri" w:hAnsi="Calibri"/>
        </w:rPr>
        <w:t xml:space="preserve"> Ibid.</w:t>
      </w:r>
    </w:p>
  </w:footnote>
  <w:footnote w:id="107">
    <w:p w14:paraId="72FD699D" w14:textId="77777777" w:rsidR="00D75A79" w:rsidRPr="00071BFC" w:rsidRDefault="00D75A79" w:rsidP="004E5CB0">
      <w:pPr>
        <w:pStyle w:val="FootnoteText"/>
        <w:rPr>
          <w:rFonts w:ascii="Calibri" w:hAnsi="Calibri"/>
        </w:rPr>
      </w:pPr>
      <w:r w:rsidRPr="00071BFC">
        <w:rPr>
          <w:rStyle w:val="FootnoteReference"/>
          <w:rFonts w:ascii="Calibri" w:hAnsi="Calibri"/>
        </w:rPr>
        <w:footnoteRef/>
      </w:r>
      <w:r w:rsidRPr="00071BFC">
        <w:rPr>
          <w:rFonts w:ascii="Calibri" w:hAnsi="Calibri"/>
        </w:rPr>
        <w:t xml:space="preserve"> Ibid. </w:t>
      </w:r>
    </w:p>
  </w:footnote>
  <w:footnote w:id="108">
    <w:p w14:paraId="7EC9B407" w14:textId="52B2677D" w:rsidR="00D75A79" w:rsidRPr="00071BFC" w:rsidRDefault="00D75A79" w:rsidP="004E5CB0">
      <w:pPr>
        <w:pStyle w:val="FootnoteText"/>
        <w:rPr>
          <w:rFonts w:ascii="Calibri" w:hAnsi="Calibri"/>
        </w:rPr>
      </w:pPr>
      <w:r w:rsidRPr="00071BFC">
        <w:rPr>
          <w:rStyle w:val="FootnoteReference"/>
          <w:rFonts w:ascii="Calibri" w:hAnsi="Calibri"/>
        </w:rPr>
        <w:footnoteRef/>
      </w:r>
      <w:r>
        <w:rPr>
          <w:rFonts w:ascii="Calibri" w:hAnsi="Calibri"/>
        </w:rPr>
        <w:t xml:space="preserve"> </w:t>
      </w:r>
      <w:r>
        <w:rPr>
          <w:rFonts w:ascii="Calibri" w:hAnsi="Calibri" w:cs="Times New Roman"/>
        </w:rPr>
        <w:t>UNGA Outcome Document</w:t>
      </w:r>
      <w:r w:rsidRPr="00071BFC">
        <w:rPr>
          <w:rFonts w:ascii="Calibri" w:hAnsi="Calibri"/>
        </w:rPr>
        <w:t xml:space="preserve">, para 14. </w:t>
      </w:r>
    </w:p>
  </w:footnote>
  <w:footnote w:id="109">
    <w:p w14:paraId="1B0C6476" w14:textId="77777777" w:rsidR="00D75A79" w:rsidRPr="00071BFC" w:rsidRDefault="00D75A79" w:rsidP="004E5CB0">
      <w:pPr>
        <w:pStyle w:val="FootnoteText"/>
        <w:rPr>
          <w:rFonts w:ascii="Calibri" w:hAnsi="Calibri"/>
        </w:rPr>
      </w:pPr>
      <w:r w:rsidRPr="00071BFC">
        <w:rPr>
          <w:rStyle w:val="FootnoteReference"/>
          <w:rFonts w:ascii="Calibri" w:hAnsi="Calibri"/>
        </w:rPr>
        <w:footnoteRef/>
      </w:r>
      <w:r w:rsidRPr="00071BFC">
        <w:rPr>
          <w:rFonts w:ascii="Calibri" w:hAnsi="Calibri"/>
        </w:rPr>
        <w:t xml:space="preserve"> Ibid.  </w:t>
      </w:r>
    </w:p>
  </w:footnote>
  <w:footnote w:id="110">
    <w:p w14:paraId="4576B658" w14:textId="10B2C64D" w:rsidR="00D75A79" w:rsidRPr="00071BFC" w:rsidRDefault="00D75A79" w:rsidP="004E5CB0">
      <w:pPr>
        <w:pStyle w:val="FootnoteText"/>
        <w:rPr>
          <w:rFonts w:ascii="Calibri" w:hAnsi="Calibri"/>
        </w:rPr>
      </w:pPr>
      <w:r w:rsidRPr="00071BFC">
        <w:rPr>
          <w:rStyle w:val="FootnoteReference"/>
          <w:rFonts w:ascii="Calibri" w:hAnsi="Calibri"/>
        </w:rPr>
        <w:footnoteRef/>
      </w:r>
      <w:r w:rsidRPr="00071BFC">
        <w:rPr>
          <w:rFonts w:ascii="Calibri" w:hAnsi="Calibri"/>
        </w:rPr>
        <w:t xml:space="preserve"> </w:t>
      </w:r>
      <w:r>
        <w:rPr>
          <w:rFonts w:ascii="Calibri" w:hAnsi="Calibri" w:cs="Times New Roman"/>
        </w:rPr>
        <w:t>UNGA Outcome Document</w:t>
      </w:r>
      <w:r w:rsidRPr="00071BFC">
        <w:rPr>
          <w:rFonts w:ascii="Calibri" w:hAnsi="Calibri"/>
        </w:rPr>
        <w:t>,</w:t>
      </w:r>
      <w:r>
        <w:rPr>
          <w:rFonts w:ascii="Calibri" w:hAnsi="Calibri"/>
        </w:rPr>
        <w:t xml:space="preserve"> </w:t>
      </w:r>
      <w:r w:rsidRPr="00071BFC">
        <w:rPr>
          <w:rFonts w:ascii="Calibri" w:hAnsi="Calibri"/>
        </w:rPr>
        <w:t xml:space="preserve">para 15. </w:t>
      </w:r>
    </w:p>
  </w:footnote>
  <w:footnote w:id="111">
    <w:p w14:paraId="763E1FA3" w14:textId="10B1D130" w:rsidR="00D75A79" w:rsidRPr="00071BFC" w:rsidRDefault="00D75A79" w:rsidP="004E5CB0">
      <w:pPr>
        <w:pStyle w:val="FootnoteText"/>
        <w:rPr>
          <w:rFonts w:ascii="Calibri" w:hAnsi="Calibri"/>
        </w:rPr>
      </w:pPr>
      <w:r w:rsidRPr="00071BFC">
        <w:rPr>
          <w:rStyle w:val="FootnoteReference"/>
          <w:rFonts w:ascii="Calibri" w:hAnsi="Calibri"/>
        </w:rPr>
        <w:footnoteRef/>
      </w:r>
      <w:r w:rsidRPr="00071BFC">
        <w:rPr>
          <w:rFonts w:ascii="Calibri" w:hAnsi="Calibri"/>
        </w:rPr>
        <w:t xml:space="preserve"> </w:t>
      </w:r>
      <w:r>
        <w:rPr>
          <w:rFonts w:ascii="Calibri" w:hAnsi="Calibri" w:cs="Times New Roman"/>
        </w:rPr>
        <w:t>UNGA Outcome Document</w:t>
      </w:r>
      <w:r w:rsidRPr="00071BFC">
        <w:rPr>
          <w:rFonts w:ascii="Calibri" w:hAnsi="Calibri"/>
        </w:rPr>
        <w:t xml:space="preserve">, para 16. </w:t>
      </w:r>
    </w:p>
  </w:footnote>
  <w:footnote w:id="112">
    <w:p w14:paraId="2E7136C5" w14:textId="44F7A038" w:rsidR="00D75A79" w:rsidRPr="00071BFC" w:rsidRDefault="00D75A79">
      <w:pPr>
        <w:pStyle w:val="FootnoteText"/>
        <w:rPr>
          <w:rFonts w:ascii="Calibri" w:hAnsi="Calibri"/>
        </w:rPr>
      </w:pPr>
      <w:r w:rsidRPr="00071BFC">
        <w:rPr>
          <w:rStyle w:val="FootnoteReference"/>
          <w:rFonts w:ascii="Calibri" w:hAnsi="Calibri"/>
        </w:rPr>
        <w:footnoteRef/>
      </w:r>
      <w:r w:rsidRPr="00071BFC">
        <w:rPr>
          <w:rFonts w:ascii="Calibri" w:hAnsi="Calibri"/>
        </w:rPr>
        <w:t xml:space="preserve"> </w:t>
      </w:r>
      <w:r w:rsidRPr="00071BFC">
        <w:rPr>
          <w:rFonts w:ascii="Calibri" w:hAnsi="Calibri" w:cs="Times New Roman"/>
        </w:rPr>
        <w:t>UN Commission on the Status of Women, Agreed Conclusions on the prevention and elimination of violence against women and girls, 15 March 2013, E/CN/6/2013/11 (CSW Agreed Conclusions 2013).</w:t>
      </w:r>
    </w:p>
  </w:footnote>
  <w:footnote w:id="113">
    <w:p w14:paraId="627103A3" w14:textId="05016981" w:rsidR="00D75A79" w:rsidRPr="00071BFC" w:rsidRDefault="00D75A79" w:rsidP="002D1918">
      <w:pPr>
        <w:pStyle w:val="FootnoteText"/>
        <w:rPr>
          <w:rFonts w:ascii="Calibri" w:hAnsi="Calibri"/>
        </w:rPr>
      </w:pPr>
      <w:r w:rsidRPr="00071BFC">
        <w:rPr>
          <w:rStyle w:val="FootnoteReference"/>
          <w:rFonts w:ascii="Calibri" w:hAnsi="Calibri"/>
        </w:rPr>
        <w:footnoteRef/>
      </w:r>
      <w:r w:rsidRPr="00071BFC">
        <w:rPr>
          <w:rFonts w:ascii="Calibri" w:hAnsi="Calibri"/>
        </w:rPr>
        <w:t xml:space="preserve"> </w:t>
      </w:r>
      <w:r w:rsidRPr="00071BFC">
        <w:rPr>
          <w:rFonts w:ascii="Calibri" w:hAnsi="Calibri" w:cs="Times New Roman"/>
        </w:rPr>
        <w:t>CSW Agreed Conclusions 2013, OPs 8, 10-21, 30, 34A (l)-(m), and (p), B (pp) C (ddd) and D (zz) and 35.</w:t>
      </w:r>
    </w:p>
  </w:footnote>
  <w:footnote w:id="114">
    <w:p w14:paraId="73EA5254" w14:textId="58F2B89D" w:rsidR="00D75A79" w:rsidRDefault="00D75A79">
      <w:pPr>
        <w:pStyle w:val="FootnoteText"/>
      </w:pPr>
      <w:r w:rsidRPr="00071BFC">
        <w:rPr>
          <w:rStyle w:val="FootnoteReference"/>
          <w:rFonts w:ascii="Calibri" w:hAnsi="Calibri"/>
        </w:rPr>
        <w:footnoteRef/>
      </w:r>
      <w:r w:rsidRPr="00071BFC">
        <w:rPr>
          <w:rFonts w:ascii="Calibri" w:hAnsi="Calibri"/>
        </w:rPr>
        <w:t xml:space="preserve"> </w:t>
      </w:r>
      <w:r w:rsidRPr="00071BFC">
        <w:rPr>
          <w:rFonts w:ascii="Calibri" w:hAnsi="Calibri" w:cs="Times New Roman"/>
        </w:rPr>
        <w:t>CSW Agreed Conclusions 2013</w:t>
      </w:r>
      <w:r w:rsidRPr="00071BFC">
        <w:rPr>
          <w:rFonts w:ascii="Calibri" w:hAnsi="Calibri"/>
        </w:rPr>
        <w:t>, paras 15, 26-7, 34 C (ddd) and D (zz).</w:t>
      </w:r>
      <w:r>
        <w:rPr>
          <w:rFonts w:ascii="Calibri" w:hAnsi="Calibri"/>
        </w:rPr>
        <w:t xml:space="preserve"> </w:t>
      </w:r>
    </w:p>
  </w:footnote>
  <w:footnote w:id="115">
    <w:p w14:paraId="612EA8A3" w14:textId="2F320DFC" w:rsidR="00D75A79" w:rsidRDefault="00D75A79">
      <w:pPr>
        <w:pStyle w:val="FootnoteText"/>
      </w:pPr>
      <w:r w:rsidRPr="00600491">
        <w:rPr>
          <w:rStyle w:val="FootnoteReference"/>
          <w:rFonts w:ascii="Calibri" w:hAnsi="Calibri"/>
        </w:rPr>
        <w:footnoteRef/>
      </w:r>
      <w:r w:rsidRPr="00600491">
        <w:rPr>
          <w:rFonts w:ascii="Calibri" w:hAnsi="Calibri"/>
        </w:rPr>
        <w:t xml:space="preserve"> </w:t>
      </w:r>
      <w:r w:rsidRPr="00071BFC">
        <w:rPr>
          <w:rFonts w:ascii="Calibri" w:hAnsi="Calibri" w:cs="Times New Roman"/>
        </w:rPr>
        <w:t>CSW Agreed Conclusions 2013</w:t>
      </w:r>
      <w:r w:rsidRPr="00600491">
        <w:rPr>
          <w:rFonts w:ascii="Calibri" w:hAnsi="Calibri"/>
        </w:rPr>
        <w:t>, para</w:t>
      </w:r>
      <w:r>
        <w:rPr>
          <w:rFonts w:ascii="Calibri" w:hAnsi="Calibri"/>
        </w:rPr>
        <w:t xml:space="preserve">s 10-23, </w:t>
      </w:r>
      <w:r w:rsidRPr="00600491">
        <w:rPr>
          <w:rFonts w:ascii="Calibri" w:hAnsi="Calibri"/>
        </w:rPr>
        <w:t>34 C (ddd).</w:t>
      </w:r>
      <w:r>
        <w:t xml:space="preserve"> </w:t>
      </w:r>
    </w:p>
  </w:footnote>
  <w:footnote w:id="116">
    <w:p w14:paraId="6F8DA07A" w14:textId="374C73FF" w:rsidR="00D75A79" w:rsidRPr="00004535" w:rsidRDefault="00D75A79">
      <w:pPr>
        <w:pStyle w:val="FootnoteText"/>
        <w:rPr>
          <w:rFonts w:ascii="Calibri" w:hAnsi="Calibri"/>
        </w:rPr>
      </w:pPr>
      <w:r w:rsidRPr="00004535">
        <w:rPr>
          <w:rStyle w:val="FootnoteReference"/>
          <w:rFonts w:ascii="Calibri" w:hAnsi="Calibri"/>
        </w:rPr>
        <w:footnoteRef/>
      </w:r>
      <w:r>
        <w:rPr>
          <w:rFonts w:ascii="Calibri" w:hAnsi="Calibri"/>
        </w:rPr>
        <w:t xml:space="preserve"> </w:t>
      </w:r>
      <w:r w:rsidRPr="00071BFC">
        <w:rPr>
          <w:rFonts w:ascii="Calibri" w:hAnsi="Calibri" w:cs="Times New Roman"/>
        </w:rPr>
        <w:t>CSW Agreed Conclusions 2013</w:t>
      </w:r>
      <w:r w:rsidRPr="00004535">
        <w:rPr>
          <w:rFonts w:ascii="Calibri" w:hAnsi="Calibri"/>
        </w:rPr>
        <w:t xml:space="preserve">, paras </w:t>
      </w:r>
      <w:r>
        <w:rPr>
          <w:rFonts w:ascii="Calibri" w:hAnsi="Calibri"/>
        </w:rPr>
        <w:t>17,19, 28, 29, and 34 C (ddd).</w:t>
      </w:r>
    </w:p>
  </w:footnote>
  <w:footnote w:id="117">
    <w:p w14:paraId="2591A04B" w14:textId="394CBCC1" w:rsidR="00D75A79" w:rsidRPr="00004535" w:rsidRDefault="00D75A79">
      <w:pPr>
        <w:pStyle w:val="FootnoteText"/>
        <w:rPr>
          <w:rFonts w:ascii="Calibri" w:hAnsi="Calibri"/>
        </w:rPr>
      </w:pPr>
      <w:r w:rsidRPr="00004535">
        <w:rPr>
          <w:rStyle w:val="FootnoteReference"/>
          <w:rFonts w:ascii="Calibri" w:hAnsi="Calibri"/>
        </w:rPr>
        <w:footnoteRef/>
      </w:r>
      <w:r w:rsidRPr="00004535">
        <w:rPr>
          <w:rFonts w:ascii="Calibri" w:hAnsi="Calibri"/>
        </w:rPr>
        <w:t xml:space="preserve"> </w:t>
      </w:r>
      <w:r w:rsidRPr="00071BFC">
        <w:rPr>
          <w:rFonts w:ascii="Calibri" w:hAnsi="Calibri" w:cs="Times New Roman"/>
        </w:rPr>
        <w:t>CSW Agreed Conclusions 2013</w:t>
      </w:r>
      <w:r w:rsidRPr="00004535">
        <w:rPr>
          <w:rFonts w:ascii="Calibri" w:hAnsi="Calibri"/>
        </w:rPr>
        <w:t>, para 32 (p).</w:t>
      </w:r>
    </w:p>
  </w:footnote>
  <w:footnote w:id="118">
    <w:p w14:paraId="1BCCAFE1" w14:textId="1165F4D2" w:rsidR="00D75A79" w:rsidRDefault="00D75A79" w:rsidP="006D4F1C">
      <w:pPr>
        <w:pStyle w:val="FootnoteText"/>
      </w:pPr>
      <w:r w:rsidRPr="00004535">
        <w:rPr>
          <w:rStyle w:val="FootnoteReference"/>
          <w:rFonts w:ascii="Calibri" w:hAnsi="Calibri"/>
        </w:rPr>
        <w:footnoteRef/>
      </w:r>
      <w:r w:rsidRPr="00004535">
        <w:rPr>
          <w:rFonts w:ascii="Calibri" w:hAnsi="Calibri"/>
        </w:rPr>
        <w:t xml:space="preserve"> </w:t>
      </w:r>
      <w:r w:rsidRPr="00071BFC">
        <w:rPr>
          <w:rFonts w:ascii="Calibri" w:hAnsi="Calibri" w:cs="Times New Roman"/>
        </w:rPr>
        <w:t>CSW Agreed Conclusions 2013</w:t>
      </w:r>
      <w:r w:rsidRPr="00004535">
        <w:rPr>
          <w:rFonts w:ascii="Calibri" w:hAnsi="Calibri"/>
        </w:rPr>
        <w:t>, para</w:t>
      </w:r>
      <w:r>
        <w:rPr>
          <w:rFonts w:ascii="Calibri" w:hAnsi="Calibri"/>
        </w:rPr>
        <w:t>s 13, 34 A (m).</w:t>
      </w:r>
    </w:p>
  </w:footnote>
  <w:footnote w:id="119">
    <w:p w14:paraId="5308E894" w14:textId="77777777" w:rsidR="00F7609A" w:rsidRPr="00361A2D" w:rsidRDefault="00F7609A" w:rsidP="00F7609A">
      <w:pPr>
        <w:pStyle w:val="FootnoteText"/>
        <w:ind w:right="57"/>
        <w:rPr>
          <w:rFonts w:ascii="Calibri" w:hAnsi="Calibri"/>
        </w:rPr>
      </w:pPr>
      <w:r w:rsidRPr="00361A2D">
        <w:rPr>
          <w:rStyle w:val="FootnoteReference"/>
          <w:rFonts w:ascii="Calibri" w:hAnsi="Calibri"/>
        </w:rPr>
        <w:footnoteRef/>
      </w:r>
      <w:r>
        <w:rPr>
          <w:rFonts w:ascii="Calibri" w:hAnsi="Calibri" w:cs="Times New Roman"/>
        </w:rPr>
        <w:t xml:space="preserve"> Convention on the Elimination of All Forms of Discrimination against Women (adopted on 18 December 1979, entered into force 3 September 1981) 1249 UNTS 13 (CEDAW); CEDAW GR No. 30; </w:t>
      </w:r>
      <w:r w:rsidRPr="00361A2D">
        <w:rPr>
          <w:rFonts w:ascii="Calibri" w:hAnsi="Calibri" w:cs="Times New Roman"/>
        </w:rPr>
        <w:t xml:space="preserve">United Nations, </w:t>
      </w:r>
      <w:r w:rsidRPr="00361A2D">
        <w:rPr>
          <w:rFonts w:ascii="Calibri" w:hAnsi="Calibri" w:cs="Times New Roman"/>
          <w:i/>
          <w:iCs/>
        </w:rPr>
        <w:t>Beijing Declaration and Platform of Action, adopted at the Fourth World Conference on Women</w:t>
      </w:r>
      <w:r w:rsidRPr="00361A2D">
        <w:rPr>
          <w:rFonts w:ascii="Calibri" w:hAnsi="Calibri" w:cs="Times New Roman"/>
        </w:rPr>
        <w:t>, 27 October 1995</w:t>
      </w:r>
      <w:r>
        <w:rPr>
          <w:rFonts w:ascii="Calibri" w:hAnsi="Calibri" w:cs="Times New Roman"/>
        </w:rPr>
        <w:t xml:space="preserve"> (</w:t>
      </w:r>
      <w:proofErr w:type="spellStart"/>
      <w:r>
        <w:rPr>
          <w:rFonts w:ascii="Calibri" w:hAnsi="Calibri" w:cs="Times New Roman"/>
        </w:rPr>
        <w:t>BPfA</w:t>
      </w:r>
      <w:proofErr w:type="spellEnd"/>
      <w:r>
        <w:rPr>
          <w:rFonts w:ascii="Calibri" w:hAnsi="Calibri" w:cs="Times New Roman"/>
        </w:rPr>
        <w:t xml:space="preserve">); UNGA, </w:t>
      </w:r>
      <w:r>
        <w:rPr>
          <w:rFonts w:ascii="Calibri" w:hAnsi="Calibri" w:cs="Times New Roman"/>
          <w:i/>
        </w:rPr>
        <w:t>Further actions and initiatives to implement the Beijing Declaration and Platform for Action</w:t>
      </w:r>
      <w:r>
        <w:rPr>
          <w:rFonts w:ascii="Calibri" w:hAnsi="Calibri" w:cs="Times New Roman"/>
        </w:rPr>
        <w:t xml:space="preserve">, 16 November 2000, A/RES/S-23-3 (UNGA Outcome Document); and UN Commission on the Status of Women, </w:t>
      </w:r>
      <w:r w:rsidRPr="00AF0B63">
        <w:rPr>
          <w:rFonts w:ascii="Calibri" w:hAnsi="Calibri" w:cs="Times New Roman"/>
          <w:i/>
        </w:rPr>
        <w:t>Agreed Conclusions on the prevention and elimination of violence against women and girls,</w:t>
      </w:r>
      <w:r>
        <w:rPr>
          <w:rFonts w:ascii="Calibri" w:hAnsi="Calibri" w:cs="Times New Roman"/>
        </w:rPr>
        <w:t xml:space="preserve"> 15 March 2013, E/CN/6/2013/11 (CSW Agreed Conclusions 2013). </w:t>
      </w:r>
    </w:p>
  </w:footnote>
  <w:footnote w:id="120">
    <w:p w14:paraId="5FE6494D" w14:textId="7DD8E6C0" w:rsidR="00D75A79" w:rsidRPr="009420B0" w:rsidRDefault="00D75A79">
      <w:pPr>
        <w:pStyle w:val="FootnoteText"/>
        <w:rPr>
          <w:rFonts w:ascii="Calibri" w:hAnsi="Calibri"/>
          <w:lang w:val="en-GB"/>
        </w:rPr>
      </w:pPr>
      <w:r w:rsidRPr="009420B0">
        <w:rPr>
          <w:rStyle w:val="FootnoteReference"/>
          <w:rFonts w:ascii="Calibri" w:hAnsi="Calibri"/>
        </w:rPr>
        <w:footnoteRef/>
      </w:r>
      <w:r w:rsidRPr="009420B0">
        <w:rPr>
          <w:rFonts w:ascii="Calibri" w:hAnsi="Calibri"/>
        </w:rPr>
        <w:t xml:space="preserve"> </w:t>
      </w:r>
      <w:proofErr w:type="gramStart"/>
      <w:r w:rsidRPr="009420B0">
        <w:rPr>
          <w:rFonts w:ascii="Calibri" w:hAnsi="Calibri"/>
        </w:rPr>
        <w:t>UN Security Council Resolution 1325 (30 October 2000) UN Doc S/RES/1325 (SCR 1325).</w:t>
      </w:r>
      <w:proofErr w:type="gramEnd"/>
    </w:p>
  </w:footnote>
  <w:footnote w:id="121">
    <w:p w14:paraId="50EAED8C" w14:textId="1A2646E9" w:rsidR="00D75A79" w:rsidRPr="009420B0" w:rsidRDefault="00D75A79" w:rsidP="00F31EF8">
      <w:pPr>
        <w:pStyle w:val="FootnoteText"/>
        <w:rPr>
          <w:rFonts w:ascii="Calibri" w:hAnsi="Calibri"/>
        </w:rPr>
      </w:pPr>
      <w:r w:rsidRPr="009420B0">
        <w:rPr>
          <w:rStyle w:val="FootnoteReference"/>
          <w:rFonts w:ascii="Calibri" w:hAnsi="Calibri"/>
        </w:rPr>
        <w:footnoteRef/>
      </w:r>
      <w:r w:rsidRPr="009420B0">
        <w:rPr>
          <w:rFonts w:ascii="Calibri" w:hAnsi="Calibri"/>
        </w:rPr>
        <w:t xml:space="preserve"> </w:t>
      </w:r>
      <w:r w:rsidRPr="009420B0">
        <w:rPr>
          <w:rFonts w:ascii="Calibri" w:hAnsi="Calibri"/>
          <w:color w:val="000000" w:themeColor="text1"/>
        </w:rPr>
        <w:t xml:space="preserve">See Presidential statements of the UN Security Council, </w:t>
      </w:r>
      <w:hyperlink r:id="rId3" w:tgtFrame="_blank" w:history="1">
        <w:r w:rsidRPr="009420B0">
          <w:rPr>
            <w:rStyle w:val="Hyperlink"/>
            <w:rFonts w:ascii="Calibri" w:eastAsia="Times New Roman" w:hAnsi="Calibri" w:cs="Arial"/>
            <w:color w:val="000000" w:themeColor="text1"/>
            <w:u w:val="none"/>
            <w:shd w:val="clear" w:color="auto" w:fill="FFFFFF"/>
          </w:rPr>
          <w:t>S/PRST/2004/40</w:t>
        </w:r>
      </w:hyperlink>
      <w:r w:rsidRPr="009420B0">
        <w:rPr>
          <w:rFonts w:ascii="Calibri" w:eastAsia="Times New Roman" w:hAnsi="Calibri" w:cs="Arial"/>
          <w:color w:val="000000" w:themeColor="text1"/>
          <w:shd w:val="clear" w:color="auto" w:fill="FFFFFF"/>
        </w:rPr>
        <w:t>and</w:t>
      </w:r>
      <w:r w:rsidRPr="009420B0">
        <w:rPr>
          <w:rStyle w:val="apple-converted-space"/>
          <w:rFonts w:ascii="Calibri" w:eastAsia="Times New Roman" w:hAnsi="Calibri" w:cs="Arial"/>
          <w:color w:val="000000" w:themeColor="text1"/>
          <w:shd w:val="clear" w:color="auto" w:fill="FFFFFF"/>
        </w:rPr>
        <w:t> </w:t>
      </w:r>
      <w:hyperlink r:id="rId4" w:tgtFrame="_blank" w:history="1">
        <w:r w:rsidRPr="009420B0">
          <w:rPr>
            <w:rStyle w:val="Hyperlink"/>
            <w:rFonts w:ascii="Calibri" w:eastAsia="Times New Roman" w:hAnsi="Calibri" w:cs="Arial"/>
            <w:color w:val="000000" w:themeColor="text1"/>
            <w:u w:val="none"/>
            <w:shd w:val="clear" w:color="auto" w:fill="FFFFFF"/>
          </w:rPr>
          <w:t>S/PRST/2005/52</w:t>
        </w:r>
      </w:hyperlink>
      <w:proofErr w:type="gramStart"/>
      <w:r w:rsidRPr="009420B0">
        <w:rPr>
          <w:rFonts w:ascii="Calibri" w:eastAsia="Times New Roman" w:hAnsi="Calibri" w:cs="Times New Roman"/>
          <w:color w:val="000000" w:themeColor="text1"/>
        </w:rPr>
        <w:t>.</w:t>
      </w:r>
      <w:r>
        <w:rPr>
          <w:rFonts w:ascii="Calibri" w:hAnsi="Calibri"/>
        </w:rPr>
        <w:t>.</w:t>
      </w:r>
      <w:proofErr w:type="gramEnd"/>
      <w:r>
        <w:rPr>
          <w:rFonts w:ascii="Calibri" w:hAnsi="Calibri"/>
        </w:rPr>
        <w:t xml:space="preserve"> The relevant UN Security Council resolutions on women, peace and security are: </w:t>
      </w:r>
      <w:r w:rsidRPr="009420B0">
        <w:rPr>
          <w:rFonts w:ascii="Calibri" w:hAnsi="Calibri"/>
        </w:rPr>
        <w:t>UN Security Council Resolution 1</w:t>
      </w:r>
      <w:r>
        <w:rPr>
          <w:rFonts w:ascii="Calibri" w:hAnsi="Calibri"/>
        </w:rPr>
        <w:t>820</w:t>
      </w:r>
      <w:r w:rsidRPr="009420B0">
        <w:rPr>
          <w:rFonts w:ascii="Calibri" w:hAnsi="Calibri"/>
        </w:rPr>
        <w:t xml:space="preserve"> (</w:t>
      </w:r>
      <w:r>
        <w:rPr>
          <w:rFonts w:ascii="Calibri" w:hAnsi="Calibri"/>
        </w:rPr>
        <w:t>19 June 2008</w:t>
      </w:r>
      <w:r w:rsidRPr="009420B0">
        <w:rPr>
          <w:rFonts w:ascii="Calibri" w:hAnsi="Calibri"/>
        </w:rPr>
        <w:t>) UN Doc S/RES/1</w:t>
      </w:r>
      <w:r>
        <w:rPr>
          <w:rFonts w:ascii="Calibri" w:hAnsi="Calibri"/>
        </w:rPr>
        <w:t>820 (SCR 1820). See also: UN Security Council Resolution 1888 (30 September 2009) UN Doc S/RES/1888 (SCR 1888)</w:t>
      </w:r>
      <w:r>
        <w:rPr>
          <w:rFonts w:ascii="Calibri" w:hAnsi="Calibri" w:cs="Times New Roman"/>
        </w:rPr>
        <w:t>;</w:t>
      </w:r>
      <w:r w:rsidRPr="009850ED">
        <w:rPr>
          <w:rFonts w:ascii="Calibri" w:hAnsi="Calibri" w:cs="Times New Roman"/>
        </w:rPr>
        <w:t xml:space="preserve"> </w:t>
      </w:r>
      <w:r>
        <w:rPr>
          <w:rFonts w:ascii="Calibri" w:hAnsi="Calibri"/>
        </w:rPr>
        <w:t xml:space="preserve">UN Security Council Resolution </w:t>
      </w:r>
      <w:r w:rsidRPr="009850ED">
        <w:rPr>
          <w:rFonts w:ascii="Calibri" w:hAnsi="Calibri" w:cs="Times New Roman"/>
        </w:rPr>
        <w:t>1889</w:t>
      </w:r>
      <w:r>
        <w:rPr>
          <w:rFonts w:ascii="Calibri" w:hAnsi="Calibri" w:cs="Times New Roman"/>
        </w:rPr>
        <w:t xml:space="preserve"> (5 October 2009) UN Doc S/RES/1889 (SCR 1889); UN Security Council Resolution </w:t>
      </w:r>
      <w:r w:rsidRPr="009850ED">
        <w:rPr>
          <w:rFonts w:ascii="Calibri" w:hAnsi="Calibri" w:cs="Times New Roman"/>
        </w:rPr>
        <w:t>1960</w:t>
      </w:r>
      <w:r>
        <w:rPr>
          <w:rFonts w:ascii="Calibri" w:hAnsi="Calibri" w:cs="Times New Roman"/>
        </w:rPr>
        <w:t xml:space="preserve"> (16 December 2010) UN Doc S/RES/1960 (SCR 1960); UN Security Council Resolution 2106 (24 June 2013) UN Doc S/RES/2106 (SCR 2106); </w:t>
      </w:r>
      <w:r w:rsidRPr="009850ED">
        <w:rPr>
          <w:rFonts w:ascii="Calibri" w:hAnsi="Calibri" w:cs="Times New Roman"/>
        </w:rPr>
        <w:t xml:space="preserve"> </w:t>
      </w:r>
      <w:r>
        <w:rPr>
          <w:rFonts w:ascii="Calibri" w:hAnsi="Calibri" w:cs="Times New Roman"/>
        </w:rPr>
        <w:t>and UN Security Council Resolution</w:t>
      </w:r>
      <w:r w:rsidRPr="009850ED">
        <w:rPr>
          <w:rFonts w:ascii="Calibri" w:hAnsi="Calibri" w:cs="Times New Roman"/>
        </w:rPr>
        <w:t xml:space="preserve"> 2122 (</w:t>
      </w:r>
      <w:r>
        <w:rPr>
          <w:rFonts w:ascii="Calibri" w:hAnsi="Calibri" w:cs="Times New Roman"/>
        </w:rPr>
        <w:t xml:space="preserve">18 October 2013) UN Doc S/RES/2122 (SCR 2122). </w:t>
      </w:r>
    </w:p>
  </w:footnote>
  <w:footnote w:id="122">
    <w:p w14:paraId="5ECC6D50" w14:textId="77777777" w:rsidR="00D75A79" w:rsidRPr="00E05DBB" w:rsidRDefault="00D75A79" w:rsidP="00B721A4">
      <w:pPr>
        <w:pStyle w:val="FootnoteText"/>
        <w:jc w:val="left"/>
        <w:rPr>
          <w:rFonts w:ascii="Calibri" w:hAnsi="Calibri"/>
        </w:rPr>
      </w:pPr>
      <w:r w:rsidRPr="00E05DBB">
        <w:rPr>
          <w:rStyle w:val="FootnoteReference"/>
          <w:rFonts w:ascii="Calibri" w:hAnsi="Calibri"/>
        </w:rPr>
        <w:footnoteRef/>
      </w:r>
      <w:r w:rsidRPr="00E05DBB">
        <w:rPr>
          <w:rFonts w:ascii="Calibri" w:hAnsi="Calibri"/>
        </w:rPr>
        <w:t xml:space="preserve"> </w:t>
      </w:r>
      <w:r>
        <w:rPr>
          <w:rFonts w:ascii="Calibri" w:hAnsi="Calibri"/>
        </w:rPr>
        <w:t xml:space="preserve">See Institute for Inclusive Security, “The Power of a Plan” (2014) available from: </w:t>
      </w:r>
      <w:r w:rsidRPr="00E05DBB">
        <w:rPr>
          <w:rFonts w:ascii="Calibri" w:hAnsi="Calibri"/>
        </w:rPr>
        <w:t>http://actionplans.inclusivesecurity.org/</w:t>
      </w:r>
      <w:r>
        <w:rPr>
          <w:rFonts w:ascii="Calibri" w:hAnsi="Calibri"/>
        </w:rPr>
        <w:t>.</w:t>
      </w:r>
    </w:p>
  </w:footnote>
  <w:footnote w:id="123">
    <w:p w14:paraId="4C4B5A40" w14:textId="4F282FA6" w:rsidR="00D75A79" w:rsidRPr="009420B0" w:rsidRDefault="00D75A79">
      <w:pPr>
        <w:pStyle w:val="FootnoteText"/>
        <w:rPr>
          <w:rFonts w:ascii="Calibri" w:hAnsi="Calibri"/>
        </w:rPr>
      </w:pPr>
      <w:r w:rsidRPr="009420B0">
        <w:rPr>
          <w:rStyle w:val="FootnoteReference"/>
          <w:rFonts w:ascii="Calibri" w:hAnsi="Calibri"/>
        </w:rPr>
        <w:footnoteRef/>
      </w:r>
      <w:r w:rsidRPr="009420B0">
        <w:rPr>
          <w:rFonts w:ascii="Calibri" w:hAnsi="Calibri"/>
        </w:rPr>
        <w:t xml:space="preserve"> </w:t>
      </w:r>
      <w:r>
        <w:rPr>
          <w:rFonts w:ascii="Calibri" w:hAnsi="Calibri"/>
        </w:rPr>
        <w:t xml:space="preserve">Aisling </w:t>
      </w:r>
      <w:r>
        <w:rPr>
          <w:rFonts w:ascii="Calibri" w:hAnsi="Calibri"/>
          <w:lang w:val="en-GB"/>
        </w:rPr>
        <w:t>Swaine, ‘</w:t>
      </w:r>
      <w:r w:rsidRPr="009420B0">
        <w:rPr>
          <w:rFonts w:ascii="Calibri" w:hAnsi="Calibri"/>
          <w:lang w:val="en-GB"/>
        </w:rPr>
        <w:t>Assessing the Potential of National Action Plans to Advance Implementation of United Nations S</w:t>
      </w:r>
      <w:r>
        <w:rPr>
          <w:rFonts w:ascii="Calibri" w:hAnsi="Calibri"/>
          <w:lang w:val="en-GB"/>
        </w:rPr>
        <w:t>ecurity Council Resolution 1325’</w:t>
      </w:r>
      <w:r w:rsidRPr="009420B0">
        <w:rPr>
          <w:rFonts w:ascii="Calibri" w:hAnsi="Calibri"/>
          <w:lang w:val="en-GB"/>
        </w:rPr>
        <w:t xml:space="preserve"> (2009) 12 </w:t>
      </w:r>
      <w:r w:rsidRPr="00B72C09">
        <w:rPr>
          <w:rFonts w:ascii="Calibri" w:hAnsi="Calibri"/>
          <w:i/>
          <w:lang w:val="en-GB"/>
        </w:rPr>
        <w:t>Yearbook of International Humanitarian Law</w:t>
      </w:r>
      <w:r>
        <w:rPr>
          <w:rFonts w:ascii="Calibri" w:hAnsi="Calibri"/>
          <w:lang w:val="en-GB"/>
        </w:rPr>
        <w:t>, pp. 403-</w:t>
      </w:r>
      <w:r w:rsidRPr="009420B0">
        <w:rPr>
          <w:rFonts w:ascii="Calibri" w:hAnsi="Calibri"/>
          <w:lang w:val="en-GB"/>
        </w:rPr>
        <w:t>33, p. 433.</w:t>
      </w:r>
    </w:p>
  </w:footnote>
  <w:footnote w:id="124">
    <w:p w14:paraId="2594B9AA" w14:textId="53F55F0B" w:rsidR="00D75A79" w:rsidRPr="009420B0" w:rsidRDefault="00D75A79">
      <w:pPr>
        <w:pStyle w:val="FootnoteText"/>
        <w:rPr>
          <w:rFonts w:ascii="Calibri" w:hAnsi="Calibri"/>
        </w:rPr>
      </w:pPr>
      <w:r w:rsidRPr="009420B0">
        <w:rPr>
          <w:rStyle w:val="FootnoteReference"/>
          <w:rFonts w:ascii="Calibri" w:hAnsi="Calibri"/>
        </w:rPr>
        <w:footnoteRef/>
      </w:r>
      <w:r w:rsidRPr="009420B0">
        <w:rPr>
          <w:rFonts w:ascii="Calibri" w:hAnsi="Calibri"/>
        </w:rPr>
        <w:t xml:space="preserve"> Ibid.</w:t>
      </w:r>
    </w:p>
  </w:footnote>
  <w:footnote w:id="125">
    <w:p w14:paraId="4EDD3F61" w14:textId="58A0F67E" w:rsidR="00D75A79" w:rsidRDefault="00D75A79" w:rsidP="00B72C09">
      <w:pPr>
        <w:pStyle w:val="FootnoteText"/>
      </w:pPr>
      <w:r w:rsidRPr="009420B0">
        <w:rPr>
          <w:rStyle w:val="FootnoteReference"/>
          <w:rFonts w:ascii="Calibri" w:hAnsi="Calibri"/>
        </w:rPr>
        <w:footnoteRef/>
      </w:r>
      <w:r>
        <w:t xml:space="preserve"> </w:t>
      </w:r>
      <w:r>
        <w:rPr>
          <w:rFonts w:ascii="Calibri" w:hAnsi="Calibri" w:cs="Times New Roman"/>
        </w:rPr>
        <w:t xml:space="preserve">Convention on the Elimination of All Forms of Discrimination against Women (adopted on 18 December 1979, entered into force 3 September 1981) 1249 UNTS 13 (CEDAW); </w:t>
      </w:r>
      <w:r w:rsidRPr="00AB47DC">
        <w:rPr>
          <w:rFonts w:ascii="Calibri" w:hAnsi="Calibri" w:cs="Times New Roman"/>
        </w:rPr>
        <w:t>Committee on the Elimination on of Discrimination against Women (CEDAW Committee) General Recommendation No. 30 on women in conflict prevention, conflict and post-conflict situations (adopted on 18 October 2013) CEDAW/C/GC/30</w:t>
      </w:r>
      <w:r>
        <w:rPr>
          <w:rFonts w:ascii="Calibri" w:hAnsi="Calibri" w:cs="Times New Roman"/>
        </w:rPr>
        <w:t xml:space="preserve"> (CEDAW GR No. 30); </w:t>
      </w:r>
      <w:r w:rsidRPr="00361A2D">
        <w:rPr>
          <w:rFonts w:ascii="Calibri" w:hAnsi="Calibri" w:cs="Times New Roman"/>
        </w:rPr>
        <w:t xml:space="preserve">United Nations, </w:t>
      </w:r>
      <w:r w:rsidRPr="00361A2D">
        <w:rPr>
          <w:rFonts w:ascii="Calibri" w:hAnsi="Calibri" w:cs="Times New Roman"/>
          <w:i/>
          <w:iCs/>
        </w:rPr>
        <w:t>Beijing Declaration and Platform of Action, adopted at the Fourth World Conference on Women</w:t>
      </w:r>
      <w:r w:rsidRPr="00361A2D">
        <w:rPr>
          <w:rFonts w:ascii="Calibri" w:hAnsi="Calibri" w:cs="Times New Roman"/>
        </w:rPr>
        <w:t>, 27 October 1995</w:t>
      </w:r>
      <w:r>
        <w:rPr>
          <w:rFonts w:ascii="Calibri" w:hAnsi="Calibri" w:cs="Times New Roman"/>
        </w:rPr>
        <w:t xml:space="preserve">. See Section 1. </w:t>
      </w:r>
    </w:p>
  </w:footnote>
  <w:footnote w:id="126">
    <w:p w14:paraId="38CF46C1" w14:textId="4421CC2A" w:rsidR="00D75A79" w:rsidRPr="008B6E37" w:rsidRDefault="00D75A79" w:rsidP="00517287">
      <w:pPr>
        <w:rPr>
          <w:rFonts w:ascii="Calibri" w:eastAsia="Times New Roman" w:hAnsi="Calibri" w:cs="Times New Roman"/>
          <w:sz w:val="20"/>
          <w:szCs w:val="20"/>
        </w:rPr>
      </w:pPr>
      <w:r w:rsidRPr="008B6E37">
        <w:rPr>
          <w:rStyle w:val="FootnoteReference"/>
          <w:rFonts w:ascii="Calibri" w:hAnsi="Calibri"/>
          <w:sz w:val="20"/>
          <w:szCs w:val="20"/>
        </w:rPr>
        <w:footnoteRef/>
      </w:r>
      <w:r w:rsidRPr="008B6E37">
        <w:rPr>
          <w:rFonts w:ascii="Calibri" w:hAnsi="Calibri"/>
          <w:sz w:val="20"/>
          <w:szCs w:val="20"/>
        </w:rPr>
        <w:t xml:space="preserve"> </w:t>
      </w:r>
      <w:r w:rsidRPr="008B6E37">
        <w:rPr>
          <w:rFonts w:ascii="Calibri" w:hAnsi="Calibri"/>
          <w:sz w:val="20"/>
          <w:szCs w:val="20"/>
          <w:lang w:val="en-US"/>
        </w:rPr>
        <w:t xml:space="preserve"> </w:t>
      </w:r>
      <w:r>
        <w:rPr>
          <w:rFonts w:ascii="Calibri" w:hAnsi="Calibri"/>
          <w:sz w:val="20"/>
          <w:szCs w:val="20"/>
          <w:lang w:val="en-US"/>
        </w:rPr>
        <w:t xml:space="preserve">United Nations News Centre, </w:t>
      </w:r>
      <w:r>
        <w:rPr>
          <w:rFonts w:ascii="Calibri" w:eastAsia="Times New Roman" w:hAnsi="Calibri" w:cs="Times New Roman"/>
          <w:bCs/>
          <w:sz w:val="20"/>
          <w:szCs w:val="20"/>
          <w:shd w:val="clear" w:color="auto" w:fill="FFFFFF"/>
        </w:rPr>
        <w:t>‘</w:t>
      </w:r>
      <w:r w:rsidRPr="008B6E37">
        <w:rPr>
          <w:rFonts w:ascii="Calibri" w:eastAsia="Times New Roman" w:hAnsi="Calibri" w:cs="Times New Roman"/>
          <w:bCs/>
          <w:sz w:val="20"/>
          <w:szCs w:val="20"/>
          <w:shd w:val="clear" w:color="auto" w:fill="FFFFFF"/>
        </w:rPr>
        <w:t>Tackling sexual violence must include prevention, e</w:t>
      </w:r>
      <w:r>
        <w:rPr>
          <w:rFonts w:ascii="Calibri" w:eastAsia="Times New Roman" w:hAnsi="Calibri" w:cs="Times New Roman"/>
          <w:bCs/>
          <w:sz w:val="20"/>
          <w:szCs w:val="20"/>
          <w:shd w:val="clear" w:color="auto" w:fill="FFFFFF"/>
        </w:rPr>
        <w:t xml:space="preserve">nding impunity – UN official’ </w:t>
      </w:r>
      <w:r w:rsidRPr="008B6E37">
        <w:rPr>
          <w:rFonts w:ascii="Calibri" w:eastAsia="Times New Roman" w:hAnsi="Calibri" w:cs="Times New Roman"/>
          <w:bCs/>
          <w:sz w:val="20"/>
          <w:szCs w:val="20"/>
          <w:shd w:val="clear" w:color="auto" w:fill="FFFFFF"/>
        </w:rPr>
        <w:t>(2010) available from: http://www.un.org/apps/news/story.asp?NewsID=34502#.VRMCpzvF9fx.</w:t>
      </w:r>
    </w:p>
  </w:footnote>
  <w:footnote w:id="127">
    <w:p w14:paraId="02DA2A84" w14:textId="6EFACBB5" w:rsidR="00D75A79" w:rsidRPr="008B6E37" w:rsidRDefault="00D75A79" w:rsidP="00151500">
      <w:pPr>
        <w:jc w:val="both"/>
        <w:rPr>
          <w:rFonts w:ascii="Calibri" w:eastAsia="Times New Roman" w:hAnsi="Calibri" w:cs="Times New Roman"/>
          <w:sz w:val="20"/>
          <w:szCs w:val="20"/>
        </w:rPr>
      </w:pPr>
      <w:r w:rsidRPr="008B6E37">
        <w:rPr>
          <w:rStyle w:val="FootnoteReference"/>
          <w:rFonts w:ascii="Calibri" w:hAnsi="Calibri"/>
          <w:sz w:val="20"/>
          <w:szCs w:val="20"/>
        </w:rPr>
        <w:footnoteRef/>
      </w:r>
      <w:r w:rsidRPr="008B6E37">
        <w:rPr>
          <w:rFonts w:ascii="Calibri" w:hAnsi="Calibri"/>
          <w:sz w:val="20"/>
          <w:szCs w:val="20"/>
        </w:rPr>
        <w:t xml:space="preserve"> </w:t>
      </w:r>
      <w:r w:rsidRPr="008B6E37">
        <w:rPr>
          <w:rFonts w:ascii="Calibri" w:eastAsia="Times New Roman" w:hAnsi="Calibri" w:cs="Times New Roman"/>
          <w:sz w:val="20"/>
          <w:szCs w:val="20"/>
        </w:rPr>
        <w:t>World Organisation against Torture and Women's Synergy f</w:t>
      </w:r>
      <w:r>
        <w:rPr>
          <w:rFonts w:ascii="Calibri" w:eastAsia="Times New Roman" w:hAnsi="Calibri" w:cs="Times New Roman"/>
          <w:sz w:val="20"/>
          <w:szCs w:val="20"/>
        </w:rPr>
        <w:t>or Victims of Sexual Violence, ‘</w:t>
      </w:r>
      <w:r w:rsidRPr="008B6E37">
        <w:rPr>
          <w:rFonts w:ascii="Calibri" w:eastAsia="Times New Roman" w:hAnsi="Calibri" w:cs="Times New Roman"/>
          <w:sz w:val="20"/>
          <w:szCs w:val="20"/>
        </w:rPr>
        <w:t xml:space="preserve">Report On Violence Against Women In North And South Kivu, In The Democratic Republic Of Congo: Alternative Report </w:t>
      </w:r>
      <w:r>
        <w:rPr>
          <w:rFonts w:ascii="Calibri" w:eastAsia="Times New Roman" w:hAnsi="Calibri" w:cs="Times New Roman"/>
          <w:sz w:val="20"/>
          <w:szCs w:val="20"/>
        </w:rPr>
        <w:t>For The CEDAW Committee”’(2013) (World Organisation against Torture)</w:t>
      </w:r>
      <w:r w:rsidRPr="008B6E37">
        <w:rPr>
          <w:rFonts w:ascii="Calibri" w:eastAsia="Times New Roman" w:hAnsi="Calibri" w:cs="Times New Roman"/>
          <w:sz w:val="20"/>
          <w:szCs w:val="20"/>
        </w:rPr>
        <w:t xml:space="preserve"> </w:t>
      </w:r>
      <w:r w:rsidRPr="008B6E37">
        <w:rPr>
          <w:rFonts w:ascii="Calibri" w:hAnsi="Calibri"/>
          <w:sz w:val="20"/>
          <w:szCs w:val="20"/>
          <w:lang w:val="en-US"/>
        </w:rPr>
        <w:t>p</w:t>
      </w:r>
      <w:r>
        <w:rPr>
          <w:rFonts w:ascii="Calibri" w:hAnsi="Calibri"/>
          <w:sz w:val="20"/>
          <w:szCs w:val="20"/>
          <w:lang w:val="en-US"/>
        </w:rPr>
        <w:t>.</w:t>
      </w:r>
      <w:r w:rsidRPr="008B6E37">
        <w:rPr>
          <w:rFonts w:ascii="Calibri" w:hAnsi="Calibri"/>
          <w:sz w:val="20"/>
          <w:szCs w:val="20"/>
          <w:lang w:val="en-US"/>
        </w:rPr>
        <w:t xml:space="preserve"> 1. </w:t>
      </w:r>
    </w:p>
  </w:footnote>
  <w:footnote w:id="128">
    <w:p w14:paraId="069DB99D" w14:textId="2665D6A4" w:rsidR="00D75A79" w:rsidRPr="008B6E37" w:rsidRDefault="00D75A79" w:rsidP="00151500">
      <w:pPr>
        <w:jc w:val="both"/>
        <w:rPr>
          <w:rFonts w:ascii="Calibri" w:eastAsia="Times New Roman" w:hAnsi="Calibri" w:cs="Times New Roman"/>
          <w:color w:val="3F3F3F"/>
          <w:sz w:val="20"/>
          <w:szCs w:val="20"/>
        </w:rPr>
      </w:pPr>
      <w:r w:rsidRPr="008B6E37">
        <w:rPr>
          <w:rStyle w:val="FootnoteReference"/>
          <w:rFonts w:ascii="Calibri" w:hAnsi="Calibri"/>
          <w:sz w:val="20"/>
          <w:szCs w:val="20"/>
        </w:rPr>
        <w:footnoteRef/>
      </w:r>
      <w:r w:rsidRPr="008B6E37">
        <w:rPr>
          <w:rFonts w:ascii="Calibri" w:hAnsi="Calibri"/>
          <w:sz w:val="20"/>
          <w:szCs w:val="20"/>
        </w:rPr>
        <w:t xml:space="preserve"> </w:t>
      </w:r>
      <w:r w:rsidRPr="008B6E37">
        <w:rPr>
          <w:rFonts w:ascii="Calibri" w:eastAsia="Times New Roman" w:hAnsi="Calibri" w:cs="Times New Roman"/>
          <w:color w:val="000000" w:themeColor="text1"/>
          <w:sz w:val="20"/>
          <w:szCs w:val="20"/>
        </w:rPr>
        <w:t>Committee on the Elimination of Discrimination Against Women (CEDAW Committee)</w:t>
      </w:r>
      <w:r w:rsidRPr="008B6E37">
        <w:rPr>
          <w:rFonts w:ascii="Calibri" w:eastAsia="Times New Roman" w:hAnsi="Calibri" w:cs="Times New Roman"/>
          <w:i/>
          <w:color w:val="000000" w:themeColor="text1"/>
          <w:sz w:val="20"/>
          <w:szCs w:val="20"/>
        </w:rPr>
        <w:t xml:space="preserve"> Consideration of reports submitted by States parties under article 18 of the Convention on the Elimination of All Forms of Discrimination against Women, Combined 6</w:t>
      </w:r>
      <w:r w:rsidRPr="008B6E37">
        <w:rPr>
          <w:rFonts w:ascii="Calibri" w:eastAsia="Times New Roman" w:hAnsi="Calibri" w:cs="Times New Roman"/>
          <w:i/>
          <w:color w:val="000000" w:themeColor="text1"/>
          <w:sz w:val="20"/>
          <w:szCs w:val="20"/>
          <w:vertAlign w:val="superscript"/>
        </w:rPr>
        <w:t>th</w:t>
      </w:r>
      <w:r w:rsidRPr="008B6E37">
        <w:rPr>
          <w:rFonts w:ascii="Calibri" w:eastAsia="Times New Roman" w:hAnsi="Calibri" w:cs="Times New Roman"/>
          <w:i/>
          <w:color w:val="000000" w:themeColor="text1"/>
          <w:sz w:val="20"/>
          <w:szCs w:val="20"/>
        </w:rPr>
        <w:t xml:space="preserve"> and 7</w:t>
      </w:r>
      <w:r w:rsidRPr="008B6E37">
        <w:rPr>
          <w:rFonts w:ascii="Calibri" w:eastAsia="Times New Roman" w:hAnsi="Calibri" w:cs="Times New Roman"/>
          <w:i/>
          <w:color w:val="000000" w:themeColor="text1"/>
          <w:sz w:val="20"/>
          <w:szCs w:val="20"/>
          <w:vertAlign w:val="superscript"/>
        </w:rPr>
        <w:t>th</w:t>
      </w:r>
      <w:r w:rsidRPr="008B6E37">
        <w:rPr>
          <w:rFonts w:ascii="Calibri" w:eastAsia="Times New Roman" w:hAnsi="Calibri" w:cs="Times New Roman"/>
          <w:i/>
          <w:color w:val="000000" w:themeColor="text1"/>
          <w:sz w:val="20"/>
          <w:szCs w:val="20"/>
        </w:rPr>
        <w:t xml:space="preserve"> pe</w:t>
      </w:r>
      <w:r>
        <w:rPr>
          <w:rFonts w:ascii="Calibri" w:eastAsia="Times New Roman" w:hAnsi="Calibri" w:cs="Times New Roman"/>
          <w:i/>
          <w:color w:val="000000" w:themeColor="text1"/>
          <w:sz w:val="20"/>
          <w:szCs w:val="20"/>
        </w:rPr>
        <w:t xml:space="preserve">riodic report of States Parties: </w:t>
      </w:r>
      <w:r w:rsidRPr="008B6E37">
        <w:rPr>
          <w:rFonts w:ascii="Calibri" w:eastAsia="Times New Roman" w:hAnsi="Calibri" w:cs="Times New Roman"/>
          <w:i/>
          <w:color w:val="000000" w:themeColor="text1"/>
          <w:sz w:val="20"/>
          <w:szCs w:val="20"/>
        </w:rPr>
        <w:t xml:space="preserve">DRC, </w:t>
      </w:r>
      <w:r w:rsidRPr="008B6E37">
        <w:rPr>
          <w:rFonts w:ascii="Calibri" w:eastAsia="Times New Roman" w:hAnsi="Calibri" w:cs="Times New Roman"/>
          <w:iCs/>
          <w:color w:val="000000" w:themeColor="text1"/>
          <w:sz w:val="20"/>
          <w:szCs w:val="20"/>
        </w:rPr>
        <w:t xml:space="preserve">21 December 2011, </w:t>
      </w:r>
      <w:r w:rsidRPr="008B6E37">
        <w:rPr>
          <w:rFonts w:ascii="Calibri" w:eastAsia="Times New Roman" w:hAnsi="Calibri" w:cs="Times New Roman"/>
          <w:color w:val="000000" w:themeColor="text1"/>
          <w:sz w:val="20"/>
          <w:szCs w:val="20"/>
        </w:rPr>
        <w:t xml:space="preserve">CEDAW/C/COD/6-7, p </w:t>
      </w:r>
      <w:r w:rsidRPr="008B6E37">
        <w:rPr>
          <w:rFonts w:ascii="Calibri" w:hAnsi="Calibri"/>
          <w:color w:val="000000" w:themeColor="text1"/>
          <w:sz w:val="20"/>
          <w:szCs w:val="20"/>
          <w:lang w:val="en-US"/>
        </w:rPr>
        <w:t>23.</w:t>
      </w:r>
    </w:p>
  </w:footnote>
  <w:footnote w:id="129">
    <w:p w14:paraId="6BE65D3A" w14:textId="028E5349" w:rsidR="00D75A79" w:rsidRPr="008B6E37" w:rsidRDefault="00D75A79" w:rsidP="00151500">
      <w:pPr>
        <w:jc w:val="both"/>
        <w:rPr>
          <w:rFonts w:ascii="Calibri" w:eastAsia="Times New Roman" w:hAnsi="Calibri" w:cs="Times New Roman"/>
          <w:sz w:val="16"/>
          <w:szCs w:val="16"/>
        </w:rPr>
      </w:pPr>
      <w:r w:rsidRPr="008B6E37">
        <w:rPr>
          <w:rStyle w:val="FootnoteReference"/>
          <w:rFonts w:ascii="Calibri" w:hAnsi="Calibri"/>
          <w:sz w:val="20"/>
          <w:szCs w:val="20"/>
        </w:rPr>
        <w:footnoteRef/>
      </w:r>
      <w:r w:rsidRPr="008B6E37">
        <w:rPr>
          <w:rFonts w:ascii="Calibri" w:hAnsi="Calibri"/>
          <w:sz w:val="20"/>
          <w:szCs w:val="20"/>
        </w:rPr>
        <w:t xml:space="preserve"> </w:t>
      </w:r>
      <w:r w:rsidRPr="008B6E37">
        <w:rPr>
          <w:rFonts w:ascii="Calibri" w:eastAsia="Times New Roman" w:hAnsi="Calibri" w:cs="Times New Roman"/>
          <w:sz w:val="20"/>
          <w:szCs w:val="20"/>
        </w:rPr>
        <w:t>Barbara Miller, Mil</w:t>
      </w:r>
      <w:r>
        <w:rPr>
          <w:rFonts w:ascii="Calibri" w:eastAsia="Times New Roman" w:hAnsi="Calibri" w:cs="Times New Roman"/>
          <w:sz w:val="20"/>
          <w:szCs w:val="20"/>
        </w:rPr>
        <w:t>ad Pournik and Aisling Swaine, ‘’</w:t>
      </w:r>
      <w:r w:rsidRPr="008B6E37">
        <w:rPr>
          <w:rFonts w:ascii="Calibri" w:eastAsia="Times New Roman" w:hAnsi="Calibri" w:cs="Times New Roman"/>
          <w:sz w:val="20"/>
          <w:szCs w:val="20"/>
        </w:rPr>
        <w:t>Women In Peace And Security Through United Nations Security Resolution 1325: Literature Review, Content Analysis Of National Ac</w:t>
      </w:r>
      <w:r>
        <w:rPr>
          <w:rFonts w:ascii="Calibri" w:eastAsia="Times New Roman" w:hAnsi="Calibri" w:cs="Times New Roman"/>
          <w:sz w:val="20"/>
          <w:szCs w:val="20"/>
        </w:rPr>
        <w:t xml:space="preserve">tion Plans, And Implementation’ (2014) </w:t>
      </w:r>
      <w:r w:rsidRPr="008B6E37">
        <w:rPr>
          <w:rFonts w:ascii="Calibri" w:eastAsia="Times New Roman" w:hAnsi="Calibri" w:cs="Times New Roman"/>
          <w:sz w:val="20"/>
          <w:szCs w:val="20"/>
        </w:rPr>
        <w:t>(Institute for Global and International Studies, Geor</w:t>
      </w:r>
      <w:r>
        <w:rPr>
          <w:rFonts w:ascii="Calibri" w:eastAsia="Times New Roman" w:hAnsi="Calibri" w:cs="Times New Roman"/>
          <w:sz w:val="20"/>
          <w:szCs w:val="20"/>
        </w:rPr>
        <w:t xml:space="preserve">ge Washington University) (Miller, Pournik and Swaine) </w:t>
      </w:r>
      <w:r w:rsidRPr="008B6E37">
        <w:rPr>
          <w:rFonts w:ascii="Calibri" w:eastAsia="Times New Roman" w:hAnsi="Calibri" w:cs="Times New Roman"/>
          <w:sz w:val="20"/>
          <w:szCs w:val="20"/>
        </w:rPr>
        <w:t>p</w:t>
      </w:r>
      <w:r>
        <w:rPr>
          <w:rFonts w:ascii="Calibri" w:eastAsia="Times New Roman" w:hAnsi="Calibri" w:cs="Times New Roman"/>
          <w:sz w:val="20"/>
          <w:szCs w:val="20"/>
        </w:rPr>
        <w:t>.</w:t>
      </w:r>
      <w:r w:rsidRPr="008B6E37">
        <w:rPr>
          <w:rFonts w:ascii="Calibri" w:eastAsia="Times New Roman" w:hAnsi="Calibri" w:cs="Times New Roman"/>
          <w:sz w:val="20"/>
          <w:szCs w:val="20"/>
        </w:rPr>
        <w:t xml:space="preserve"> 94-95.</w:t>
      </w:r>
    </w:p>
  </w:footnote>
  <w:footnote w:id="130">
    <w:p w14:paraId="614D83A0" w14:textId="56507B2D" w:rsidR="00D75A79" w:rsidRDefault="00D75A79" w:rsidP="00151500">
      <w:pPr>
        <w:pStyle w:val="FootnoteText"/>
      </w:pPr>
      <w:r w:rsidRPr="008B6E37">
        <w:rPr>
          <w:rStyle w:val="FootnoteReference"/>
          <w:rFonts w:ascii="Calibri" w:hAnsi="Calibri"/>
        </w:rPr>
        <w:footnoteRef/>
      </w:r>
      <w:r>
        <w:t xml:space="preserve"> </w:t>
      </w:r>
      <w:r w:rsidRPr="00030718">
        <w:rPr>
          <w:rFonts w:asciiTheme="majorHAnsi" w:eastAsia="Times New Roman" w:hAnsiTheme="majorHAnsi" w:cs="Times New Roman"/>
        </w:rPr>
        <w:t>Ministry of Gender, Family and Child</w:t>
      </w:r>
      <w:r>
        <w:rPr>
          <w:rFonts w:asciiTheme="majorHAnsi" w:eastAsia="Times New Roman" w:hAnsiTheme="majorHAnsi" w:cs="Times New Roman"/>
        </w:rPr>
        <w:t>ren, “</w:t>
      </w:r>
      <w:r w:rsidRPr="00030718">
        <w:rPr>
          <w:rFonts w:asciiTheme="majorHAnsi" w:eastAsia="Times New Roman" w:hAnsiTheme="majorHAnsi" w:cs="Times New Roman"/>
        </w:rPr>
        <w:t xml:space="preserve">The Government's Action Plan Of The Democratic Republic Of The Congo For The Purposes Of Resolution 1325 Of The </w:t>
      </w:r>
      <w:r>
        <w:rPr>
          <w:rFonts w:asciiTheme="majorHAnsi" w:eastAsia="Times New Roman" w:hAnsiTheme="majorHAnsi" w:cs="Times New Roman"/>
        </w:rPr>
        <w:t>United Nations Security Council”</w:t>
      </w:r>
      <w:r w:rsidRPr="00030718">
        <w:rPr>
          <w:rFonts w:asciiTheme="majorHAnsi" w:eastAsia="Times New Roman" w:hAnsiTheme="majorHAnsi" w:cs="Times New Roman"/>
        </w:rPr>
        <w:t xml:space="preserve"> (</w:t>
      </w:r>
      <w:r>
        <w:rPr>
          <w:rFonts w:asciiTheme="majorHAnsi" w:eastAsia="Times New Roman" w:hAnsiTheme="majorHAnsi" w:cs="Times New Roman"/>
        </w:rPr>
        <w:t>Kinhasa;</w:t>
      </w:r>
      <w:r w:rsidRPr="00030718">
        <w:rPr>
          <w:rFonts w:asciiTheme="majorHAnsi" w:eastAsia="Times New Roman" w:hAnsiTheme="majorHAnsi" w:cs="Times New Roman"/>
        </w:rPr>
        <w:t xml:space="preserve"> 2010),</w:t>
      </w:r>
      <w:r>
        <w:rPr>
          <w:rFonts w:asciiTheme="majorHAnsi" w:eastAsia="Times New Roman" w:hAnsiTheme="majorHAnsi" w:cs="Times New Roman"/>
        </w:rPr>
        <w:t xml:space="preserve"> p. 3.</w:t>
      </w:r>
    </w:p>
  </w:footnote>
  <w:footnote w:id="131">
    <w:p w14:paraId="7F937CCF" w14:textId="1546B0DC" w:rsidR="00D75A79" w:rsidRPr="00A21C98" w:rsidRDefault="00D75A79" w:rsidP="005C68CA">
      <w:pPr>
        <w:rPr>
          <w:rFonts w:ascii="Calibri" w:eastAsia="Times New Roman" w:hAnsi="Calibri" w:cs="Times New Roman"/>
          <w:sz w:val="20"/>
          <w:szCs w:val="20"/>
        </w:rPr>
      </w:pPr>
      <w:r w:rsidRPr="00A21C98">
        <w:rPr>
          <w:rStyle w:val="FootnoteReference"/>
          <w:rFonts w:ascii="Calibri" w:hAnsi="Calibri"/>
          <w:sz w:val="20"/>
          <w:szCs w:val="20"/>
        </w:rPr>
        <w:footnoteRef/>
      </w:r>
      <w:r w:rsidRPr="00A21C98">
        <w:rPr>
          <w:rFonts w:ascii="Calibri" w:hAnsi="Calibri"/>
          <w:sz w:val="20"/>
          <w:szCs w:val="20"/>
        </w:rPr>
        <w:t xml:space="preserve"> </w:t>
      </w:r>
      <w:r w:rsidRPr="00A21C98">
        <w:rPr>
          <w:rFonts w:ascii="Calibri" w:eastAsia="Times New Roman" w:hAnsi="Calibri" w:cs="Times New Roman"/>
          <w:sz w:val="20"/>
          <w:szCs w:val="20"/>
        </w:rPr>
        <w:t xml:space="preserve">Ibid, </w:t>
      </w:r>
      <w:r w:rsidRPr="00A21C98">
        <w:rPr>
          <w:rFonts w:ascii="Calibri" w:hAnsi="Calibri"/>
          <w:sz w:val="20"/>
          <w:szCs w:val="20"/>
          <w:lang w:val="en-US"/>
        </w:rPr>
        <w:t>p 4.</w:t>
      </w:r>
    </w:p>
  </w:footnote>
  <w:footnote w:id="132">
    <w:p w14:paraId="582800C4" w14:textId="457C5C32" w:rsidR="00D75A79" w:rsidRPr="00A21C98" w:rsidRDefault="00D75A79" w:rsidP="005C68CA">
      <w:pPr>
        <w:pStyle w:val="FootnoteText"/>
        <w:rPr>
          <w:rFonts w:ascii="Calibri" w:hAnsi="Calibri"/>
        </w:rPr>
      </w:pPr>
      <w:r w:rsidRPr="00A21C98">
        <w:rPr>
          <w:rStyle w:val="FootnoteReference"/>
          <w:rFonts w:ascii="Calibri" w:hAnsi="Calibri"/>
        </w:rPr>
        <w:footnoteRef/>
      </w:r>
      <w:r w:rsidRPr="00A21C98">
        <w:rPr>
          <w:rFonts w:ascii="Calibri" w:hAnsi="Calibri"/>
        </w:rPr>
        <w:t xml:space="preserve"> Miller</w:t>
      </w:r>
      <w:r>
        <w:rPr>
          <w:rFonts w:ascii="Calibri" w:hAnsi="Calibri"/>
        </w:rPr>
        <w:t>, Pournik and Swaine, ibid.</w:t>
      </w:r>
    </w:p>
  </w:footnote>
  <w:footnote w:id="133">
    <w:p w14:paraId="1A8BE77E" w14:textId="7BFBB760" w:rsidR="00D75A79" w:rsidRPr="00A21C98" w:rsidRDefault="00D75A79" w:rsidP="005C68CA">
      <w:pPr>
        <w:rPr>
          <w:rFonts w:ascii="Calibri" w:eastAsia="Times New Roman" w:hAnsi="Calibri" w:cs="Times New Roman"/>
          <w:sz w:val="20"/>
          <w:szCs w:val="20"/>
        </w:rPr>
      </w:pPr>
      <w:r w:rsidRPr="00A21C98">
        <w:rPr>
          <w:rStyle w:val="FootnoteReference"/>
          <w:rFonts w:ascii="Calibri" w:hAnsi="Calibri"/>
          <w:sz w:val="20"/>
          <w:szCs w:val="20"/>
        </w:rPr>
        <w:footnoteRef/>
      </w:r>
      <w:r w:rsidRPr="00A21C98">
        <w:rPr>
          <w:rFonts w:ascii="Calibri" w:hAnsi="Calibri"/>
          <w:sz w:val="20"/>
          <w:szCs w:val="20"/>
        </w:rPr>
        <w:t xml:space="preserve"> </w:t>
      </w:r>
      <w:r w:rsidRPr="00A21C98">
        <w:rPr>
          <w:rFonts w:ascii="Calibri" w:eastAsia="Times New Roman" w:hAnsi="Calibri" w:cs="Times New Roman"/>
          <w:sz w:val="20"/>
          <w:szCs w:val="20"/>
        </w:rPr>
        <w:t xml:space="preserve">African Development </w:t>
      </w:r>
      <w:r>
        <w:rPr>
          <w:rFonts w:ascii="Calibri" w:eastAsia="Times New Roman" w:hAnsi="Calibri" w:cs="Times New Roman"/>
          <w:sz w:val="20"/>
          <w:szCs w:val="20"/>
        </w:rPr>
        <w:t>Bank/African Development Fund, ‘</w:t>
      </w:r>
      <w:r w:rsidRPr="00A21C98">
        <w:rPr>
          <w:rFonts w:ascii="Calibri" w:eastAsia="Times New Roman" w:hAnsi="Calibri" w:cs="Times New Roman"/>
          <w:sz w:val="20"/>
          <w:szCs w:val="20"/>
        </w:rPr>
        <w:t>Democratic Republic Of Congo: 2</w:t>
      </w:r>
      <w:r>
        <w:rPr>
          <w:rFonts w:ascii="Calibri" w:eastAsia="Times New Roman" w:hAnsi="Calibri" w:cs="Times New Roman"/>
          <w:sz w:val="20"/>
          <w:szCs w:val="20"/>
        </w:rPr>
        <w:t>013-2017 Country Strategy Paper’,</w:t>
      </w:r>
      <w:r w:rsidRPr="00A21C98">
        <w:rPr>
          <w:rFonts w:ascii="Calibri" w:eastAsia="Times New Roman" w:hAnsi="Calibri" w:cs="Times New Roman"/>
          <w:sz w:val="20"/>
          <w:szCs w:val="20"/>
        </w:rPr>
        <w:t xml:space="preserve"> (Regional Department Centre ORCE/CDFO 2013).</w:t>
      </w:r>
    </w:p>
  </w:footnote>
  <w:footnote w:id="134">
    <w:p w14:paraId="33739C56" w14:textId="23E2B103" w:rsidR="00D75A79" w:rsidRPr="002F44E4" w:rsidRDefault="00D75A79" w:rsidP="0020207B">
      <w:pPr>
        <w:rPr>
          <w:rFonts w:ascii="Calibri" w:eastAsia="Times New Roman" w:hAnsi="Calibri" w:cs="Times New Roman"/>
          <w:sz w:val="20"/>
          <w:szCs w:val="20"/>
        </w:rPr>
      </w:pPr>
      <w:r w:rsidRPr="002F44E4">
        <w:rPr>
          <w:rStyle w:val="FootnoteReference"/>
          <w:rFonts w:ascii="Calibri" w:hAnsi="Calibri"/>
          <w:sz w:val="20"/>
          <w:szCs w:val="20"/>
        </w:rPr>
        <w:footnoteRef/>
      </w:r>
      <w:r w:rsidRPr="002F44E4">
        <w:rPr>
          <w:rFonts w:ascii="Calibri" w:hAnsi="Calibri"/>
          <w:sz w:val="20"/>
          <w:szCs w:val="20"/>
        </w:rPr>
        <w:t xml:space="preserve"> </w:t>
      </w:r>
      <w:r>
        <w:rPr>
          <w:rFonts w:ascii="Calibri" w:eastAsia="Times New Roman" w:hAnsi="Calibri" w:cs="Times New Roman"/>
          <w:sz w:val="20"/>
          <w:szCs w:val="20"/>
        </w:rPr>
        <w:t>Marcy Hersh, ‘C</w:t>
      </w:r>
      <w:r w:rsidRPr="002F44E4">
        <w:rPr>
          <w:rFonts w:ascii="Calibri" w:eastAsia="Times New Roman" w:hAnsi="Calibri" w:cs="Times New Roman"/>
          <w:sz w:val="20"/>
          <w:szCs w:val="20"/>
        </w:rPr>
        <w:t>ongolese Women: What Happe</w:t>
      </w:r>
      <w:r>
        <w:rPr>
          <w:rFonts w:ascii="Calibri" w:eastAsia="Times New Roman" w:hAnsi="Calibri" w:cs="Times New Roman"/>
          <w:sz w:val="20"/>
          <w:szCs w:val="20"/>
        </w:rPr>
        <w:t xml:space="preserve">ned To The Promise To Protect?’ </w:t>
      </w:r>
      <w:r w:rsidRPr="002F44E4">
        <w:rPr>
          <w:rFonts w:ascii="Calibri" w:eastAsia="Times New Roman" w:hAnsi="Calibri" w:cs="Times New Roman"/>
          <w:sz w:val="20"/>
          <w:szCs w:val="20"/>
        </w:rPr>
        <w:t xml:space="preserve">(Refugees International </w:t>
      </w:r>
      <w:r>
        <w:rPr>
          <w:rFonts w:ascii="Calibri" w:eastAsia="Times New Roman" w:hAnsi="Calibri" w:cs="Times New Roman"/>
          <w:sz w:val="20"/>
          <w:szCs w:val="20"/>
        </w:rPr>
        <w:t>,2015) (Hersh)</w:t>
      </w:r>
      <w:r w:rsidRPr="002F44E4">
        <w:rPr>
          <w:rFonts w:ascii="Calibri" w:eastAsia="Times New Roman" w:hAnsi="Calibri" w:cs="Times New Roman"/>
          <w:sz w:val="20"/>
          <w:szCs w:val="20"/>
        </w:rPr>
        <w:t xml:space="preserve"> p</w:t>
      </w:r>
      <w:r>
        <w:rPr>
          <w:rFonts w:ascii="Calibri" w:eastAsia="Times New Roman" w:hAnsi="Calibri" w:cs="Times New Roman"/>
          <w:sz w:val="20"/>
          <w:szCs w:val="20"/>
        </w:rPr>
        <w:t>.</w:t>
      </w:r>
      <w:r w:rsidRPr="002F44E4">
        <w:rPr>
          <w:rFonts w:ascii="Calibri" w:eastAsia="Times New Roman" w:hAnsi="Calibri" w:cs="Times New Roman"/>
          <w:sz w:val="20"/>
          <w:szCs w:val="20"/>
        </w:rPr>
        <w:t xml:space="preserve"> 34.</w:t>
      </w:r>
    </w:p>
  </w:footnote>
  <w:footnote w:id="135">
    <w:p w14:paraId="754167A8" w14:textId="6D67A01D" w:rsidR="00D75A79" w:rsidRPr="002F44E4" w:rsidRDefault="00D75A79" w:rsidP="0020207B">
      <w:pPr>
        <w:rPr>
          <w:rFonts w:ascii="Calibri" w:eastAsia="Times New Roman" w:hAnsi="Calibri" w:cs="Times New Roman"/>
          <w:sz w:val="20"/>
          <w:szCs w:val="20"/>
        </w:rPr>
      </w:pPr>
      <w:r w:rsidRPr="002F44E4">
        <w:rPr>
          <w:rStyle w:val="FootnoteReference"/>
          <w:rFonts w:ascii="Calibri" w:hAnsi="Calibri"/>
          <w:sz w:val="20"/>
          <w:szCs w:val="20"/>
        </w:rPr>
        <w:footnoteRef/>
      </w:r>
      <w:r w:rsidRPr="002F44E4">
        <w:rPr>
          <w:rFonts w:ascii="Calibri" w:hAnsi="Calibri"/>
          <w:sz w:val="20"/>
          <w:szCs w:val="20"/>
        </w:rPr>
        <w:t xml:space="preserve"> </w:t>
      </w:r>
      <w:r>
        <w:rPr>
          <w:rFonts w:ascii="Calibri" w:hAnsi="Calibri"/>
          <w:sz w:val="20"/>
          <w:szCs w:val="20"/>
          <w:lang w:val="en-US"/>
        </w:rPr>
        <w:t>Ibid.</w:t>
      </w:r>
      <w:r w:rsidRPr="002F44E4">
        <w:rPr>
          <w:rFonts w:ascii="Calibri" w:hAnsi="Calibri"/>
          <w:sz w:val="20"/>
          <w:szCs w:val="20"/>
          <w:lang w:val="en-US"/>
        </w:rPr>
        <w:t xml:space="preserve"> p 33; see also </w:t>
      </w:r>
      <w:r>
        <w:rPr>
          <w:rFonts w:ascii="Calibri" w:eastAsia="Times New Roman" w:hAnsi="Calibri" w:cs="Times New Roman"/>
          <w:sz w:val="20"/>
          <w:szCs w:val="20"/>
        </w:rPr>
        <w:t>Clàr Ní Chonghaile, ‘To</w:t>
      </w:r>
      <w:r w:rsidRPr="002F44E4">
        <w:rPr>
          <w:rFonts w:ascii="Calibri" w:eastAsia="Times New Roman" w:hAnsi="Calibri" w:cs="Times New Roman"/>
          <w:sz w:val="20"/>
          <w:szCs w:val="20"/>
        </w:rPr>
        <w:t>p Congo Official Hopes To Shed Country's 'Rape Capital Of The World' Tag</w:t>
      </w:r>
      <w:r>
        <w:rPr>
          <w:rFonts w:ascii="Calibri" w:eastAsia="Times New Roman" w:hAnsi="Calibri" w:cs="Times New Roman"/>
          <w:sz w:val="20"/>
          <w:szCs w:val="20"/>
        </w:rPr>
        <w:t xml:space="preserve">’ </w:t>
      </w:r>
      <w:r w:rsidRPr="002F44E4">
        <w:rPr>
          <w:rFonts w:ascii="Calibri" w:eastAsia="Times New Roman" w:hAnsi="Calibri" w:cs="Times New Roman"/>
          <w:i/>
          <w:iCs/>
          <w:sz w:val="20"/>
          <w:szCs w:val="20"/>
        </w:rPr>
        <w:t>Guardian</w:t>
      </w:r>
      <w:r>
        <w:rPr>
          <w:rFonts w:ascii="Calibri" w:eastAsia="Times New Roman" w:hAnsi="Calibri" w:cs="Times New Roman"/>
          <w:sz w:val="20"/>
          <w:szCs w:val="20"/>
        </w:rPr>
        <w:t xml:space="preserve"> (2015) available from: </w:t>
      </w:r>
      <w:r w:rsidRPr="002F44E4">
        <w:rPr>
          <w:rFonts w:ascii="Calibri" w:eastAsia="Times New Roman" w:hAnsi="Calibri" w:cs="Times New Roman"/>
          <w:sz w:val="20"/>
          <w:szCs w:val="20"/>
        </w:rPr>
        <w:t>http://www.theguardian.com/global-development/2015/mar/04/congo-presidential-advi</w:t>
      </w:r>
      <w:r>
        <w:rPr>
          <w:rFonts w:ascii="Calibri" w:eastAsia="Times New Roman" w:hAnsi="Calibri" w:cs="Times New Roman"/>
          <w:sz w:val="20"/>
          <w:szCs w:val="20"/>
        </w:rPr>
        <w:t>ser-hopes-shed-rape-capital-tag</w:t>
      </w:r>
      <w:r w:rsidRPr="002F44E4">
        <w:rPr>
          <w:rFonts w:ascii="Calibri" w:eastAsia="Times New Roman" w:hAnsi="Calibri" w:cs="Times New Roman"/>
          <w:sz w:val="20"/>
          <w:szCs w:val="20"/>
        </w:rPr>
        <w:t>.</w:t>
      </w:r>
    </w:p>
  </w:footnote>
  <w:footnote w:id="136">
    <w:p w14:paraId="043C8127" w14:textId="42D18FA8" w:rsidR="00D75A79" w:rsidRPr="00A21C98" w:rsidRDefault="00D75A79" w:rsidP="005C68CA">
      <w:pPr>
        <w:pStyle w:val="FootnoteText"/>
        <w:rPr>
          <w:rFonts w:ascii="Calibri" w:hAnsi="Calibri"/>
        </w:rPr>
      </w:pPr>
      <w:r w:rsidRPr="00A21C98">
        <w:rPr>
          <w:rStyle w:val="FootnoteReference"/>
          <w:rFonts w:ascii="Calibri" w:hAnsi="Calibri"/>
        </w:rPr>
        <w:footnoteRef/>
      </w:r>
      <w:r w:rsidRPr="00A21C98">
        <w:rPr>
          <w:rFonts w:ascii="Calibri" w:hAnsi="Calibri"/>
        </w:rPr>
        <w:t xml:space="preserve"> Ibid</w:t>
      </w:r>
      <w:r>
        <w:rPr>
          <w:rFonts w:ascii="Calibri" w:hAnsi="Calibri"/>
        </w:rPr>
        <w:t>.</w:t>
      </w:r>
    </w:p>
  </w:footnote>
  <w:footnote w:id="137">
    <w:p w14:paraId="2033675F" w14:textId="1D8745BF" w:rsidR="00D75A79" w:rsidRPr="00A21C98" w:rsidRDefault="00D75A79" w:rsidP="005C68CA">
      <w:pPr>
        <w:rPr>
          <w:rFonts w:ascii="Calibri" w:eastAsia="Times New Roman" w:hAnsi="Calibri" w:cs="Times New Roman"/>
          <w:sz w:val="20"/>
          <w:szCs w:val="20"/>
        </w:rPr>
      </w:pPr>
      <w:r w:rsidRPr="00A21C98">
        <w:rPr>
          <w:rStyle w:val="FootnoteReference"/>
          <w:rFonts w:ascii="Calibri" w:hAnsi="Calibri"/>
          <w:sz w:val="20"/>
          <w:szCs w:val="20"/>
        </w:rPr>
        <w:footnoteRef/>
      </w:r>
      <w:r w:rsidRPr="00A21C98">
        <w:rPr>
          <w:rFonts w:ascii="Calibri" w:hAnsi="Calibri"/>
          <w:sz w:val="20"/>
          <w:szCs w:val="20"/>
        </w:rPr>
        <w:t xml:space="preserve"> </w:t>
      </w:r>
      <w:r>
        <w:rPr>
          <w:rFonts w:ascii="Calibri" w:eastAsia="Times New Roman" w:hAnsi="Calibri" w:cs="Times New Roman"/>
          <w:sz w:val="20"/>
          <w:szCs w:val="20"/>
        </w:rPr>
        <w:t>United Nations News Centre, ‘</w:t>
      </w:r>
      <w:r w:rsidRPr="00A21C98">
        <w:rPr>
          <w:rFonts w:ascii="Calibri" w:eastAsia="Times New Roman" w:hAnsi="Calibri" w:cs="Times New Roman"/>
          <w:sz w:val="20"/>
          <w:szCs w:val="20"/>
        </w:rPr>
        <w:t>New UN Statistics Show Alarming Rise In Rapes In Strife-Torn</w:t>
      </w:r>
      <w:r>
        <w:rPr>
          <w:rFonts w:ascii="Calibri" w:eastAsia="Times New Roman" w:hAnsi="Calibri" w:cs="Times New Roman"/>
          <w:sz w:val="20"/>
          <w:szCs w:val="20"/>
        </w:rPr>
        <w:t xml:space="preserve"> Eastern DRC’ (</w:t>
      </w:r>
      <w:r w:rsidRPr="00A21C98">
        <w:rPr>
          <w:rFonts w:ascii="Calibri" w:eastAsia="Times New Roman" w:hAnsi="Calibri" w:cs="Times New Roman"/>
          <w:sz w:val="20"/>
          <w:szCs w:val="20"/>
        </w:rPr>
        <w:t>2013).</w:t>
      </w:r>
    </w:p>
  </w:footnote>
  <w:footnote w:id="138">
    <w:p w14:paraId="6F1175CF" w14:textId="698B69A1" w:rsidR="00D75A79" w:rsidRPr="00A21C98" w:rsidRDefault="00D75A79" w:rsidP="005C68CA">
      <w:pPr>
        <w:pStyle w:val="FootnoteText"/>
        <w:rPr>
          <w:rFonts w:ascii="Calibri" w:hAnsi="Calibri"/>
        </w:rPr>
      </w:pPr>
      <w:r w:rsidRPr="00A21C98">
        <w:rPr>
          <w:rStyle w:val="FootnoteReference"/>
          <w:rFonts w:ascii="Calibri" w:hAnsi="Calibri"/>
        </w:rPr>
        <w:footnoteRef/>
      </w:r>
      <w:r w:rsidRPr="00A21C98">
        <w:rPr>
          <w:rFonts w:ascii="Calibri" w:hAnsi="Calibri"/>
        </w:rPr>
        <w:t xml:space="preserve"> Ibid</w:t>
      </w:r>
      <w:r>
        <w:rPr>
          <w:rFonts w:ascii="Calibri" w:hAnsi="Calibri"/>
        </w:rPr>
        <w:t>.</w:t>
      </w:r>
    </w:p>
  </w:footnote>
  <w:footnote w:id="139">
    <w:p w14:paraId="0BE17F49" w14:textId="149567A8" w:rsidR="00D75A79" w:rsidRPr="003F5D03" w:rsidRDefault="00D75A79" w:rsidP="005C68CA">
      <w:pPr>
        <w:rPr>
          <w:rFonts w:ascii="Calibri" w:eastAsia="Times New Roman" w:hAnsi="Calibri" w:cs="Times New Roman"/>
          <w:sz w:val="20"/>
          <w:szCs w:val="20"/>
        </w:rPr>
      </w:pPr>
      <w:r w:rsidRPr="003F5D03">
        <w:rPr>
          <w:rStyle w:val="FootnoteReference"/>
          <w:rFonts w:ascii="Calibri" w:hAnsi="Calibri"/>
          <w:sz w:val="20"/>
          <w:szCs w:val="20"/>
        </w:rPr>
        <w:footnoteRef/>
      </w:r>
      <w:r w:rsidRPr="003F5D03">
        <w:rPr>
          <w:rFonts w:ascii="Calibri" w:hAnsi="Calibri"/>
          <w:sz w:val="20"/>
          <w:szCs w:val="20"/>
        </w:rPr>
        <w:t xml:space="preserve"> </w:t>
      </w:r>
      <w:r w:rsidRPr="003F5D03">
        <w:rPr>
          <w:rFonts w:ascii="Calibri" w:eastAsia="Times New Roman" w:hAnsi="Calibri" w:cs="Times New Roman"/>
          <w:sz w:val="20"/>
          <w:szCs w:val="20"/>
        </w:rPr>
        <w:t>US Department of State, Bureau of Democracy, Human Rights and Labor, ‘Country Reports On Human Rights Practices for 2013: Democratic Republic of the Congo’ (2014).</w:t>
      </w:r>
    </w:p>
  </w:footnote>
  <w:footnote w:id="140">
    <w:p w14:paraId="64DCDB60" w14:textId="7C617FA4" w:rsidR="00D75A79" w:rsidRPr="003F5D03" w:rsidRDefault="00D75A79" w:rsidP="002F44E4">
      <w:pPr>
        <w:pStyle w:val="FootnoteText"/>
        <w:jc w:val="left"/>
        <w:rPr>
          <w:rFonts w:ascii="Calibri" w:hAnsi="Calibri"/>
        </w:rPr>
      </w:pPr>
      <w:r w:rsidRPr="003F5D03">
        <w:rPr>
          <w:rStyle w:val="FootnoteReference"/>
          <w:rFonts w:ascii="Calibri" w:hAnsi="Calibri"/>
        </w:rPr>
        <w:footnoteRef/>
      </w:r>
      <w:r w:rsidRPr="003F5D03">
        <w:rPr>
          <w:rFonts w:ascii="Calibri" w:hAnsi="Calibri"/>
        </w:rPr>
        <w:t xml:space="preserve"> Global Network of Women </w:t>
      </w:r>
      <w:r>
        <w:rPr>
          <w:rFonts w:ascii="Calibri" w:hAnsi="Calibri"/>
        </w:rPr>
        <w:t>Peace</w:t>
      </w:r>
      <w:r w:rsidRPr="003F5D03">
        <w:rPr>
          <w:rFonts w:ascii="Calibri" w:hAnsi="Calibri"/>
        </w:rPr>
        <w:t xml:space="preserve">builders, </w:t>
      </w:r>
      <w:r w:rsidRPr="003F5D03">
        <w:rPr>
          <w:rFonts w:ascii="Calibri" w:eastAsia="Times New Roman" w:hAnsi="Calibri" w:cs="Times New Roman"/>
        </w:rPr>
        <w:t>‘Women Count - Security Council Resolution 1325: Civil Society Monitoring Report 2013’ (New York, 2013) (Women Count), available from: http://issuu.com/suba_gnwp/docs/women_count_civil_society_monitorin/1?e=8954983/7339869</w:t>
      </w:r>
      <w:r w:rsidRPr="003F5D03">
        <w:rPr>
          <w:rFonts w:ascii="Calibri" w:hAnsi="Calibri"/>
        </w:rPr>
        <w:t xml:space="preserve">, p 32. </w:t>
      </w:r>
    </w:p>
  </w:footnote>
  <w:footnote w:id="141">
    <w:p w14:paraId="07D8D323" w14:textId="2F12AA4D" w:rsidR="00D75A79" w:rsidRPr="003F5D03" w:rsidRDefault="00D75A79" w:rsidP="005C68CA">
      <w:pPr>
        <w:pStyle w:val="FootnoteText"/>
        <w:rPr>
          <w:rFonts w:ascii="Calibri" w:hAnsi="Calibri"/>
        </w:rPr>
      </w:pPr>
      <w:r w:rsidRPr="003F5D03">
        <w:rPr>
          <w:rStyle w:val="FootnoteReference"/>
          <w:rFonts w:ascii="Calibri" w:hAnsi="Calibri"/>
        </w:rPr>
        <w:footnoteRef/>
      </w:r>
      <w:r w:rsidRPr="003F5D03">
        <w:rPr>
          <w:rFonts w:ascii="Calibri" w:hAnsi="Calibri"/>
        </w:rPr>
        <w:t xml:space="preserve"> Ibid, p. 31.</w:t>
      </w:r>
    </w:p>
  </w:footnote>
  <w:footnote w:id="142">
    <w:p w14:paraId="2428905A" w14:textId="410FFB27" w:rsidR="00D75A79" w:rsidRPr="003F5D03" w:rsidRDefault="00D75A79" w:rsidP="005C68CA">
      <w:pPr>
        <w:pStyle w:val="FootnoteText"/>
        <w:rPr>
          <w:rFonts w:ascii="Calibri" w:hAnsi="Calibri"/>
        </w:rPr>
      </w:pPr>
      <w:r w:rsidRPr="003F5D03">
        <w:rPr>
          <w:rStyle w:val="FootnoteReference"/>
          <w:rFonts w:ascii="Calibri" w:hAnsi="Calibri"/>
        </w:rPr>
        <w:footnoteRef/>
      </w:r>
      <w:r w:rsidRPr="003F5D03">
        <w:rPr>
          <w:rFonts w:ascii="Calibri" w:hAnsi="Calibri"/>
        </w:rPr>
        <w:t xml:space="preserve"> </w:t>
      </w:r>
      <w:r w:rsidRPr="003F5D03">
        <w:rPr>
          <w:rFonts w:ascii="Calibri" w:eastAsia="Times New Roman" w:hAnsi="Calibri" w:cs="Times New Roman"/>
        </w:rPr>
        <w:t xml:space="preserve">World Organisation against Torture, </w:t>
      </w:r>
      <w:r w:rsidRPr="003F5D03">
        <w:rPr>
          <w:rFonts w:ascii="Calibri" w:hAnsi="Calibri"/>
        </w:rPr>
        <w:t>p 7.</w:t>
      </w:r>
    </w:p>
  </w:footnote>
  <w:footnote w:id="143">
    <w:p w14:paraId="4E796909" w14:textId="5109BE91" w:rsidR="00D75A79" w:rsidRPr="003F5D03" w:rsidRDefault="00D75A79" w:rsidP="00310376">
      <w:pPr>
        <w:pStyle w:val="FootnoteText"/>
        <w:rPr>
          <w:rFonts w:ascii="Calibri" w:hAnsi="Calibri"/>
        </w:rPr>
      </w:pPr>
      <w:r w:rsidRPr="003F5D03">
        <w:rPr>
          <w:rStyle w:val="FootnoteReference"/>
          <w:rFonts w:ascii="Calibri" w:hAnsi="Calibri"/>
        </w:rPr>
        <w:footnoteRef/>
      </w:r>
      <w:r w:rsidRPr="003F5D03">
        <w:rPr>
          <w:rFonts w:ascii="Calibri" w:hAnsi="Calibri"/>
        </w:rPr>
        <w:t xml:space="preserve"> Global Network of Women Peacebuilders, </w:t>
      </w:r>
      <w:r w:rsidRPr="003F5D03">
        <w:rPr>
          <w:rFonts w:ascii="Calibri" w:eastAsia="Times New Roman" w:hAnsi="Calibri" w:cs="Times New Roman"/>
        </w:rPr>
        <w:t xml:space="preserve">‘Women, Peace And Security Policy Briefs'’(2013) (WPS Policy Briefs) </w:t>
      </w:r>
      <w:r w:rsidRPr="003F5D03">
        <w:rPr>
          <w:rFonts w:ascii="Calibri" w:hAnsi="Calibri"/>
        </w:rPr>
        <w:t xml:space="preserve">p. 23. </w:t>
      </w:r>
    </w:p>
  </w:footnote>
  <w:footnote w:id="144">
    <w:p w14:paraId="424070E8" w14:textId="38B22D4D" w:rsidR="00D75A79" w:rsidRPr="003F5D03" w:rsidRDefault="00D75A79" w:rsidP="00367518">
      <w:pPr>
        <w:rPr>
          <w:rFonts w:ascii="Calibri" w:eastAsia="Times New Roman" w:hAnsi="Calibri" w:cs="Times New Roman"/>
          <w:sz w:val="20"/>
          <w:szCs w:val="20"/>
        </w:rPr>
      </w:pPr>
      <w:r w:rsidRPr="003F5D03">
        <w:rPr>
          <w:rStyle w:val="FootnoteReference"/>
          <w:rFonts w:ascii="Calibri" w:hAnsi="Calibri"/>
          <w:sz w:val="20"/>
          <w:szCs w:val="20"/>
        </w:rPr>
        <w:footnoteRef/>
      </w:r>
      <w:r w:rsidRPr="003F5D03">
        <w:rPr>
          <w:rFonts w:ascii="Calibri" w:hAnsi="Calibri"/>
          <w:sz w:val="20"/>
          <w:szCs w:val="20"/>
        </w:rPr>
        <w:t xml:space="preserve"> </w:t>
      </w:r>
      <w:r w:rsidRPr="003F5D03">
        <w:rPr>
          <w:rFonts w:ascii="Calibri" w:eastAsia="Times New Roman" w:hAnsi="Calibri" w:cs="Times New Roman"/>
          <w:sz w:val="20"/>
          <w:szCs w:val="20"/>
        </w:rPr>
        <w:t xml:space="preserve">Christopher Kuonqui and Hanny Cueva-Beteta, ‘Tracking Implementation Of Security Council Resolution 1325 (2000)’ (UN Women, New York, 2012) p. 12. </w:t>
      </w:r>
    </w:p>
  </w:footnote>
  <w:footnote w:id="145">
    <w:p w14:paraId="3D3852B1" w14:textId="59F97755" w:rsidR="00D75A79" w:rsidRPr="003F5D03" w:rsidRDefault="00D75A79" w:rsidP="00367518">
      <w:pPr>
        <w:pStyle w:val="FootnoteText"/>
        <w:rPr>
          <w:rFonts w:ascii="Calibri" w:hAnsi="Calibri"/>
        </w:rPr>
      </w:pPr>
      <w:r w:rsidRPr="003F5D03">
        <w:rPr>
          <w:rStyle w:val="FootnoteReference"/>
          <w:rFonts w:ascii="Calibri" w:hAnsi="Calibri"/>
        </w:rPr>
        <w:footnoteRef/>
      </w:r>
      <w:r w:rsidRPr="003F5D03">
        <w:rPr>
          <w:rFonts w:ascii="Calibri" w:hAnsi="Calibri"/>
        </w:rPr>
        <w:t xml:space="preserve"> WPS Policy Briefs, p. 23; Women Count, p. 13.</w:t>
      </w:r>
    </w:p>
  </w:footnote>
  <w:footnote w:id="146">
    <w:p w14:paraId="34C9250C" w14:textId="5DF2292A" w:rsidR="00D75A79" w:rsidRPr="003F5D03" w:rsidRDefault="00D75A79" w:rsidP="00367518">
      <w:pPr>
        <w:pStyle w:val="FootnoteText"/>
        <w:rPr>
          <w:rFonts w:ascii="Calibri" w:hAnsi="Calibri"/>
        </w:rPr>
      </w:pPr>
      <w:r w:rsidRPr="003F5D03">
        <w:rPr>
          <w:rStyle w:val="FootnoteReference"/>
          <w:rFonts w:ascii="Calibri" w:hAnsi="Calibri"/>
        </w:rPr>
        <w:footnoteRef/>
      </w:r>
      <w:r w:rsidRPr="003F5D03">
        <w:rPr>
          <w:rFonts w:ascii="Calibri" w:hAnsi="Calibri"/>
        </w:rPr>
        <w:t xml:space="preserve"> Ibid, and Women Count, p. 63.</w:t>
      </w:r>
    </w:p>
  </w:footnote>
  <w:footnote w:id="147">
    <w:p w14:paraId="239F018C" w14:textId="5AF017FD" w:rsidR="00D75A79" w:rsidRPr="003F5D03" w:rsidRDefault="00D75A79" w:rsidP="00367518">
      <w:pPr>
        <w:pStyle w:val="FootnoteText"/>
        <w:rPr>
          <w:rFonts w:ascii="Calibri" w:hAnsi="Calibri"/>
        </w:rPr>
      </w:pPr>
      <w:r w:rsidRPr="003F5D03">
        <w:rPr>
          <w:rStyle w:val="FootnoteReference"/>
          <w:rFonts w:ascii="Calibri" w:hAnsi="Calibri"/>
        </w:rPr>
        <w:footnoteRef/>
      </w:r>
      <w:r w:rsidRPr="003F5D03">
        <w:rPr>
          <w:rFonts w:ascii="Calibri" w:hAnsi="Calibri"/>
        </w:rPr>
        <w:t xml:space="preserve"> Women Count, ibid.</w:t>
      </w:r>
    </w:p>
  </w:footnote>
  <w:footnote w:id="148">
    <w:p w14:paraId="7AA7B9F4" w14:textId="743A090A" w:rsidR="00D75A79" w:rsidRPr="003F5D03" w:rsidRDefault="00D75A79" w:rsidP="00367518">
      <w:pPr>
        <w:pStyle w:val="FootnoteText"/>
        <w:rPr>
          <w:rFonts w:ascii="Calibri" w:hAnsi="Calibri"/>
        </w:rPr>
      </w:pPr>
      <w:r w:rsidRPr="003F5D03">
        <w:rPr>
          <w:rStyle w:val="FootnoteReference"/>
          <w:rFonts w:ascii="Calibri" w:hAnsi="Calibri"/>
        </w:rPr>
        <w:footnoteRef/>
      </w:r>
      <w:r w:rsidRPr="003F5D03">
        <w:rPr>
          <w:rFonts w:ascii="Calibri" w:hAnsi="Calibri"/>
        </w:rPr>
        <w:t xml:space="preserve"> Ibid.</w:t>
      </w:r>
    </w:p>
  </w:footnote>
  <w:footnote w:id="149">
    <w:p w14:paraId="7C3ECA64" w14:textId="273C3359" w:rsidR="00D75A79" w:rsidRPr="003F5D03" w:rsidRDefault="00D75A79" w:rsidP="00367518">
      <w:pPr>
        <w:pStyle w:val="FootnoteText"/>
        <w:rPr>
          <w:rFonts w:ascii="Calibri" w:hAnsi="Calibri"/>
        </w:rPr>
      </w:pPr>
      <w:r w:rsidRPr="003F5D03">
        <w:rPr>
          <w:rStyle w:val="FootnoteReference"/>
          <w:rFonts w:ascii="Calibri" w:hAnsi="Calibri"/>
        </w:rPr>
        <w:footnoteRef/>
      </w:r>
      <w:r w:rsidRPr="003F5D03">
        <w:rPr>
          <w:rFonts w:ascii="Calibri" w:hAnsi="Calibri"/>
        </w:rPr>
        <w:t xml:space="preserve"> Ibid. </w:t>
      </w:r>
    </w:p>
  </w:footnote>
  <w:footnote w:id="150">
    <w:p w14:paraId="5C30D565" w14:textId="1C310EFE" w:rsidR="00D75A79" w:rsidRPr="003F5D03" w:rsidRDefault="00D75A79">
      <w:pPr>
        <w:pStyle w:val="FootnoteText"/>
        <w:rPr>
          <w:rFonts w:ascii="Calibri" w:hAnsi="Calibri"/>
        </w:rPr>
      </w:pPr>
      <w:r w:rsidRPr="003F5D03">
        <w:rPr>
          <w:rStyle w:val="FootnoteReference"/>
          <w:rFonts w:ascii="Calibri" w:hAnsi="Calibri"/>
        </w:rPr>
        <w:footnoteRef/>
      </w:r>
      <w:r w:rsidRPr="003F5D03">
        <w:rPr>
          <w:rFonts w:ascii="Calibri" w:hAnsi="Calibri"/>
        </w:rPr>
        <w:t xml:space="preserve"> WPS Policy Briefs, p. 23.</w:t>
      </w:r>
    </w:p>
  </w:footnote>
  <w:footnote w:id="151">
    <w:p w14:paraId="260B1694" w14:textId="3DDBB859" w:rsidR="00D75A79" w:rsidRPr="003F5D03" w:rsidRDefault="00D75A79" w:rsidP="00367518">
      <w:pPr>
        <w:pStyle w:val="FootnoteText"/>
        <w:rPr>
          <w:rFonts w:ascii="Calibri" w:hAnsi="Calibri"/>
        </w:rPr>
      </w:pPr>
      <w:r w:rsidRPr="003F5D03">
        <w:rPr>
          <w:rStyle w:val="FootnoteReference"/>
          <w:rFonts w:ascii="Calibri" w:hAnsi="Calibri"/>
        </w:rPr>
        <w:footnoteRef/>
      </w:r>
      <w:r w:rsidRPr="003F5D03">
        <w:rPr>
          <w:rFonts w:ascii="Calibri" w:hAnsi="Calibri"/>
        </w:rPr>
        <w:t xml:space="preserve"> </w:t>
      </w:r>
      <w:r w:rsidRPr="003F5D03">
        <w:rPr>
          <w:rFonts w:ascii="Calibri" w:eastAsia="Times New Roman" w:hAnsi="Calibri" w:cs="Times New Roman"/>
        </w:rPr>
        <w:t>World Organisation against Torture,</w:t>
      </w:r>
      <w:r w:rsidRPr="003F5D03">
        <w:rPr>
          <w:rFonts w:ascii="Calibri" w:hAnsi="Calibri"/>
        </w:rPr>
        <w:t xml:space="preserve"> p. 5.</w:t>
      </w:r>
    </w:p>
  </w:footnote>
  <w:footnote w:id="152">
    <w:p w14:paraId="126DE085" w14:textId="3686717F" w:rsidR="00D75A79" w:rsidRPr="00367518" w:rsidRDefault="00D75A79" w:rsidP="00367518">
      <w:pPr>
        <w:pStyle w:val="FootnoteText"/>
        <w:rPr>
          <w:rFonts w:asciiTheme="majorHAnsi" w:hAnsiTheme="majorHAnsi"/>
        </w:rPr>
      </w:pPr>
      <w:r w:rsidRPr="003F5D03">
        <w:rPr>
          <w:rStyle w:val="FootnoteReference"/>
          <w:rFonts w:ascii="Calibri" w:hAnsi="Calibri"/>
        </w:rPr>
        <w:footnoteRef/>
      </w:r>
      <w:r>
        <w:rPr>
          <w:rFonts w:ascii="Calibri" w:hAnsi="Calibri"/>
        </w:rPr>
        <w:t xml:space="preserve"> </w:t>
      </w:r>
      <w:r w:rsidRPr="003F5D03">
        <w:rPr>
          <w:rFonts w:ascii="Calibri" w:hAnsi="Calibri"/>
        </w:rPr>
        <w:t>Women Count, p. 65.</w:t>
      </w:r>
      <w:r w:rsidRPr="00367518">
        <w:rPr>
          <w:rFonts w:ascii="Calibri" w:hAnsi="Calibri"/>
        </w:rPr>
        <w:t xml:space="preserve"> </w:t>
      </w:r>
    </w:p>
  </w:footnote>
  <w:footnote w:id="153">
    <w:p w14:paraId="1EE83240" w14:textId="7BD2F015" w:rsidR="00D75A79" w:rsidRPr="00C179A2" w:rsidRDefault="00D75A79" w:rsidP="005C68CA">
      <w:pPr>
        <w:rPr>
          <w:rFonts w:ascii="Calibri" w:eastAsia="Times New Roman" w:hAnsi="Calibri" w:cs="Times New Roman"/>
          <w:sz w:val="20"/>
          <w:szCs w:val="20"/>
        </w:rPr>
      </w:pPr>
      <w:r w:rsidRPr="00C179A2">
        <w:rPr>
          <w:rStyle w:val="FootnoteReference"/>
          <w:rFonts w:ascii="Calibri" w:hAnsi="Calibri"/>
          <w:sz w:val="20"/>
          <w:szCs w:val="20"/>
        </w:rPr>
        <w:footnoteRef/>
      </w:r>
      <w:r w:rsidRPr="00C179A2">
        <w:rPr>
          <w:rFonts w:ascii="Calibri" w:hAnsi="Calibri"/>
          <w:sz w:val="20"/>
          <w:szCs w:val="20"/>
        </w:rPr>
        <w:t xml:space="preserve"> </w:t>
      </w:r>
      <w:r>
        <w:rPr>
          <w:rFonts w:ascii="Calibri" w:eastAsia="Times New Roman" w:hAnsi="Calibri" w:cs="Times New Roman"/>
          <w:sz w:val="20"/>
          <w:szCs w:val="20"/>
        </w:rPr>
        <w:t>WPS Policy Briefs,</w:t>
      </w:r>
      <w:r w:rsidRPr="00C179A2">
        <w:rPr>
          <w:rFonts w:ascii="Calibri" w:eastAsia="Times New Roman" w:hAnsi="Calibri" w:cs="Times New Roman"/>
          <w:sz w:val="20"/>
          <w:szCs w:val="20"/>
        </w:rPr>
        <w:t xml:space="preserve"> p. 24</w:t>
      </w:r>
      <w:r>
        <w:rPr>
          <w:rFonts w:ascii="Calibri" w:eastAsia="Times New Roman" w:hAnsi="Calibri" w:cs="Times New Roman"/>
          <w:sz w:val="20"/>
          <w:szCs w:val="20"/>
        </w:rPr>
        <w:t>.</w:t>
      </w:r>
    </w:p>
  </w:footnote>
  <w:footnote w:id="154">
    <w:p w14:paraId="4CDC89A1" w14:textId="50E5ADB0" w:rsidR="00D75A79" w:rsidRPr="00C179A2" w:rsidRDefault="00D75A79" w:rsidP="005C68CA">
      <w:pPr>
        <w:rPr>
          <w:rFonts w:ascii="Calibri" w:eastAsia="Times New Roman" w:hAnsi="Calibri" w:cs="Times New Roman"/>
          <w:sz w:val="20"/>
          <w:szCs w:val="20"/>
        </w:rPr>
      </w:pPr>
      <w:r w:rsidRPr="00C179A2">
        <w:rPr>
          <w:rStyle w:val="FootnoteReference"/>
          <w:rFonts w:ascii="Calibri" w:hAnsi="Calibri"/>
          <w:sz w:val="20"/>
          <w:szCs w:val="20"/>
        </w:rPr>
        <w:footnoteRef/>
      </w:r>
      <w:r w:rsidRPr="00C179A2">
        <w:rPr>
          <w:rFonts w:ascii="Calibri" w:hAnsi="Calibri"/>
          <w:sz w:val="20"/>
          <w:szCs w:val="20"/>
        </w:rPr>
        <w:t xml:space="preserve"> Women Count,</w:t>
      </w:r>
      <w:r w:rsidRPr="00C179A2">
        <w:rPr>
          <w:rFonts w:ascii="Calibri" w:eastAsia="Times New Roman" w:hAnsi="Calibri" w:cs="Times New Roman"/>
          <w:sz w:val="20"/>
          <w:szCs w:val="20"/>
        </w:rPr>
        <w:t xml:space="preserve"> p. 68.</w:t>
      </w:r>
    </w:p>
  </w:footnote>
  <w:footnote w:id="155">
    <w:p w14:paraId="4398D129" w14:textId="7CC688CD" w:rsidR="00D75A79" w:rsidRPr="00C179A2" w:rsidRDefault="00D75A79" w:rsidP="005C68CA">
      <w:pPr>
        <w:pStyle w:val="FootnoteText"/>
        <w:rPr>
          <w:rFonts w:ascii="Calibri" w:hAnsi="Calibri"/>
        </w:rPr>
      </w:pPr>
      <w:r w:rsidRPr="00C179A2">
        <w:rPr>
          <w:rStyle w:val="FootnoteReference"/>
          <w:rFonts w:ascii="Calibri" w:hAnsi="Calibri"/>
        </w:rPr>
        <w:footnoteRef/>
      </w:r>
      <w:r w:rsidRPr="00C179A2">
        <w:rPr>
          <w:rFonts w:ascii="Calibri" w:hAnsi="Calibri"/>
        </w:rPr>
        <w:t xml:space="preserve"> Ibid.</w:t>
      </w:r>
    </w:p>
  </w:footnote>
  <w:footnote w:id="156">
    <w:p w14:paraId="40059D57" w14:textId="77777777" w:rsidR="00D75A79" w:rsidRPr="00E43E93" w:rsidRDefault="00D75A79" w:rsidP="00F41315">
      <w:pPr>
        <w:pStyle w:val="FootnoteText"/>
        <w:rPr>
          <w:rFonts w:asciiTheme="majorHAnsi" w:hAnsiTheme="majorHAnsi"/>
        </w:rPr>
      </w:pPr>
      <w:r w:rsidRPr="00E43E93">
        <w:rPr>
          <w:rStyle w:val="FootnoteReference"/>
          <w:rFonts w:asciiTheme="majorHAnsi" w:hAnsiTheme="majorHAnsi"/>
        </w:rPr>
        <w:footnoteRef/>
      </w:r>
      <w:r w:rsidRPr="00E43E93">
        <w:rPr>
          <w:rFonts w:asciiTheme="majorHAnsi" w:hAnsiTheme="majorHAnsi"/>
        </w:rPr>
        <w:t xml:space="preserve"> Ibid. </w:t>
      </w:r>
    </w:p>
  </w:footnote>
  <w:footnote w:id="157">
    <w:p w14:paraId="3271E52D" w14:textId="77777777" w:rsidR="00D75A79" w:rsidRPr="00E43E93" w:rsidRDefault="00D75A79" w:rsidP="00F41315">
      <w:pPr>
        <w:pStyle w:val="FootnoteText"/>
        <w:rPr>
          <w:rFonts w:asciiTheme="majorHAnsi" w:hAnsiTheme="majorHAnsi"/>
        </w:rPr>
      </w:pPr>
      <w:r w:rsidRPr="00E43E93">
        <w:rPr>
          <w:rStyle w:val="FootnoteReference"/>
          <w:rFonts w:asciiTheme="majorHAnsi" w:hAnsiTheme="majorHAnsi"/>
        </w:rPr>
        <w:footnoteRef/>
      </w:r>
      <w:r w:rsidRPr="00E43E93">
        <w:rPr>
          <w:rFonts w:asciiTheme="majorHAnsi" w:hAnsiTheme="majorHAnsi"/>
        </w:rPr>
        <w:t xml:space="preserve"> Ibid.</w:t>
      </w:r>
    </w:p>
  </w:footnote>
  <w:footnote w:id="158">
    <w:p w14:paraId="5A40821F" w14:textId="1DE0A0E8" w:rsidR="00D75A79" w:rsidRPr="00E43E93" w:rsidRDefault="00D75A79" w:rsidP="00F41315">
      <w:pPr>
        <w:pStyle w:val="FootnoteText"/>
        <w:rPr>
          <w:rFonts w:ascii="Calibri" w:hAnsi="Calibri"/>
        </w:rPr>
      </w:pPr>
      <w:r w:rsidRPr="00E43E93">
        <w:rPr>
          <w:rStyle w:val="FootnoteReference"/>
          <w:rFonts w:ascii="Calibri" w:hAnsi="Calibri"/>
        </w:rPr>
        <w:footnoteRef/>
      </w:r>
      <w:r>
        <w:rPr>
          <w:rFonts w:ascii="Calibri" w:hAnsi="Calibri"/>
        </w:rPr>
        <w:t xml:space="preserve"> WPS Policy Briefs</w:t>
      </w:r>
      <w:r w:rsidRPr="00E43E93">
        <w:rPr>
          <w:rFonts w:ascii="Calibri" w:hAnsi="Calibri"/>
        </w:rPr>
        <w:t>, p. 23.</w:t>
      </w:r>
    </w:p>
  </w:footnote>
  <w:footnote w:id="159">
    <w:p w14:paraId="77CCB820" w14:textId="77777777" w:rsidR="00D75A79" w:rsidRPr="00E43E93" w:rsidRDefault="00D75A79" w:rsidP="00F41315">
      <w:pPr>
        <w:pStyle w:val="FootnoteText"/>
        <w:rPr>
          <w:rFonts w:ascii="Calibri" w:hAnsi="Calibri"/>
        </w:rPr>
      </w:pPr>
      <w:r w:rsidRPr="00E43E93">
        <w:rPr>
          <w:rStyle w:val="FootnoteReference"/>
          <w:rFonts w:ascii="Calibri" w:hAnsi="Calibri"/>
        </w:rPr>
        <w:footnoteRef/>
      </w:r>
      <w:r w:rsidRPr="00E43E93">
        <w:rPr>
          <w:rFonts w:ascii="Calibri" w:hAnsi="Calibri"/>
        </w:rPr>
        <w:t xml:space="preserve"> Ibid, p 24.</w:t>
      </w:r>
    </w:p>
  </w:footnote>
  <w:footnote w:id="160">
    <w:p w14:paraId="03C08DCD" w14:textId="77777777" w:rsidR="00D75A79" w:rsidRPr="005B0FD0" w:rsidRDefault="00D75A79" w:rsidP="00F41315">
      <w:pPr>
        <w:pStyle w:val="FootnoteText"/>
        <w:rPr>
          <w:rFonts w:ascii="Calibri" w:hAnsi="Calibri"/>
          <w:color w:val="000000" w:themeColor="text1"/>
        </w:rPr>
      </w:pPr>
      <w:r w:rsidRPr="005B0FD0">
        <w:rPr>
          <w:rStyle w:val="FootnoteReference"/>
          <w:rFonts w:ascii="Calibri" w:hAnsi="Calibri"/>
          <w:color w:val="000000" w:themeColor="text1"/>
        </w:rPr>
        <w:footnoteRef/>
      </w:r>
      <w:r w:rsidRPr="005B0FD0">
        <w:rPr>
          <w:rFonts w:ascii="Calibri" w:hAnsi="Calibri"/>
          <w:color w:val="000000" w:themeColor="text1"/>
        </w:rPr>
        <w:t xml:space="preserve"> Ibid.</w:t>
      </w:r>
    </w:p>
  </w:footnote>
  <w:footnote w:id="161">
    <w:p w14:paraId="0CC20900" w14:textId="32DEC82D" w:rsidR="00D75A79" w:rsidRPr="0011081A" w:rsidRDefault="00D75A79" w:rsidP="00BE2A97">
      <w:pPr>
        <w:pStyle w:val="FootnoteText"/>
        <w:rPr>
          <w:rFonts w:ascii="Calibri" w:hAnsi="Calibri"/>
        </w:rPr>
      </w:pPr>
      <w:r w:rsidRPr="0011081A">
        <w:rPr>
          <w:rStyle w:val="FootnoteReference"/>
          <w:rFonts w:ascii="Calibri" w:hAnsi="Calibri"/>
        </w:rPr>
        <w:footnoteRef/>
      </w:r>
      <w:r w:rsidRPr="0011081A">
        <w:rPr>
          <w:rFonts w:ascii="Calibri" w:hAnsi="Calibri"/>
        </w:rPr>
        <w:t xml:space="preserve"> Hersh, p</w:t>
      </w:r>
      <w:r>
        <w:rPr>
          <w:rFonts w:ascii="Calibri" w:hAnsi="Calibri"/>
        </w:rPr>
        <w:t>.</w:t>
      </w:r>
      <w:r w:rsidRPr="0011081A">
        <w:rPr>
          <w:rFonts w:ascii="Calibri" w:hAnsi="Calibri"/>
        </w:rPr>
        <w:t xml:space="preserve"> 16.</w:t>
      </w:r>
    </w:p>
  </w:footnote>
  <w:footnote w:id="162">
    <w:p w14:paraId="0ADFF87B" w14:textId="7A07FD9E" w:rsidR="00D75A79" w:rsidRPr="0011081A" w:rsidRDefault="00D75A79" w:rsidP="00BE2A97">
      <w:pPr>
        <w:pStyle w:val="FootnoteText"/>
        <w:rPr>
          <w:rFonts w:ascii="Calibri" w:hAnsi="Calibri"/>
        </w:rPr>
      </w:pPr>
      <w:r w:rsidRPr="0011081A">
        <w:rPr>
          <w:rStyle w:val="FootnoteReference"/>
          <w:rFonts w:ascii="Calibri" w:hAnsi="Calibri"/>
        </w:rPr>
        <w:footnoteRef/>
      </w:r>
      <w:r w:rsidRPr="0011081A">
        <w:rPr>
          <w:rFonts w:ascii="Calibri" w:hAnsi="Calibri"/>
        </w:rPr>
        <w:t xml:space="preserve"> Ibid</w:t>
      </w:r>
      <w:r>
        <w:rPr>
          <w:rFonts w:ascii="Calibri" w:hAnsi="Calibri"/>
        </w:rPr>
        <w:t>, p.</w:t>
      </w:r>
      <w:r w:rsidRPr="0011081A">
        <w:rPr>
          <w:rFonts w:ascii="Calibri" w:hAnsi="Calibri"/>
        </w:rPr>
        <w:t>22.</w:t>
      </w:r>
    </w:p>
  </w:footnote>
  <w:footnote w:id="163">
    <w:p w14:paraId="25209C36" w14:textId="1F9996FA" w:rsidR="00D75A79" w:rsidRPr="0011081A" w:rsidRDefault="00D75A79" w:rsidP="005C68CA">
      <w:pPr>
        <w:pStyle w:val="FootnoteText"/>
        <w:rPr>
          <w:rFonts w:ascii="Calibri" w:hAnsi="Calibri"/>
        </w:rPr>
      </w:pPr>
      <w:r w:rsidRPr="0011081A">
        <w:rPr>
          <w:rStyle w:val="FootnoteReference"/>
          <w:rFonts w:ascii="Calibri" w:hAnsi="Calibri"/>
        </w:rPr>
        <w:footnoteRef/>
      </w:r>
      <w:r w:rsidRPr="0011081A">
        <w:rPr>
          <w:rFonts w:ascii="Calibri" w:hAnsi="Calibri"/>
        </w:rPr>
        <w:t xml:space="preserve"> Ibid, p</w:t>
      </w:r>
      <w:r>
        <w:rPr>
          <w:rFonts w:ascii="Calibri" w:hAnsi="Calibri"/>
        </w:rPr>
        <w:t>.</w:t>
      </w:r>
      <w:r w:rsidRPr="0011081A">
        <w:rPr>
          <w:rFonts w:ascii="Calibri" w:hAnsi="Calibri"/>
        </w:rPr>
        <w:t xml:space="preserve"> 16.</w:t>
      </w:r>
    </w:p>
  </w:footnote>
  <w:footnote w:id="164">
    <w:p w14:paraId="6F158EFE" w14:textId="6241C2F8" w:rsidR="00D75A79" w:rsidRPr="0011081A" w:rsidRDefault="00D75A79" w:rsidP="005C68CA">
      <w:pPr>
        <w:pStyle w:val="FootnoteText"/>
        <w:rPr>
          <w:rFonts w:ascii="Calibri" w:hAnsi="Calibri"/>
        </w:rPr>
      </w:pPr>
      <w:r w:rsidRPr="0011081A">
        <w:rPr>
          <w:rStyle w:val="FootnoteReference"/>
          <w:rFonts w:ascii="Calibri" w:hAnsi="Calibri"/>
        </w:rPr>
        <w:footnoteRef/>
      </w:r>
      <w:r w:rsidRPr="0011081A">
        <w:rPr>
          <w:rFonts w:ascii="Calibri" w:hAnsi="Calibri"/>
        </w:rPr>
        <w:t xml:space="preserve"> Ibid, p</w:t>
      </w:r>
      <w:r>
        <w:rPr>
          <w:rFonts w:ascii="Calibri" w:hAnsi="Calibri"/>
        </w:rPr>
        <w:t>.</w:t>
      </w:r>
      <w:r w:rsidRPr="0011081A">
        <w:rPr>
          <w:rFonts w:ascii="Calibri" w:hAnsi="Calibri"/>
        </w:rPr>
        <w:t xml:space="preserve"> 10</w:t>
      </w:r>
      <w:r>
        <w:rPr>
          <w:rFonts w:ascii="Calibri" w:hAnsi="Calibri"/>
        </w:rPr>
        <w:t>.</w:t>
      </w:r>
    </w:p>
  </w:footnote>
  <w:footnote w:id="165">
    <w:p w14:paraId="291B9C23" w14:textId="77777777" w:rsidR="00D75A79" w:rsidRPr="0011081A" w:rsidRDefault="00D75A79" w:rsidP="005C68CA">
      <w:pPr>
        <w:pStyle w:val="FootnoteText"/>
        <w:rPr>
          <w:rFonts w:ascii="Calibri" w:hAnsi="Calibri"/>
        </w:rPr>
      </w:pPr>
      <w:r w:rsidRPr="0011081A">
        <w:rPr>
          <w:rStyle w:val="FootnoteReference"/>
          <w:rFonts w:ascii="Calibri" w:hAnsi="Calibri"/>
        </w:rPr>
        <w:footnoteRef/>
      </w:r>
      <w:r w:rsidRPr="0011081A">
        <w:rPr>
          <w:rFonts w:ascii="Calibri" w:hAnsi="Calibri"/>
        </w:rPr>
        <w:t xml:space="preserve"> Ibid.</w:t>
      </w:r>
    </w:p>
  </w:footnote>
  <w:footnote w:id="166">
    <w:p w14:paraId="06C2AC4C" w14:textId="05E1624E" w:rsidR="00D75A79" w:rsidRDefault="00D75A79">
      <w:pPr>
        <w:pStyle w:val="FootnoteText"/>
      </w:pPr>
      <w:r w:rsidRPr="0011081A">
        <w:rPr>
          <w:rStyle w:val="FootnoteReference"/>
          <w:rFonts w:ascii="Calibri" w:hAnsi="Calibri"/>
        </w:rPr>
        <w:footnoteRef/>
      </w:r>
      <w:r w:rsidRPr="0011081A">
        <w:rPr>
          <w:rFonts w:ascii="Calibri" w:hAnsi="Calibri"/>
        </w:rPr>
        <w:t xml:space="preserve"> Ibid, p. 16.</w:t>
      </w:r>
    </w:p>
  </w:footnote>
  <w:footnote w:id="167">
    <w:p w14:paraId="6EB36309" w14:textId="7A2C69EE" w:rsidR="00D75A79" w:rsidRPr="00367518" w:rsidRDefault="00D75A79" w:rsidP="00F41315">
      <w:pPr>
        <w:rPr>
          <w:rFonts w:ascii="Calibri" w:eastAsia="Times New Roman" w:hAnsi="Calibri" w:cs="Times New Roman"/>
          <w:sz w:val="20"/>
          <w:szCs w:val="20"/>
        </w:rPr>
      </w:pPr>
      <w:r w:rsidRPr="00367518">
        <w:rPr>
          <w:rStyle w:val="FootnoteReference"/>
          <w:rFonts w:ascii="Calibri" w:hAnsi="Calibri"/>
          <w:sz w:val="20"/>
          <w:szCs w:val="20"/>
        </w:rPr>
        <w:footnoteRef/>
      </w:r>
      <w:r w:rsidRPr="00367518">
        <w:rPr>
          <w:rFonts w:ascii="Calibri" w:hAnsi="Calibri"/>
          <w:sz w:val="20"/>
          <w:szCs w:val="20"/>
        </w:rPr>
        <w:t xml:space="preserve"> </w:t>
      </w:r>
      <w:r w:rsidRPr="00367518">
        <w:rPr>
          <w:rFonts w:ascii="Calibri" w:eastAsia="Times New Roman" w:hAnsi="Calibri" w:cs="Times New Roman"/>
          <w:sz w:val="20"/>
          <w:szCs w:val="20"/>
        </w:rPr>
        <w:t xml:space="preserve">Thematic Group on Women's Rights and Sexual Violence and National Coalition of Non-Governmental Organisations for Monitoring and Reporting </w:t>
      </w:r>
      <w:r>
        <w:rPr>
          <w:rFonts w:ascii="Calibri" w:eastAsia="Times New Roman" w:hAnsi="Calibri" w:cs="Times New Roman"/>
          <w:sz w:val="20"/>
          <w:szCs w:val="20"/>
        </w:rPr>
        <w:t>on the Human Rights Situation, ‘</w:t>
      </w:r>
      <w:r w:rsidRPr="00367518">
        <w:rPr>
          <w:rFonts w:ascii="Calibri" w:eastAsia="Times New Roman" w:hAnsi="Calibri" w:cs="Times New Roman"/>
          <w:sz w:val="20"/>
          <w:szCs w:val="20"/>
        </w:rPr>
        <w:t>Additional Shadow Report To The 6th And 7th Combined Report of the DRC</w:t>
      </w:r>
      <w:r>
        <w:rPr>
          <w:rFonts w:ascii="Calibri" w:eastAsia="Times New Roman" w:hAnsi="Calibri" w:cs="Times New Roman"/>
          <w:sz w:val="20"/>
          <w:szCs w:val="20"/>
        </w:rPr>
        <w:t xml:space="preserve"> On The Implementation Of CEDAW’ (2013) available from:</w:t>
      </w:r>
      <w:r w:rsidRPr="00367518">
        <w:rPr>
          <w:rFonts w:ascii="Calibri" w:eastAsia="Times New Roman" w:hAnsi="Calibri" w:cs="Times New Roman"/>
          <w:sz w:val="20"/>
          <w:szCs w:val="20"/>
        </w:rPr>
        <w:t xml:space="preserve"> http://tbinternet.ohchr.org/Treaties/CEDAW/Shared%20Documents/COD/INT_CEDAW_NGO_COD_13595_E.pdf p. </w:t>
      </w:r>
      <w:r w:rsidRPr="00367518">
        <w:rPr>
          <w:rFonts w:ascii="Calibri" w:hAnsi="Calibri"/>
          <w:sz w:val="20"/>
          <w:szCs w:val="20"/>
          <w:lang w:val="en-US"/>
        </w:rPr>
        <w:t>7.</w:t>
      </w:r>
    </w:p>
  </w:footnote>
  <w:footnote w:id="168">
    <w:p w14:paraId="4A6509DE" w14:textId="3B1BEC71" w:rsidR="00D75A79" w:rsidRDefault="00D75A79" w:rsidP="00F41315">
      <w:pPr>
        <w:rPr>
          <w:rFonts w:ascii="Calibri" w:eastAsia="Times New Roman" w:hAnsi="Calibri" w:cs="Times New Roman"/>
          <w:sz w:val="20"/>
          <w:szCs w:val="20"/>
        </w:rPr>
      </w:pPr>
      <w:r w:rsidRPr="00E43E93">
        <w:rPr>
          <w:rStyle w:val="FootnoteReference"/>
          <w:rFonts w:ascii="Calibri" w:hAnsi="Calibri"/>
          <w:sz w:val="20"/>
          <w:szCs w:val="20"/>
        </w:rPr>
        <w:footnoteRef/>
      </w:r>
      <w:r w:rsidRPr="00E43E93">
        <w:rPr>
          <w:rFonts w:ascii="Calibri" w:hAnsi="Calibri"/>
          <w:sz w:val="20"/>
          <w:szCs w:val="20"/>
        </w:rPr>
        <w:t xml:space="preserve"> </w:t>
      </w:r>
      <w:r w:rsidRPr="00E43E93">
        <w:rPr>
          <w:rFonts w:ascii="Calibri" w:eastAsia="Times New Roman" w:hAnsi="Calibri" w:cs="Times New Roman"/>
          <w:sz w:val="20"/>
          <w:szCs w:val="20"/>
        </w:rPr>
        <w:t>United Nations Organisation St</w:t>
      </w:r>
      <w:r>
        <w:rPr>
          <w:rFonts w:ascii="Calibri" w:eastAsia="Times New Roman" w:hAnsi="Calibri" w:cs="Times New Roman"/>
          <w:sz w:val="20"/>
          <w:szCs w:val="20"/>
        </w:rPr>
        <w:t>abilisation Mission in the Democratic Republic of the</w:t>
      </w:r>
      <w:r w:rsidRPr="00E43E93">
        <w:rPr>
          <w:rFonts w:ascii="Calibri" w:eastAsia="Times New Roman" w:hAnsi="Calibri" w:cs="Times New Roman"/>
          <w:sz w:val="20"/>
          <w:szCs w:val="20"/>
        </w:rPr>
        <w:t xml:space="preserve"> Co</w:t>
      </w:r>
      <w:r>
        <w:rPr>
          <w:rFonts w:ascii="Calibri" w:eastAsia="Times New Roman" w:hAnsi="Calibri" w:cs="Times New Roman"/>
          <w:sz w:val="20"/>
          <w:szCs w:val="20"/>
        </w:rPr>
        <w:t>ngo ‘T</w:t>
      </w:r>
      <w:r w:rsidRPr="00E43E93">
        <w:rPr>
          <w:rFonts w:ascii="Calibri" w:eastAsia="Times New Roman" w:hAnsi="Calibri" w:cs="Times New Roman"/>
          <w:sz w:val="20"/>
          <w:szCs w:val="20"/>
        </w:rPr>
        <w:t>he Comprehensive Strategy On Comba</w:t>
      </w:r>
      <w:r>
        <w:rPr>
          <w:rFonts w:ascii="Calibri" w:eastAsia="Times New Roman" w:hAnsi="Calibri" w:cs="Times New Roman"/>
          <w:sz w:val="20"/>
          <w:szCs w:val="20"/>
        </w:rPr>
        <w:t>ting Sexual Violence In The DRC’</w:t>
      </w:r>
      <w:r w:rsidRPr="00E43E93">
        <w:rPr>
          <w:rFonts w:ascii="Calibri" w:eastAsia="Times New Roman" w:hAnsi="Calibri" w:cs="Times New Roman"/>
          <w:sz w:val="20"/>
          <w:szCs w:val="20"/>
        </w:rPr>
        <w:t xml:space="preserve"> (2015) </w:t>
      </w:r>
      <w:r>
        <w:rPr>
          <w:rFonts w:ascii="Calibri" w:eastAsia="Times New Roman" w:hAnsi="Calibri" w:cs="Times New Roman"/>
          <w:sz w:val="20"/>
          <w:szCs w:val="20"/>
        </w:rPr>
        <w:t>available from:</w:t>
      </w:r>
    </w:p>
    <w:p w14:paraId="21386CEE" w14:textId="77777777" w:rsidR="00D75A79" w:rsidRPr="00E43E93" w:rsidRDefault="00D75A79" w:rsidP="00F41315">
      <w:pPr>
        <w:rPr>
          <w:rFonts w:ascii="Calibri" w:eastAsia="Times New Roman" w:hAnsi="Calibri" w:cs="Times New Roman"/>
          <w:sz w:val="20"/>
          <w:szCs w:val="20"/>
        </w:rPr>
      </w:pPr>
      <w:r w:rsidRPr="00E43E93">
        <w:rPr>
          <w:rFonts w:ascii="Calibri" w:eastAsia="Times New Roman" w:hAnsi="Calibri" w:cs="Times New Roman"/>
          <w:sz w:val="20"/>
          <w:szCs w:val="20"/>
        </w:rPr>
        <w:t>http://monusco.unmissio</w:t>
      </w:r>
      <w:r>
        <w:rPr>
          <w:rFonts w:ascii="Calibri" w:eastAsia="Times New Roman" w:hAnsi="Calibri" w:cs="Times New Roman"/>
          <w:sz w:val="20"/>
          <w:szCs w:val="20"/>
        </w:rPr>
        <w:t>ns.org/Default.aspx?tabid=10818</w:t>
      </w:r>
      <w:r w:rsidRPr="00E43E93">
        <w:rPr>
          <w:rFonts w:ascii="Calibri" w:eastAsia="Times New Roman" w:hAnsi="Calibri" w:cs="Times New Roman"/>
          <w:sz w:val="20"/>
          <w:szCs w:val="20"/>
        </w:rPr>
        <w:t>.</w:t>
      </w:r>
    </w:p>
  </w:footnote>
  <w:footnote w:id="169">
    <w:p w14:paraId="0CB7B3CA" w14:textId="77777777" w:rsidR="00D75A79" w:rsidRPr="00E43E93" w:rsidRDefault="00D75A79" w:rsidP="00F41315">
      <w:pPr>
        <w:pStyle w:val="FootnoteText"/>
        <w:rPr>
          <w:rFonts w:ascii="Calibri" w:hAnsi="Calibri"/>
        </w:rPr>
      </w:pPr>
      <w:r w:rsidRPr="00E43E93">
        <w:rPr>
          <w:rStyle w:val="FootnoteReference"/>
          <w:rFonts w:ascii="Calibri" w:hAnsi="Calibri"/>
        </w:rPr>
        <w:footnoteRef/>
      </w:r>
      <w:r w:rsidRPr="00E43E93">
        <w:rPr>
          <w:rFonts w:ascii="Calibri" w:hAnsi="Calibri"/>
        </w:rPr>
        <w:t xml:space="preserve"> Ibid.</w:t>
      </w:r>
    </w:p>
  </w:footnote>
  <w:footnote w:id="170">
    <w:p w14:paraId="7E79113D" w14:textId="394A87E3" w:rsidR="00D75A79" w:rsidRPr="00E43E93" w:rsidRDefault="00D75A79" w:rsidP="00F41315">
      <w:pPr>
        <w:pStyle w:val="FootnoteText"/>
        <w:rPr>
          <w:rFonts w:ascii="Calibri" w:hAnsi="Calibri"/>
        </w:rPr>
      </w:pPr>
      <w:r w:rsidRPr="00E43E93">
        <w:rPr>
          <w:rStyle w:val="FootnoteReference"/>
          <w:rFonts w:ascii="Calibri" w:hAnsi="Calibri"/>
        </w:rPr>
        <w:footnoteRef/>
      </w:r>
      <w:r w:rsidRPr="00E43E93">
        <w:rPr>
          <w:rFonts w:ascii="Calibri" w:hAnsi="Calibri"/>
        </w:rPr>
        <w:t xml:space="preserve"> Hersh, p. 2</w:t>
      </w:r>
      <w:r>
        <w:rPr>
          <w:rFonts w:ascii="Calibri" w:hAnsi="Calibri"/>
        </w:rPr>
        <w:t>.</w:t>
      </w:r>
    </w:p>
  </w:footnote>
  <w:footnote w:id="171">
    <w:p w14:paraId="1CFF7609" w14:textId="77777777" w:rsidR="00D75A79" w:rsidRPr="005B0FD0" w:rsidRDefault="00D75A79" w:rsidP="0065315A">
      <w:pPr>
        <w:rPr>
          <w:rFonts w:asciiTheme="majorHAnsi" w:eastAsia="Times New Roman" w:hAnsiTheme="majorHAnsi" w:cs="Times New Roman"/>
          <w:color w:val="000000" w:themeColor="text1"/>
          <w:sz w:val="20"/>
          <w:szCs w:val="20"/>
        </w:rPr>
      </w:pPr>
      <w:r w:rsidRPr="005B0FD0">
        <w:rPr>
          <w:rStyle w:val="FootnoteReference"/>
          <w:rFonts w:asciiTheme="majorHAnsi" w:hAnsiTheme="majorHAnsi"/>
          <w:color w:val="000000" w:themeColor="text1"/>
          <w:sz w:val="20"/>
          <w:szCs w:val="20"/>
        </w:rPr>
        <w:footnoteRef/>
      </w:r>
      <w:r w:rsidRPr="005B0FD0">
        <w:rPr>
          <w:rFonts w:asciiTheme="majorHAnsi" w:hAnsiTheme="majorHAnsi"/>
          <w:color w:val="000000" w:themeColor="text1"/>
          <w:sz w:val="20"/>
          <w:szCs w:val="20"/>
        </w:rPr>
        <w:t xml:space="preserve"> </w:t>
      </w:r>
      <w:r w:rsidRPr="005B0FD0">
        <w:rPr>
          <w:rFonts w:asciiTheme="majorHAnsi" w:eastAsia="Times New Roman" w:hAnsiTheme="majorHAnsi" w:cs="Times New Roman"/>
          <w:color w:val="000000" w:themeColor="text1"/>
          <w:sz w:val="20"/>
          <w:szCs w:val="20"/>
        </w:rPr>
        <w:t>CEDAW Committee, </w:t>
      </w:r>
      <w:r w:rsidRPr="005B0FD0">
        <w:rPr>
          <w:rFonts w:asciiTheme="majorHAnsi" w:eastAsia="Times New Roman" w:hAnsiTheme="majorHAnsi" w:cs="Times New Roman"/>
          <w:i/>
          <w:iCs/>
          <w:color w:val="000000" w:themeColor="text1"/>
          <w:sz w:val="20"/>
          <w:szCs w:val="20"/>
        </w:rPr>
        <w:t xml:space="preserve">Concluding </w:t>
      </w:r>
      <w:r>
        <w:rPr>
          <w:rFonts w:asciiTheme="majorHAnsi" w:eastAsia="Times New Roman" w:hAnsiTheme="majorHAnsi" w:cs="Times New Roman"/>
          <w:i/>
          <w:iCs/>
          <w:color w:val="000000" w:themeColor="text1"/>
          <w:sz w:val="20"/>
          <w:szCs w:val="20"/>
        </w:rPr>
        <w:t xml:space="preserve">Observations: </w:t>
      </w:r>
      <w:r w:rsidRPr="005B0FD0">
        <w:rPr>
          <w:rFonts w:asciiTheme="majorHAnsi" w:eastAsia="Times New Roman" w:hAnsiTheme="majorHAnsi" w:cs="Times New Roman"/>
          <w:i/>
          <w:iCs/>
          <w:color w:val="000000" w:themeColor="text1"/>
          <w:sz w:val="20"/>
          <w:szCs w:val="20"/>
        </w:rPr>
        <w:t>Democratic Republic of the Congo</w:t>
      </w:r>
      <w:r w:rsidRPr="005B0FD0">
        <w:rPr>
          <w:rFonts w:asciiTheme="majorHAnsi" w:eastAsia="Times New Roman" w:hAnsiTheme="majorHAnsi" w:cs="Times New Roman"/>
          <w:color w:val="000000" w:themeColor="text1"/>
          <w:sz w:val="20"/>
          <w:szCs w:val="20"/>
        </w:rPr>
        <w:t xml:space="preserve"> (</w:t>
      </w:r>
      <w:r>
        <w:rPr>
          <w:rFonts w:asciiTheme="majorHAnsi" w:eastAsia="Times New Roman" w:hAnsiTheme="majorHAnsi" w:cs="Times New Roman"/>
          <w:color w:val="000000" w:themeColor="text1"/>
          <w:sz w:val="20"/>
          <w:szCs w:val="20"/>
        </w:rPr>
        <w:t xml:space="preserve">25 August 2006) CEDAW/C/COD/CO/5.  </w:t>
      </w:r>
    </w:p>
  </w:footnote>
  <w:footnote w:id="172">
    <w:p w14:paraId="0F5FE940" w14:textId="77777777" w:rsidR="00D75A79" w:rsidRPr="00D344A1" w:rsidRDefault="00D75A79" w:rsidP="0065315A">
      <w:pPr>
        <w:pStyle w:val="FootnoteText"/>
        <w:rPr>
          <w:rFonts w:ascii="Calibri" w:hAnsi="Calibri"/>
        </w:rPr>
      </w:pPr>
      <w:r w:rsidRPr="005B0FD0">
        <w:rPr>
          <w:rStyle w:val="FootnoteReference"/>
          <w:rFonts w:ascii="Calibri" w:hAnsi="Calibri"/>
          <w:color w:val="000000" w:themeColor="text1"/>
        </w:rPr>
        <w:footnoteRef/>
      </w:r>
      <w:r w:rsidRPr="005B0FD0">
        <w:rPr>
          <w:rFonts w:ascii="Calibri" w:hAnsi="Calibri"/>
          <w:color w:val="000000" w:themeColor="text1"/>
        </w:rPr>
        <w:t xml:space="preserve"> </w:t>
      </w:r>
      <w:r w:rsidRPr="005B0FD0">
        <w:rPr>
          <w:rFonts w:ascii="Calibri" w:eastAsia="Times New Roman" w:hAnsi="Calibri" w:cs="Times New Roman"/>
          <w:color w:val="000000" w:themeColor="text1"/>
        </w:rPr>
        <w:t>CEDAW Committee, </w:t>
      </w:r>
      <w:r w:rsidRPr="005B0FD0">
        <w:rPr>
          <w:rFonts w:ascii="Calibri" w:eastAsia="Times New Roman" w:hAnsi="Calibri" w:cs="Times New Roman"/>
          <w:i/>
          <w:iCs/>
          <w:color w:val="000000" w:themeColor="text1"/>
        </w:rPr>
        <w:t>Concluding Observations on the combined sixth and seventh periodic reports of the Democratic Republic of the Congo</w:t>
      </w:r>
      <w:r w:rsidRPr="005B0FD0">
        <w:rPr>
          <w:rFonts w:ascii="Calibri" w:eastAsia="Times New Roman" w:hAnsi="Calibri" w:cs="Times New Roman"/>
          <w:color w:val="000000" w:themeColor="text1"/>
        </w:rPr>
        <w:t xml:space="preserve"> (30 July 2013) CEDAW/C/COD/CO/6-7.</w:t>
      </w:r>
    </w:p>
  </w:footnote>
  <w:footnote w:id="173">
    <w:p w14:paraId="785B5EBB" w14:textId="084B583B" w:rsidR="00D75A79" w:rsidRPr="00020F48" w:rsidRDefault="00D75A79" w:rsidP="00D914BB">
      <w:pPr>
        <w:pStyle w:val="FootnoteText"/>
        <w:jc w:val="left"/>
        <w:rPr>
          <w:rFonts w:ascii="Calibri" w:hAnsi="Calibri"/>
        </w:rPr>
      </w:pPr>
      <w:r w:rsidRPr="00020F48">
        <w:rPr>
          <w:rStyle w:val="FootnoteReference"/>
          <w:rFonts w:ascii="Calibri" w:hAnsi="Calibri"/>
        </w:rPr>
        <w:footnoteRef/>
      </w:r>
      <w:r w:rsidRPr="00020F48">
        <w:rPr>
          <w:rFonts w:ascii="Calibri" w:hAnsi="Calibri"/>
        </w:rPr>
        <w:t xml:space="preserve">Human Rights Watch, </w:t>
      </w:r>
      <w:r>
        <w:rPr>
          <w:rFonts w:ascii="Calibri" w:hAnsi="Calibri"/>
        </w:rPr>
        <w:t>‘</w:t>
      </w:r>
      <w:r w:rsidRPr="00020F48">
        <w:rPr>
          <w:rFonts w:ascii="Calibri" w:hAnsi="Calibri"/>
        </w:rPr>
        <w:t>World Report 2014 Nepal</w:t>
      </w:r>
      <w:r>
        <w:rPr>
          <w:rFonts w:ascii="Calibri" w:hAnsi="Calibri"/>
        </w:rPr>
        <w:t>’</w:t>
      </w:r>
      <w:r w:rsidRPr="00020F48">
        <w:rPr>
          <w:rFonts w:ascii="Calibri" w:hAnsi="Calibri"/>
        </w:rPr>
        <w:t>, available from: http://www.hrw.org/world-report/2014/country-chapters/nepal?page=1</w:t>
      </w:r>
    </w:p>
  </w:footnote>
  <w:footnote w:id="174">
    <w:p w14:paraId="644E1DF9" w14:textId="7C926565" w:rsidR="00D75A79" w:rsidRPr="00020F48" w:rsidRDefault="00D75A79" w:rsidP="00D914BB">
      <w:pPr>
        <w:pStyle w:val="FootnoteText"/>
        <w:jc w:val="left"/>
        <w:rPr>
          <w:rFonts w:ascii="Calibri" w:hAnsi="Calibri"/>
        </w:rPr>
      </w:pPr>
      <w:r w:rsidRPr="00020F48">
        <w:rPr>
          <w:rStyle w:val="FootnoteReference"/>
          <w:rFonts w:ascii="Calibri" w:hAnsi="Calibri"/>
        </w:rPr>
        <w:footnoteRef/>
      </w:r>
      <w:r w:rsidRPr="00020F48">
        <w:rPr>
          <w:rFonts w:ascii="Calibri" w:hAnsi="Calibri"/>
        </w:rPr>
        <w:t xml:space="preserve">Human Rights Watch, </w:t>
      </w:r>
      <w:r>
        <w:rPr>
          <w:rFonts w:ascii="Calibri" w:hAnsi="Calibri"/>
        </w:rPr>
        <w:t>‘</w:t>
      </w:r>
      <w:r w:rsidRPr="00020F48">
        <w:rPr>
          <w:rFonts w:ascii="Calibri" w:hAnsi="Calibri"/>
        </w:rPr>
        <w:t>Silenced and Forgotten</w:t>
      </w:r>
      <w:r>
        <w:rPr>
          <w:rFonts w:ascii="Calibri" w:hAnsi="Calibri"/>
        </w:rPr>
        <w:t>’</w:t>
      </w:r>
      <w:r w:rsidRPr="00020F48">
        <w:rPr>
          <w:rFonts w:ascii="Calibri" w:hAnsi="Calibri"/>
        </w:rPr>
        <w:t>, available from: http://www.hrw.org/sites/default/files/reports/nepal0914_ForUpload_0.pdf</w:t>
      </w:r>
    </w:p>
  </w:footnote>
  <w:footnote w:id="175">
    <w:p w14:paraId="23E0C4FB" w14:textId="783B514D" w:rsidR="00D75A79" w:rsidRPr="00020F48" w:rsidRDefault="00D75A79" w:rsidP="00D914BB">
      <w:pPr>
        <w:pStyle w:val="FootnoteText"/>
        <w:jc w:val="left"/>
        <w:rPr>
          <w:rFonts w:ascii="Calibri" w:hAnsi="Calibri"/>
        </w:rPr>
      </w:pPr>
      <w:r w:rsidRPr="00020F48">
        <w:rPr>
          <w:rStyle w:val="FootnoteReference"/>
          <w:rFonts w:ascii="Calibri" w:hAnsi="Calibri"/>
        </w:rPr>
        <w:footnoteRef/>
      </w:r>
      <w:r w:rsidRPr="00020F48">
        <w:rPr>
          <w:rFonts w:ascii="Calibri" w:hAnsi="Calibri"/>
        </w:rPr>
        <w:t xml:space="preserve">Ibid. </w:t>
      </w:r>
    </w:p>
  </w:footnote>
  <w:footnote w:id="176">
    <w:p w14:paraId="00F19DC4" w14:textId="7E40103E" w:rsidR="00D75A79" w:rsidRPr="00020F48" w:rsidRDefault="00D75A79" w:rsidP="005C68CA">
      <w:pPr>
        <w:pStyle w:val="FootnoteText"/>
        <w:jc w:val="left"/>
        <w:rPr>
          <w:rFonts w:ascii="Calibri" w:hAnsi="Calibri"/>
        </w:rPr>
      </w:pPr>
      <w:r w:rsidRPr="00020F48">
        <w:rPr>
          <w:rStyle w:val="FootnoteReference"/>
          <w:rFonts w:ascii="Calibri" w:hAnsi="Calibri"/>
        </w:rPr>
        <w:footnoteRef/>
      </w:r>
      <w:r w:rsidRPr="00020F48">
        <w:rPr>
          <w:rFonts w:ascii="Calibri" w:hAnsi="Calibri"/>
        </w:rPr>
        <w:t xml:space="preserve">United Nations Development Programme (UNDP) </w:t>
      </w:r>
      <w:r>
        <w:rPr>
          <w:rFonts w:ascii="Calibri" w:hAnsi="Calibri"/>
        </w:rPr>
        <w:t>‘</w:t>
      </w:r>
      <w:r w:rsidRPr="00020F48">
        <w:rPr>
          <w:rFonts w:ascii="Calibri" w:hAnsi="Calibri"/>
        </w:rPr>
        <w:t>Support to Participatory Constitution Building in Nepal</w:t>
      </w:r>
      <w:r>
        <w:rPr>
          <w:rFonts w:ascii="Calibri" w:hAnsi="Calibri"/>
        </w:rPr>
        <w:t xml:space="preserve">’ (2014) </w:t>
      </w:r>
      <w:r w:rsidRPr="00020F48">
        <w:rPr>
          <w:rFonts w:ascii="Calibri" w:hAnsi="Calibri"/>
        </w:rPr>
        <w:t xml:space="preserve">available from: http://www.np.undp.org/content/nepal/en/home/operations/projects/crisis_prevention_and_recovery/spcbn/home/. </w:t>
      </w:r>
    </w:p>
  </w:footnote>
  <w:footnote w:id="177">
    <w:p w14:paraId="503E0DBE" w14:textId="1D740215" w:rsidR="00D75A79" w:rsidRPr="00020F48" w:rsidRDefault="00D75A79" w:rsidP="005C68CA">
      <w:pPr>
        <w:pStyle w:val="FootnoteText"/>
        <w:jc w:val="left"/>
        <w:rPr>
          <w:rFonts w:ascii="Calibri" w:hAnsi="Calibri"/>
        </w:rPr>
      </w:pPr>
      <w:r w:rsidRPr="00020F48">
        <w:rPr>
          <w:rStyle w:val="FootnoteReference"/>
          <w:rFonts w:ascii="Calibri" w:hAnsi="Calibri"/>
        </w:rPr>
        <w:footnoteRef/>
      </w:r>
      <w:r>
        <w:rPr>
          <w:rFonts w:ascii="Calibri" w:hAnsi="Calibri"/>
        </w:rPr>
        <w:t xml:space="preserve"> Ibid</w:t>
      </w:r>
      <w:r w:rsidRPr="00020F48">
        <w:rPr>
          <w:rFonts w:ascii="Calibri" w:hAnsi="Calibri"/>
        </w:rPr>
        <w:t>.</w:t>
      </w:r>
    </w:p>
  </w:footnote>
  <w:footnote w:id="178">
    <w:p w14:paraId="77A20BEF" w14:textId="6B50A9E8" w:rsidR="00D75A79" w:rsidRPr="00020F48" w:rsidRDefault="00D75A79" w:rsidP="005C68CA">
      <w:pPr>
        <w:pStyle w:val="FootnoteText"/>
        <w:rPr>
          <w:rFonts w:ascii="Calibri" w:hAnsi="Calibri"/>
        </w:rPr>
      </w:pPr>
      <w:r w:rsidRPr="00020F48">
        <w:rPr>
          <w:rStyle w:val="FootnoteReference"/>
          <w:rFonts w:ascii="Calibri" w:hAnsi="Calibri"/>
        </w:rPr>
        <w:footnoteRef/>
      </w:r>
      <w:r w:rsidRPr="00020F48">
        <w:rPr>
          <w:rFonts w:ascii="Calibri" w:hAnsi="Calibri"/>
        </w:rPr>
        <w:t>International Institute for Democracy a</w:t>
      </w:r>
      <w:r>
        <w:rPr>
          <w:rFonts w:ascii="Calibri" w:hAnsi="Calibri"/>
        </w:rPr>
        <w:t>nd Electoral Assistance (IDEA) ‘A Milestone for Nepal’</w:t>
      </w:r>
      <w:r w:rsidRPr="00020F48">
        <w:rPr>
          <w:rFonts w:ascii="Calibri" w:hAnsi="Calibri"/>
        </w:rPr>
        <w:t>, available from: http://www.idea.int/asia_pacific/nepal/</w:t>
      </w:r>
      <w:r>
        <w:rPr>
          <w:rFonts w:ascii="Calibri" w:hAnsi="Calibri"/>
        </w:rPr>
        <w:t>.</w:t>
      </w:r>
    </w:p>
  </w:footnote>
  <w:footnote w:id="179">
    <w:p w14:paraId="07AA892B" w14:textId="641FF5FA" w:rsidR="00D75A79" w:rsidRPr="00020F48" w:rsidRDefault="00D75A79">
      <w:pPr>
        <w:pStyle w:val="FootnoteText"/>
        <w:rPr>
          <w:rFonts w:ascii="Calibri" w:hAnsi="Calibri"/>
        </w:rPr>
      </w:pPr>
      <w:r w:rsidRPr="00020F48">
        <w:rPr>
          <w:rStyle w:val="FootnoteReference"/>
          <w:rFonts w:ascii="Calibri" w:hAnsi="Calibri"/>
        </w:rPr>
        <w:footnoteRef/>
      </w:r>
      <w:r w:rsidRPr="00020F48">
        <w:rPr>
          <w:rFonts w:ascii="Calibri" w:hAnsi="Calibri"/>
        </w:rPr>
        <w:t xml:space="preserve"> See UN Security Council Resolution 1820 (19 June 2008) UN Doc S/RES/1820 (SCR 1820).</w:t>
      </w:r>
    </w:p>
  </w:footnote>
  <w:footnote w:id="180">
    <w:p w14:paraId="0DBFF5F8" w14:textId="4EFECBBA" w:rsidR="00D75A79" w:rsidRPr="00020F48" w:rsidRDefault="00D75A79" w:rsidP="005C68CA">
      <w:pPr>
        <w:pStyle w:val="FootnoteText"/>
        <w:rPr>
          <w:rFonts w:ascii="Calibri" w:hAnsi="Calibri"/>
        </w:rPr>
      </w:pPr>
      <w:r w:rsidRPr="00020F48">
        <w:rPr>
          <w:rStyle w:val="FootnoteReference"/>
          <w:rFonts w:ascii="Calibri" w:hAnsi="Calibri"/>
        </w:rPr>
        <w:footnoteRef/>
      </w:r>
      <w:r w:rsidRPr="00020F48">
        <w:rPr>
          <w:rFonts w:ascii="Calibri" w:hAnsi="Calibri"/>
        </w:rPr>
        <w:t xml:space="preserve">UN Women, </w:t>
      </w:r>
      <w:r>
        <w:rPr>
          <w:rFonts w:ascii="Calibri" w:hAnsi="Calibri"/>
        </w:rPr>
        <w:t>‘</w:t>
      </w:r>
      <w:r w:rsidRPr="00020F48">
        <w:rPr>
          <w:rFonts w:ascii="Calibri" w:hAnsi="Calibri"/>
        </w:rPr>
        <w:t>A Time for Peace: Nepal Adopts National Action Plan on Women, Peace and Security</w:t>
      </w:r>
      <w:r>
        <w:rPr>
          <w:rFonts w:ascii="Calibri" w:hAnsi="Calibri"/>
        </w:rPr>
        <w:t>’ (17 February 2011)</w:t>
      </w:r>
      <w:r w:rsidRPr="00020F48">
        <w:rPr>
          <w:rFonts w:ascii="Calibri" w:hAnsi="Calibri"/>
        </w:rPr>
        <w:t xml:space="preserve"> available from: http://www.unwomen.org/en/news/stories/2011/2/a-time-for-peace-nepal-adopts-national-action-plan-on-women-peace-and-security</w:t>
      </w:r>
      <w:r>
        <w:rPr>
          <w:rFonts w:ascii="Calibri" w:hAnsi="Calibri"/>
        </w:rPr>
        <w:t>.</w:t>
      </w:r>
    </w:p>
  </w:footnote>
  <w:footnote w:id="181">
    <w:p w14:paraId="184BDA87" w14:textId="6165A00A" w:rsidR="00D75A79" w:rsidRPr="00D344A1" w:rsidRDefault="00D75A79" w:rsidP="005C68CA">
      <w:pPr>
        <w:pStyle w:val="FootnoteText"/>
        <w:rPr>
          <w:rFonts w:ascii="Calibri" w:hAnsi="Calibri"/>
        </w:rPr>
      </w:pPr>
      <w:r w:rsidRPr="00020F48">
        <w:rPr>
          <w:rStyle w:val="FootnoteReference"/>
          <w:rFonts w:ascii="Calibri" w:hAnsi="Calibri"/>
        </w:rPr>
        <w:footnoteRef/>
      </w:r>
      <w:r w:rsidRPr="00020F48">
        <w:rPr>
          <w:rFonts w:ascii="Calibri" w:hAnsi="Calibri"/>
        </w:rPr>
        <w:t>ibid.</w:t>
      </w:r>
      <w:r>
        <w:rPr>
          <w:rFonts w:ascii="Calibri" w:hAnsi="Calibri"/>
        </w:rPr>
        <w:t xml:space="preserve"> </w:t>
      </w:r>
      <w:r w:rsidRPr="00D344A1">
        <w:rPr>
          <w:rFonts w:ascii="Calibri" w:hAnsi="Calibri"/>
        </w:rPr>
        <w:t xml:space="preserve"> </w:t>
      </w:r>
    </w:p>
  </w:footnote>
  <w:footnote w:id="182">
    <w:p w14:paraId="310B1FB2" w14:textId="6FE01BB7" w:rsidR="00D75A79" w:rsidRPr="00627211" w:rsidRDefault="00D75A79" w:rsidP="005C68CA">
      <w:pPr>
        <w:pStyle w:val="FootnoteText"/>
        <w:jc w:val="left"/>
        <w:rPr>
          <w:rFonts w:ascii="Calibri" w:hAnsi="Calibri"/>
        </w:rPr>
      </w:pPr>
      <w:r w:rsidRPr="00627211">
        <w:rPr>
          <w:rStyle w:val="FootnoteReference"/>
          <w:rFonts w:ascii="Calibri" w:hAnsi="Calibri"/>
        </w:rPr>
        <w:footnoteRef/>
      </w:r>
      <w:r>
        <w:rPr>
          <w:rFonts w:ascii="Calibri" w:hAnsi="Calibri"/>
        </w:rPr>
        <w:t>Peace Women, ‘</w:t>
      </w:r>
      <w:r w:rsidRPr="00627211">
        <w:rPr>
          <w:rFonts w:ascii="Calibri" w:hAnsi="Calibri"/>
        </w:rPr>
        <w:t>Nation</w:t>
      </w:r>
      <w:r>
        <w:rPr>
          <w:rFonts w:ascii="Calibri" w:hAnsi="Calibri"/>
        </w:rPr>
        <w:t>al Action Plan: Nepal’</w:t>
      </w:r>
      <w:r w:rsidRPr="00627211">
        <w:rPr>
          <w:rFonts w:ascii="Calibri" w:hAnsi="Calibri"/>
        </w:rPr>
        <w:t>, available from: http://www.peacewomen.org/nap-nepal</w:t>
      </w:r>
      <w:r>
        <w:rPr>
          <w:rFonts w:ascii="Calibri" w:hAnsi="Calibri"/>
        </w:rPr>
        <w:t>.</w:t>
      </w:r>
    </w:p>
  </w:footnote>
  <w:footnote w:id="183">
    <w:p w14:paraId="12CBC16A" w14:textId="751ED2F5" w:rsidR="00D75A79" w:rsidRPr="00627211" w:rsidRDefault="00D75A79" w:rsidP="005C68CA">
      <w:pPr>
        <w:pStyle w:val="FootnoteText"/>
        <w:jc w:val="left"/>
        <w:rPr>
          <w:rFonts w:ascii="Calibri" w:hAnsi="Calibri"/>
        </w:rPr>
      </w:pPr>
      <w:r w:rsidRPr="00627211">
        <w:rPr>
          <w:rStyle w:val="FootnoteReference"/>
          <w:rFonts w:ascii="Calibri" w:hAnsi="Calibri"/>
        </w:rPr>
        <w:footnoteRef/>
      </w:r>
      <w:r w:rsidRPr="00627211">
        <w:rPr>
          <w:rFonts w:ascii="Calibri" w:hAnsi="Calibri"/>
        </w:rPr>
        <w:t>ibid.</w:t>
      </w:r>
    </w:p>
  </w:footnote>
  <w:footnote w:id="184">
    <w:p w14:paraId="2DC7B981" w14:textId="3E24271D" w:rsidR="00D75A79" w:rsidRPr="00627211" w:rsidRDefault="00D75A79" w:rsidP="005C68CA">
      <w:pPr>
        <w:pStyle w:val="FootnoteText"/>
        <w:jc w:val="left"/>
        <w:rPr>
          <w:rFonts w:ascii="Calibri" w:hAnsi="Calibri"/>
        </w:rPr>
      </w:pPr>
      <w:r w:rsidRPr="00627211">
        <w:rPr>
          <w:rStyle w:val="FootnoteReference"/>
          <w:rFonts w:ascii="Calibri" w:hAnsi="Calibri"/>
        </w:rPr>
        <w:footnoteRef/>
      </w:r>
      <w:r w:rsidRPr="00627211">
        <w:rPr>
          <w:rFonts w:ascii="Calibri" w:hAnsi="Calibri"/>
        </w:rPr>
        <w:t>ibid.</w:t>
      </w:r>
    </w:p>
  </w:footnote>
  <w:footnote w:id="185">
    <w:p w14:paraId="30C10C7F" w14:textId="22FDF5E9" w:rsidR="00D75A79" w:rsidRPr="00627211" w:rsidRDefault="00D75A79" w:rsidP="00AC2C21">
      <w:pPr>
        <w:pStyle w:val="FootnoteText"/>
        <w:jc w:val="left"/>
        <w:rPr>
          <w:rFonts w:ascii="Calibri" w:hAnsi="Calibri"/>
        </w:rPr>
      </w:pPr>
      <w:r w:rsidRPr="00627211">
        <w:rPr>
          <w:rStyle w:val="FootnoteReference"/>
          <w:rFonts w:ascii="Calibri" w:hAnsi="Calibri"/>
        </w:rPr>
        <w:footnoteRef/>
      </w:r>
      <w:r w:rsidRPr="00627211">
        <w:rPr>
          <w:rFonts w:ascii="Calibri" w:hAnsi="Calibri"/>
        </w:rPr>
        <w:t xml:space="preserve"> </w:t>
      </w:r>
      <w:r>
        <w:rPr>
          <w:rFonts w:ascii="Calibri" w:hAnsi="Calibri"/>
        </w:rPr>
        <w:t xml:space="preserve">Ministry of Peace and Reconstruction, ‘National Action Plan on the Implementation of United Nations Security Council Resolutions 1325 and 1820: 2011/12-2015/16’, available from: </w:t>
      </w:r>
      <w:r w:rsidRPr="00C9177E">
        <w:rPr>
          <w:rFonts w:ascii="Calibri" w:hAnsi="Calibri"/>
        </w:rPr>
        <w:t>http://www.peacewomen.org/sites/default/files/nepal_2011.pdf</w:t>
      </w:r>
      <w:r>
        <w:rPr>
          <w:rFonts w:ascii="Calibri" w:hAnsi="Calibri"/>
        </w:rPr>
        <w:t xml:space="preserve">, (Nepal NAP) pp. 12, 14-16. </w:t>
      </w:r>
    </w:p>
  </w:footnote>
  <w:footnote w:id="186">
    <w:p w14:paraId="028F5F21" w14:textId="6690B025" w:rsidR="00D75A79" w:rsidRPr="008C5F9D" w:rsidRDefault="00D75A79" w:rsidP="00AC2C21">
      <w:pPr>
        <w:pStyle w:val="FootnoteText"/>
        <w:jc w:val="left"/>
        <w:rPr>
          <w:rFonts w:ascii="Calibri" w:hAnsi="Calibri"/>
        </w:rPr>
      </w:pPr>
      <w:r w:rsidRPr="00627211">
        <w:rPr>
          <w:rStyle w:val="FootnoteReference"/>
          <w:rFonts w:ascii="Calibri" w:hAnsi="Calibri"/>
        </w:rPr>
        <w:footnoteRef/>
      </w:r>
      <w:r w:rsidRPr="008C5F9D">
        <w:rPr>
          <w:rFonts w:ascii="Calibri" w:hAnsi="Calibri"/>
        </w:rPr>
        <w:t xml:space="preserve"> </w:t>
      </w:r>
      <w:r>
        <w:rPr>
          <w:rFonts w:ascii="Calibri" w:hAnsi="Calibri"/>
        </w:rPr>
        <w:t>Ministry of Peace and Reconstruction and 1325 Action Group Nepal, ‘National Action Plan on Implementation of Resolutions 1325 and 1820:</w:t>
      </w:r>
      <w:r w:rsidRPr="00D344A1">
        <w:rPr>
          <w:rFonts w:ascii="Calibri" w:hAnsi="Calibri"/>
        </w:rPr>
        <w:t xml:space="preserve"> </w:t>
      </w:r>
      <w:r>
        <w:rPr>
          <w:rFonts w:ascii="Calibri" w:hAnsi="Calibri"/>
        </w:rPr>
        <w:t xml:space="preserve">Midterm Report’ (September 2014) (Mid-Term Report) available from: </w:t>
      </w:r>
      <w:r w:rsidRPr="00D344A1">
        <w:rPr>
          <w:rFonts w:ascii="Calibri" w:hAnsi="Calibri"/>
        </w:rPr>
        <w:t xml:space="preserve"> </w:t>
      </w:r>
      <w:hyperlink r:id="rId5" w:history="1">
        <w:r w:rsidRPr="00AC2C21">
          <w:rPr>
            <w:rStyle w:val="Hyperlink"/>
            <w:rFonts w:ascii="Calibri" w:hAnsi="Calibri"/>
            <w:color w:val="000000" w:themeColor="text1"/>
            <w:u w:val="none"/>
          </w:rPr>
          <w:t>http://www.saathi.org.np/images/stories/pdf/saathimidtermreportenglish.pdf</w:t>
        </w:r>
      </w:hyperlink>
      <w:r>
        <w:rPr>
          <w:rStyle w:val="Hyperlink"/>
          <w:rFonts w:ascii="Calibri" w:hAnsi="Calibri"/>
        </w:rPr>
        <w:t xml:space="preserve"> </w:t>
      </w:r>
    </w:p>
  </w:footnote>
  <w:footnote w:id="187">
    <w:p w14:paraId="622453F7" w14:textId="4F86CBE4" w:rsidR="00D75A79" w:rsidRPr="00A61E6C" w:rsidRDefault="00D75A79" w:rsidP="005C68CA">
      <w:pPr>
        <w:pStyle w:val="FootnoteText"/>
        <w:jc w:val="left"/>
        <w:rPr>
          <w:rFonts w:ascii="Calibri" w:hAnsi="Calibri"/>
        </w:rPr>
      </w:pPr>
      <w:r w:rsidRPr="00A61E6C">
        <w:rPr>
          <w:rStyle w:val="FootnoteReference"/>
          <w:rFonts w:ascii="Calibri" w:hAnsi="Calibri"/>
        </w:rPr>
        <w:footnoteRef/>
      </w:r>
      <w:r w:rsidRPr="00A61E6C">
        <w:rPr>
          <w:rFonts w:ascii="Calibri" w:hAnsi="Calibri"/>
        </w:rPr>
        <w:t xml:space="preserve"> </w:t>
      </w:r>
      <w:r>
        <w:rPr>
          <w:rFonts w:ascii="Calibri" w:hAnsi="Calibri"/>
        </w:rPr>
        <w:t>Ibid,</w:t>
      </w:r>
      <w:r w:rsidRPr="00A61E6C">
        <w:rPr>
          <w:rFonts w:ascii="Calibri" w:hAnsi="Calibri"/>
        </w:rPr>
        <w:t xml:space="preserve"> p. 87. </w:t>
      </w:r>
    </w:p>
  </w:footnote>
  <w:footnote w:id="188">
    <w:p w14:paraId="05E602DB" w14:textId="0247BA6D" w:rsidR="00D75A79" w:rsidRDefault="00D75A79">
      <w:pPr>
        <w:pStyle w:val="FootnoteText"/>
      </w:pPr>
      <w:r w:rsidRPr="00A61E6C">
        <w:rPr>
          <w:rStyle w:val="FootnoteReference"/>
          <w:rFonts w:ascii="Calibri" w:hAnsi="Calibri"/>
        </w:rPr>
        <w:footnoteRef/>
      </w:r>
      <w:r>
        <w:t xml:space="preserve"> </w:t>
      </w:r>
      <w:r w:rsidRPr="00A61E6C">
        <w:rPr>
          <w:rFonts w:ascii="Calibri" w:hAnsi="Calibri"/>
        </w:rPr>
        <w:t>Ibid, pp. 87-9.</w:t>
      </w:r>
    </w:p>
  </w:footnote>
  <w:footnote w:id="189">
    <w:p w14:paraId="26B61D39" w14:textId="2676DE33" w:rsidR="00D75A79" w:rsidRPr="00D344A1" w:rsidRDefault="00D75A79" w:rsidP="005C68CA">
      <w:pPr>
        <w:pStyle w:val="FootnoteText"/>
        <w:jc w:val="left"/>
        <w:rPr>
          <w:rFonts w:ascii="Calibri" w:hAnsi="Calibri"/>
        </w:rPr>
      </w:pPr>
      <w:r w:rsidRPr="00D344A1">
        <w:rPr>
          <w:rStyle w:val="FootnoteReference"/>
          <w:rFonts w:ascii="Calibri" w:hAnsi="Calibri"/>
        </w:rPr>
        <w:footnoteRef/>
      </w:r>
      <w:r>
        <w:rPr>
          <w:rFonts w:ascii="Calibri" w:hAnsi="Calibri"/>
        </w:rPr>
        <w:t xml:space="preserve"> Ibid, Preface.</w:t>
      </w:r>
    </w:p>
  </w:footnote>
  <w:footnote w:id="190">
    <w:p w14:paraId="338BDC2A" w14:textId="3937020D" w:rsidR="00D75A79" w:rsidRDefault="00D75A79" w:rsidP="005C68CA">
      <w:pPr>
        <w:pStyle w:val="FootnoteText"/>
        <w:jc w:val="left"/>
      </w:pPr>
      <w:r w:rsidRPr="00D344A1">
        <w:rPr>
          <w:rStyle w:val="FootnoteReference"/>
          <w:rFonts w:ascii="Calibri" w:hAnsi="Calibri"/>
        </w:rPr>
        <w:footnoteRef/>
      </w:r>
      <w:r>
        <w:rPr>
          <w:rFonts w:ascii="Calibri" w:hAnsi="Calibri"/>
        </w:rPr>
        <w:t xml:space="preserve"> Ibid. </w:t>
      </w:r>
    </w:p>
  </w:footnote>
  <w:footnote w:id="191">
    <w:p w14:paraId="447A5C6F" w14:textId="0E56770E" w:rsidR="00D75A79" w:rsidRPr="00D344A1" w:rsidRDefault="00D75A79" w:rsidP="00942D4B">
      <w:pPr>
        <w:pStyle w:val="FootnoteText"/>
        <w:rPr>
          <w:rFonts w:ascii="Calibri" w:hAnsi="Calibri"/>
        </w:rPr>
      </w:pPr>
      <w:r w:rsidRPr="00D344A1">
        <w:rPr>
          <w:rStyle w:val="FootnoteReference"/>
          <w:rFonts w:ascii="Calibri" w:hAnsi="Calibri"/>
        </w:rPr>
        <w:footnoteRef/>
      </w:r>
      <w:r>
        <w:rPr>
          <w:rFonts w:ascii="Calibri" w:hAnsi="Calibri"/>
        </w:rPr>
        <w:t xml:space="preserve"> </w:t>
      </w:r>
      <w:r w:rsidRPr="00D344A1">
        <w:rPr>
          <w:rFonts w:ascii="Calibri" w:hAnsi="Calibri"/>
        </w:rPr>
        <w:t xml:space="preserve">International Justice Resource Centre, </w:t>
      </w:r>
      <w:r>
        <w:rPr>
          <w:rFonts w:ascii="Calibri" w:hAnsi="Calibri"/>
        </w:rPr>
        <w:t>‘</w:t>
      </w:r>
      <w:r w:rsidRPr="00D344A1">
        <w:rPr>
          <w:rFonts w:ascii="Calibri" w:hAnsi="Calibri"/>
        </w:rPr>
        <w:t>Truth and Reconciliation Commission for Nepal Continues to Face Criticism</w:t>
      </w:r>
      <w:r>
        <w:rPr>
          <w:rFonts w:ascii="Calibri" w:hAnsi="Calibri"/>
        </w:rPr>
        <w:t xml:space="preserve">’ (9 April 2013) available from: </w:t>
      </w:r>
      <w:r w:rsidRPr="00D344A1">
        <w:rPr>
          <w:rFonts w:ascii="Calibri" w:hAnsi="Calibri"/>
        </w:rPr>
        <w:t>http://www.ijrcenter.org/2013/04/09/flawed-truth-and-reconciliation-commission-for-nepal/</w:t>
      </w:r>
      <w:r>
        <w:rPr>
          <w:rFonts w:ascii="Calibri" w:hAnsi="Calibri"/>
        </w:rPr>
        <w:t>.</w:t>
      </w:r>
    </w:p>
  </w:footnote>
  <w:footnote w:id="192">
    <w:p w14:paraId="2538DB94" w14:textId="039CE493" w:rsidR="00D75A79" w:rsidRPr="00D344A1" w:rsidRDefault="00D75A79" w:rsidP="00942D4B">
      <w:pPr>
        <w:pStyle w:val="FootnoteText"/>
        <w:rPr>
          <w:rFonts w:ascii="Calibri" w:hAnsi="Calibri"/>
        </w:rPr>
      </w:pPr>
      <w:r w:rsidRPr="00D344A1">
        <w:rPr>
          <w:rStyle w:val="FootnoteReference"/>
          <w:rFonts w:ascii="Calibri" w:hAnsi="Calibri"/>
        </w:rPr>
        <w:footnoteRef/>
      </w:r>
      <w:r>
        <w:rPr>
          <w:rFonts w:ascii="Calibri" w:hAnsi="Calibri"/>
        </w:rPr>
        <w:t xml:space="preserve"> Ibid.</w:t>
      </w:r>
    </w:p>
  </w:footnote>
  <w:footnote w:id="193">
    <w:p w14:paraId="114C7AA9" w14:textId="433ABB67" w:rsidR="00D75A79" w:rsidRPr="00D344A1" w:rsidRDefault="00D75A79" w:rsidP="00942D4B">
      <w:pPr>
        <w:pStyle w:val="FootnoteText"/>
        <w:rPr>
          <w:rFonts w:ascii="Calibri" w:hAnsi="Calibri"/>
        </w:rPr>
      </w:pPr>
      <w:r w:rsidRPr="00D344A1">
        <w:rPr>
          <w:rStyle w:val="FootnoteReference"/>
          <w:rFonts w:ascii="Calibri" w:hAnsi="Calibri"/>
        </w:rPr>
        <w:footnoteRef/>
      </w:r>
      <w:r>
        <w:rPr>
          <w:rFonts w:ascii="Calibri" w:hAnsi="Calibri"/>
        </w:rPr>
        <w:t xml:space="preserve"> Government of Nepal, ‘</w:t>
      </w:r>
      <w:r w:rsidRPr="00D344A1">
        <w:rPr>
          <w:rFonts w:ascii="Calibri" w:hAnsi="Calibri"/>
        </w:rPr>
        <w:t>Ordinance on Investigation of Disappeared Persons, Trut</w:t>
      </w:r>
      <w:r>
        <w:rPr>
          <w:rFonts w:ascii="Calibri" w:hAnsi="Calibri"/>
        </w:rPr>
        <w:t>h and Reconciliation Commission’</w:t>
      </w:r>
      <w:r w:rsidRPr="00D344A1">
        <w:rPr>
          <w:rFonts w:ascii="Calibri" w:hAnsi="Calibri"/>
        </w:rPr>
        <w:t xml:space="preserve"> </w:t>
      </w:r>
      <w:r>
        <w:rPr>
          <w:rFonts w:ascii="Calibri" w:hAnsi="Calibri"/>
        </w:rPr>
        <w:t>(Ordinance) available from:</w:t>
      </w:r>
      <w:r w:rsidRPr="00D344A1">
        <w:rPr>
          <w:rFonts w:ascii="Calibri" w:hAnsi="Calibri"/>
        </w:rPr>
        <w:t xml:space="preserve"> </w:t>
      </w:r>
      <w:r w:rsidRPr="00A849B4">
        <w:rPr>
          <w:rFonts w:ascii="Calibri" w:hAnsi="Calibri"/>
        </w:rPr>
        <w:t>http://www.simonrobins.com/missing/wp-content/uploads/2013/02/Nepal-TRC-Ordinance.pdf</w:t>
      </w:r>
      <w:r>
        <w:rPr>
          <w:rFonts w:ascii="Calibri" w:hAnsi="Calibri"/>
        </w:rPr>
        <w:t xml:space="preserve"> </w:t>
      </w:r>
    </w:p>
  </w:footnote>
  <w:footnote w:id="194">
    <w:p w14:paraId="3E0A5A38" w14:textId="59470F78" w:rsidR="00D75A79" w:rsidRPr="00D344A1" w:rsidRDefault="00D75A79" w:rsidP="00942D4B">
      <w:pPr>
        <w:pStyle w:val="FootnoteText"/>
        <w:rPr>
          <w:rFonts w:ascii="Calibri" w:hAnsi="Calibri"/>
        </w:rPr>
      </w:pPr>
      <w:r w:rsidRPr="00D344A1">
        <w:rPr>
          <w:rStyle w:val="FootnoteReference"/>
          <w:rFonts w:ascii="Calibri" w:hAnsi="Calibri"/>
        </w:rPr>
        <w:footnoteRef/>
      </w:r>
      <w:r w:rsidRPr="00D344A1">
        <w:rPr>
          <w:rFonts w:ascii="Calibri" w:hAnsi="Calibri"/>
        </w:rPr>
        <w:t xml:space="preserve">International Commission of Jurists, </w:t>
      </w:r>
      <w:r>
        <w:rPr>
          <w:rFonts w:ascii="Calibri" w:hAnsi="Calibri"/>
        </w:rPr>
        <w:t>‘Compromising Justice: Nepal’s Proposed Ordinance on Commission on Disappeared Persons, Truth and Reconciliation’ (</w:t>
      </w:r>
      <w:r w:rsidRPr="00D344A1">
        <w:rPr>
          <w:rFonts w:ascii="Calibri" w:hAnsi="Calibri"/>
        </w:rPr>
        <w:t>Briefing Paper</w:t>
      </w:r>
      <w:r>
        <w:rPr>
          <w:rFonts w:ascii="Calibri" w:hAnsi="Calibri"/>
        </w:rPr>
        <w:t xml:space="preserve">) (2012) available </w:t>
      </w:r>
      <w:r w:rsidRPr="00D344A1">
        <w:rPr>
          <w:rFonts w:ascii="Calibri" w:hAnsi="Calibri"/>
        </w:rPr>
        <w:t>from</w:t>
      </w:r>
      <w:r>
        <w:rPr>
          <w:rFonts w:ascii="Calibri" w:hAnsi="Calibri"/>
        </w:rPr>
        <w:t>:</w:t>
      </w:r>
      <w:r w:rsidRPr="00D344A1">
        <w:rPr>
          <w:rFonts w:ascii="Calibri" w:hAnsi="Calibri"/>
        </w:rPr>
        <w:t xml:space="preserve"> http://icj.wpengine.netdna-cdn.com/wp-content/uploads/2012/10/TJ-Ordinance-Briefing-Paper-FINAL-VERSION.pdf</w:t>
      </w:r>
    </w:p>
  </w:footnote>
  <w:footnote w:id="195">
    <w:p w14:paraId="2E33F25B" w14:textId="4E400037" w:rsidR="00D75A79" w:rsidRPr="00D344A1" w:rsidRDefault="00D75A79" w:rsidP="00942D4B">
      <w:pPr>
        <w:pStyle w:val="FootnoteText"/>
        <w:rPr>
          <w:rFonts w:ascii="Calibri" w:hAnsi="Calibri"/>
        </w:rPr>
      </w:pPr>
      <w:r w:rsidRPr="00D344A1">
        <w:rPr>
          <w:rStyle w:val="FootnoteReference"/>
          <w:rFonts w:ascii="Calibri" w:hAnsi="Calibri"/>
        </w:rPr>
        <w:footnoteRef/>
      </w:r>
      <w:r w:rsidRPr="00D344A1">
        <w:rPr>
          <w:rFonts w:ascii="Calibri" w:hAnsi="Calibri"/>
        </w:rPr>
        <w:t>Ordinance</w:t>
      </w:r>
      <w:r>
        <w:rPr>
          <w:rFonts w:ascii="Calibri" w:hAnsi="Calibri"/>
        </w:rPr>
        <w:t xml:space="preserve">, ibid. </w:t>
      </w:r>
      <w:r w:rsidRPr="00D344A1">
        <w:rPr>
          <w:rFonts w:ascii="Calibri" w:hAnsi="Calibri"/>
        </w:rPr>
        <w:t xml:space="preserve"> </w:t>
      </w:r>
    </w:p>
  </w:footnote>
  <w:footnote w:id="196">
    <w:p w14:paraId="2C0119B4" w14:textId="5EE8E7D8" w:rsidR="00D75A79" w:rsidRPr="00245F98" w:rsidRDefault="00D75A79" w:rsidP="009B2C34">
      <w:pPr>
        <w:pStyle w:val="FootnoteText"/>
        <w:jc w:val="left"/>
        <w:rPr>
          <w:rFonts w:ascii="Calibri" w:hAnsi="Calibri"/>
        </w:rPr>
      </w:pPr>
      <w:r w:rsidRPr="00245F98">
        <w:rPr>
          <w:rStyle w:val="FootnoteReference"/>
          <w:rFonts w:ascii="Calibri" w:hAnsi="Calibri"/>
        </w:rPr>
        <w:footnoteRef/>
      </w:r>
      <w:r w:rsidRPr="00245F98">
        <w:rPr>
          <w:rFonts w:ascii="Calibri" w:hAnsi="Calibri"/>
        </w:rPr>
        <w:t xml:space="preserve"> BBC News, ‘Why is there communal violence in Myanmar?’ (3 July 2014) available at: http://www.bbc.co.uk/news/world-asia-18395788. </w:t>
      </w:r>
    </w:p>
  </w:footnote>
  <w:footnote w:id="197">
    <w:p w14:paraId="178A038A" w14:textId="1C60360D" w:rsidR="00D75A79" w:rsidRPr="00245F98" w:rsidRDefault="00D75A79" w:rsidP="005C68CA">
      <w:pPr>
        <w:pStyle w:val="FootnoteText"/>
        <w:jc w:val="left"/>
        <w:rPr>
          <w:rFonts w:ascii="Calibri" w:hAnsi="Calibri"/>
        </w:rPr>
      </w:pPr>
      <w:r w:rsidRPr="00245F98">
        <w:rPr>
          <w:rStyle w:val="FootnoteReference"/>
          <w:rFonts w:ascii="Calibri" w:hAnsi="Calibri"/>
        </w:rPr>
        <w:footnoteRef/>
      </w:r>
      <w:r w:rsidRPr="00245F98">
        <w:rPr>
          <w:rFonts w:ascii="Calibri" w:hAnsi="Calibri"/>
        </w:rPr>
        <w:t xml:space="preserve"> Women’s League of Burma, ‘If They Had Hope, They Would Speak: The ongoing use of state-sponsored sexual violence in Burma’s ethnic communities’, available at: http://womenofburma.org/wp-content/uploads/2014/11/VAW_Iftheyhadhope_TheywouldSpeak_English.pdf.</w:t>
      </w:r>
    </w:p>
  </w:footnote>
  <w:footnote w:id="198">
    <w:p w14:paraId="00AC2E10" w14:textId="0317C8CE" w:rsidR="00D75A79" w:rsidRPr="00245F98" w:rsidRDefault="00D75A79" w:rsidP="00EF1EC4">
      <w:pPr>
        <w:pStyle w:val="FootnoteText"/>
        <w:rPr>
          <w:rFonts w:ascii="Calibri" w:hAnsi="Calibri"/>
        </w:rPr>
      </w:pPr>
      <w:r w:rsidRPr="00245F98">
        <w:rPr>
          <w:rStyle w:val="FootnoteReference"/>
          <w:rFonts w:ascii="Calibri" w:hAnsi="Calibri"/>
        </w:rPr>
        <w:footnoteRef/>
      </w:r>
      <w:r w:rsidRPr="00245F98">
        <w:rPr>
          <w:rFonts w:ascii="Calibri" w:hAnsi="Calibri"/>
        </w:rPr>
        <w:t xml:space="preserve"> Ja Nan Lathaw and Nang Raw, ‘Myanmar’s current peace processes a new role for women?’ (Opinion) (Centre for Humanitarian Dialogue, December 2012) available from: http://www.w4nv.com/assets/files/HDMyanmar%20FINAL.pdf</w:t>
      </w:r>
    </w:p>
  </w:footnote>
  <w:footnote w:id="199">
    <w:p w14:paraId="06B9904C" w14:textId="5FB4A1AB" w:rsidR="00D75A79" w:rsidRPr="004C714C" w:rsidRDefault="00D75A79" w:rsidP="005C68CA">
      <w:pPr>
        <w:pStyle w:val="FootnoteText"/>
        <w:jc w:val="left"/>
        <w:rPr>
          <w:rFonts w:ascii="Calibri" w:hAnsi="Calibri"/>
        </w:rPr>
      </w:pPr>
      <w:r w:rsidRPr="00245F98">
        <w:rPr>
          <w:rStyle w:val="FootnoteReference"/>
          <w:rFonts w:ascii="Calibri" w:hAnsi="Calibri"/>
        </w:rPr>
        <w:footnoteRef/>
      </w:r>
      <w:r w:rsidRPr="00245F98">
        <w:rPr>
          <w:rFonts w:ascii="Calibri" w:hAnsi="Calibri"/>
        </w:rPr>
        <w:t xml:space="preserve"> UN Women, ‘In Myanmar, efforts to bring women to the centre of peacebuilding’, available at: </w:t>
      </w:r>
      <w:hyperlink r:id="rId6" w:history="1">
        <w:r w:rsidRPr="00245F98">
          <w:rPr>
            <w:rStyle w:val="Hyperlink"/>
            <w:rFonts w:ascii="Calibri" w:hAnsi="Calibri"/>
            <w:color w:val="000000" w:themeColor="text1"/>
            <w:u w:val="none"/>
          </w:rPr>
          <w:t>http://asiapacific.unwomen.org/en/news-and-events/stories/2013/11/in-myanmar-efforts-to-bring-women-to-the-centre-of-peacebuilding</w:t>
        </w:r>
      </w:hyperlink>
      <w:r w:rsidRPr="00245F98">
        <w:rPr>
          <w:rFonts w:ascii="Calibri" w:hAnsi="Calibri"/>
          <w:color w:val="000000" w:themeColor="text1"/>
        </w:rPr>
        <w:t>.</w:t>
      </w:r>
    </w:p>
  </w:footnote>
  <w:footnote w:id="200">
    <w:p w14:paraId="17E16464" w14:textId="5C8DBBFB" w:rsidR="00D75A79" w:rsidRPr="00876CC8" w:rsidRDefault="00D75A79" w:rsidP="005C68CA">
      <w:pPr>
        <w:pStyle w:val="FootnoteText"/>
        <w:jc w:val="left"/>
        <w:rPr>
          <w:rFonts w:ascii="Calibri" w:hAnsi="Calibri"/>
        </w:rPr>
      </w:pPr>
      <w:r w:rsidRPr="00876CC8">
        <w:rPr>
          <w:rStyle w:val="FootnoteReference"/>
          <w:rFonts w:ascii="Calibri" w:hAnsi="Calibri"/>
        </w:rPr>
        <w:footnoteRef/>
      </w:r>
      <w:r w:rsidRPr="00876CC8">
        <w:rPr>
          <w:rFonts w:ascii="Calibri" w:hAnsi="Calibri"/>
        </w:rPr>
        <w:t xml:space="preserve"> See commentary by </w:t>
      </w:r>
      <w:r>
        <w:rPr>
          <w:rFonts w:ascii="Calibri" w:hAnsi="Calibri"/>
        </w:rPr>
        <w:t>D Baulk, ‘</w:t>
      </w:r>
      <w:r w:rsidRPr="00876CC8">
        <w:rPr>
          <w:rFonts w:ascii="Calibri" w:hAnsi="Calibri"/>
        </w:rPr>
        <w:t>Burma’s ‘transition’</w:t>
      </w:r>
      <w:r>
        <w:rPr>
          <w:rFonts w:ascii="Calibri" w:hAnsi="Calibri"/>
        </w:rPr>
        <w:t xml:space="preserve"> leaves women’s rights behind’</w:t>
      </w:r>
      <w:r w:rsidRPr="00876CC8">
        <w:rPr>
          <w:rFonts w:ascii="Calibri" w:hAnsi="Calibri"/>
        </w:rPr>
        <w:t xml:space="preserve">, (3 December 2014) </w:t>
      </w:r>
      <w:r w:rsidRPr="00876CC8">
        <w:rPr>
          <w:rFonts w:ascii="Calibri" w:hAnsi="Calibri"/>
          <w:i/>
        </w:rPr>
        <w:t>New Internationalist</w:t>
      </w:r>
      <w:r w:rsidRPr="00876CC8">
        <w:rPr>
          <w:rFonts w:ascii="Calibri" w:hAnsi="Calibri"/>
        </w:rPr>
        <w:t>, available from: http://newint.org/blog/2014/12/03/burma-womens-rights/.</w:t>
      </w:r>
    </w:p>
  </w:footnote>
  <w:footnote w:id="201">
    <w:p w14:paraId="3CD50D52" w14:textId="2B6F8386" w:rsidR="00D75A79" w:rsidRPr="004C714C" w:rsidRDefault="00D75A79" w:rsidP="005C68CA">
      <w:pPr>
        <w:pStyle w:val="FootnoteText"/>
        <w:jc w:val="left"/>
        <w:rPr>
          <w:rFonts w:ascii="Calibri" w:hAnsi="Calibri"/>
        </w:rPr>
      </w:pPr>
      <w:r w:rsidRPr="00876CC8">
        <w:rPr>
          <w:rStyle w:val="FootnoteReference"/>
          <w:rFonts w:ascii="Calibri" w:hAnsi="Calibri"/>
        </w:rPr>
        <w:footnoteRef/>
      </w:r>
      <w:r w:rsidRPr="00876CC8">
        <w:rPr>
          <w:rFonts w:ascii="Calibri" w:hAnsi="Calibri"/>
        </w:rPr>
        <w:t xml:space="preserve"> Asia-Pacific Women’s Al</w:t>
      </w:r>
      <w:r>
        <w:rPr>
          <w:rFonts w:ascii="Calibri" w:hAnsi="Calibri"/>
        </w:rPr>
        <w:t>liance for Peace and Security, ‘CARE Myanmar Project Synopsis’ (2014)</w:t>
      </w:r>
      <w:r w:rsidRPr="00876CC8">
        <w:rPr>
          <w:rFonts w:ascii="Calibri" w:hAnsi="Calibri"/>
        </w:rPr>
        <w:t xml:space="preserve"> available from: http://apwaps.net/2014/08/19/care-myanmar/.</w:t>
      </w:r>
      <w:r w:rsidRPr="004C714C">
        <w:rPr>
          <w:rFonts w:ascii="Calibri" w:hAnsi="Calibri"/>
        </w:rPr>
        <w:t xml:space="preserve"> </w:t>
      </w:r>
    </w:p>
  </w:footnote>
  <w:footnote w:id="202">
    <w:p w14:paraId="74CD6803" w14:textId="1D91CA7D" w:rsidR="00D75A79" w:rsidRPr="00876CC8" w:rsidRDefault="00D75A79" w:rsidP="000B6510">
      <w:pPr>
        <w:pStyle w:val="FootnoteText"/>
        <w:rPr>
          <w:rFonts w:ascii="Calibri" w:hAnsi="Calibri"/>
        </w:rPr>
      </w:pPr>
      <w:r w:rsidRPr="00876CC8">
        <w:rPr>
          <w:rStyle w:val="FootnoteReference"/>
          <w:rFonts w:ascii="Calibri" w:hAnsi="Calibri"/>
        </w:rPr>
        <w:footnoteRef/>
      </w:r>
      <w:r w:rsidRPr="00876CC8">
        <w:rPr>
          <w:rFonts w:ascii="Calibri" w:hAnsi="Calibri"/>
        </w:rPr>
        <w:t xml:space="preserve"> </w:t>
      </w:r>
      <w:r>
        <w:rPr>
          <w:rFonts w:ascii="Calibri" w:hAnsi="Calibri"/>
        </w:rPr>
        <w:t xml:space="preserve">Swiss Peace, ‘Working in and on Myanmar: Reflections on a ‘Light Footprint’ Approach’ (Working Paper, May 2014), available from: </w:t>
      </w:r>
      <w:r w:rsidRPr="003228DE">
        <w:rPr>
          <w:rFonts w:ascii="Calibri" w:hAnsi="Calibri"/>
        </w:rPr>
        <w:t>http://www.swisspeace.ch/fileadmin/user_upload/Media/Publications/WP_5_2014.pdf</w:t>
      </w:r>
      <w:r>
        <w:rPr>
          <w:rFonts w:ascii="Calibri" w:hAnsi="Calibri"/>
        </w:rPr>
        <w:t xml:space="preserve">, p. 15. </w:t>
      </w:r>
    </w:p>
  </w:footnote>
  <w:footnote w:id="203">
    <w:p w14:paraId="546CD715" w14:textId="2F94A4EF" w:rsidR="00D75A79" w:rsidRPr="006C1167" w:rsidRDefault="00D75A79" w:rsidP="00C273F1">
      <w:pPr>
        <w:pStyle w:val="FootnoteText"/>
        <w:rPr>
          <w:rFonts w:ascii="Calibri" w:hAnsi="Calibri"/>
        </w:rPr>
      </w:pPr>
      <w:r w:rsidRPr="006C1167">
        <w:rPr>
          <w:rStyle w:val="FootnoteReference"/>
          <w:rFonts w:ascii="Calibri" w:hAnsi="Calibri"/>
        </w:rPr>
        <w:footnoteRef/>
      </w:r>
      <w:r>
        <w:rPr>
          <w:rFonts w:ascii="Calibri" w:hAnsi="Calibri"/>
        </w:rPr>
        <w:t>Insight on Conflict, ‘</w:t>
      </w:r>
      <w:r w:rsidRPr="006C1167">
        <w:rPr>
          <w:rFonts w:ascii="Calibri" w:hAnsi="Calibri"/>
        </w:rPr>
        <w:t>Women Peace I</w:t>
      </w:r>
      <w:r>
        <w:rPr>
          <w:rFonts w:ascii="Calibri" w:hAnsi="Calibri"/>
        </w:rPr>
        <w:t>nitiative for Peace (WIN-Peace)’</w:t>
      </w:r>
      <w:r w:rsidRPr="006C1167">
        <w:rPr>
          <w:rFonts w:ascii="Calibri" w:hAnsi="Calibri"/>
        </w:rPr>
        <w:t xml:space="preserve">, available from: http://www.insightonconflict.org/conflicts/myanmar/peacebuilding-organisations/win-peace/. </w:t>
      </w:r>
    </w:p>
  </w:footnote>
  <w:footnote w:id="204">
    <w:p w14:paraId="6E8427BA" w14:textId="07515D54" w:rsidR="00D75A79" w:rsidRPr="006C1167" w:rsidRDefault="00D75A79" w:rsidP="00C273F1">
      <w:pPr>
        <w:pStyle w:val="FootnoteText"/>
        <w:rPr>
          <w:rFonts w:ascii="Calibri" w:hAnsi="Calibri"/>
        </w:rPr>
      </w:pPr>
      <w:r w:rsidRPr="006C1167">
        <w:rPr>
          <w:rStyle w:val="FootnoteReference"/>
          <w:rFonts w:ascii="Calibri" w:hAnsi="Calibri"/>
        </w:rPr>
        <w:footnoteRef/>
      </w:r>
      <w:r w:rsidRPr="006C1167">
        <w:rPr>
          <w:rFonts w:ascii="Calibri" w:hAnsi="Calibri"/>
        </w:rPr>
        <w:t xml:space="preserve"> Columbia University Institute </w:t>
      </w:r>
      <w:r>
        <w:rPr>
          <w:rFonts w:ascii="Calibri" w:hAnsi="Calibri"/>
        </w:rPr>
        <w:t>for the Study of Human Rights, ‘</w:t>
      </w:r>
      <w:r w:rsidRPr="006C1167">
        <w:rPr>
          <w:rFonts w:ascii="Calibri" w:hAnsi="Calibri"/>
        </w:rPr>
        <w:t xml:space="preserve">Advancing Women’s Empowerment: </w:t>
      </w:r>
      <w:r>
        <w:rPr>
          <w:rFonts w:ascii="Calibri" w:hAnsi="Calibri"/>
        </w:rPr>
        <w:t>Peace, Security and Development’</w:t>
      </w:r>
      <w:r w:rsidRPr="006C1167">
        <w:rPr>
          <w:rFonts w:ascii="Calibri" w:hAnsi="Calibri"/>
        </w:rPr>
        <w:t xml:space="preserve">, available from: http://hrcolumbia.org/peacebuilding/womens_empowerment/. </w:t>
      </w:r>
    </w:p>
  </w:footnote>
  <w:footnote w:id="205">
    <w:p w14:paraId="5EF50860" w14:textId="7D9B459F" w:rsidR="00D75A79" w:rsidRPr="006C1167" w:rsidRDefault="00D75A79" w:rsidP="00C273F1">
      <w:pPr>
        <w:pStyle w:val="FootnoteText"/>
        <w:rPr>
          <w:rFonts w:ascii="Calibri" w:hAnsi="Calibri"/>
        </w:rPr>
      </w:pPr>
      <w:r w:rsidRPr="006C1167">
        <w:rPr>
          <w:rStyle w:val="FootnoteReference"/>
          <w:rFonts w:ascii="Calibri" w:hAnsi="Calibri"/>
        </w:rPr>
        <w:footnoteRef/>
      </w:r>
      <w:r>
        <w:rPr>
          <w:rFonts w:ascii="Calibri" w:hAnsi="Calibri"/>
        </w:rPr>
        <w:t xml:space="preserve"> Action Aid, ‘</w:t>
      </w:r>
      <w:r w:rsidRPr="006C1167">
        <w:rPr>
          <w:rFonts w:ascii="Calibri" w:hAnsi="Calibri"/>
        </w:rPr>
        <w:t>Five ways we’re tackling violence against women</w:t>
      </w:r>
      <w:r>
        <w:rPr>
          <w:rFonts w:ascii="Calibri" w:hAnsi="Calibri"/>
        </w:rPr>
        <w:t xml:space="preserve"> in Myanmar’</w:t>
      </w:r>
      <w:r w:rsidRPr="006C1167">
        <w:rPr>
          <w:rFonts w:ascii="Calibri" w:hAnsi="Calibri"/>
        </w:rPr>
        <w:t xml:space="preserve"> (15 January 2015), available from: http://www.actionaid.org.uk/blog/voices/2015/01/15/5-ways-were-tackling-violence-against-women-in-myanmar. </w:t>
      </w:r>
    </w:p>
  </w:footnote>
  <w:footnote w:id="206">
    <w:p w14:paraId="550B98D2" w14:textId="4331D389" w:rsidR="00D75A79" w:rsidRPr="006C1167" w:rsidRDefault="00D75A79">
      <w:pPr>
        <w:pStyle w:val="FootnoteText"/>
        <w:rPr>
          <w:rFonts w:ascii="Calibri" w:hAnsi="Calibri"/>
        </w:rPr>
      </w:pPr>
      <w:r w:rsidRPr="006C1167">
        <w:rPr>
          <w:rStyle w:val="FootnoteReference"/>
          <w:rFonts w:ascii="Calibri" w:hAnsi="Calibri"/>
        </w:rPr>
        <w:footnoteRef/>
      </w:r>
      <w:r>
        <w:t xml:space="preserve"> </w:t>
      </w:r>
      <w:r>
        <w:rPr>
          <w:rFonts w:ascii="Calibri" w:hAnsi="Calibri"/>
        </w:rPr>
        <w:t xml:space="preserve">CEDAW Committee, </w:t>
      </w:r>
      <w:r w:rsidRPr="00BB71B2">
        <w:rPr>
          <w:rFonts w:ascii="Calibri" w:hAnsi="Calibri"/>
          <w:i/>
        </w:rPr>
        <w:t>C</w:t>
      </w:r>
      <w:r>
        <w:rPr>
          <w:rFonts w:ascii="Calibri" w:hAnsi="Calibri"/>
          <w:i/>
        </w:rPr>
        <w:t>oncluding Observation on the combined 2</w:t>
      </w:r>
      <w:r w:rsidRPr="00BB71B2">
        <w:rPr>
          <w:rFonts w:ascii="Calibri" w:hAnsi="Calibri"/>
          <w:i/>
          <w:vertAlign w:val="superscript"/>
        </w:rPr>
        <w:t>nd</w:t>
      </w:r>
      <w:r>
        <w:rPr>
          <w:rFonts w:ascii="Calibri" w:hAnsi="Calibri"/>
          <w:i/>
        </w:rPr>
        <w:t xml:space="preserve"> and 3</w:t>
      </w:r>
      <w:r w:rsidRPr="00BB71B2">
        <w:rPr>
          <w:rFonts w:ascii="Calibri" w:hAnsi="Calibri"/>
          <w:i/>
          <w:vertAlign w:val="superscript"/>
        </w:rPr>
        <w:t>rd</w:t>
      </w:r>
      <w:r>
        <w:rPr>
          <w:rFonts w:ascii="Calibri" w:hAnsi="Calibri"/>
          <w:i/>
        </w:rPr>
        <w:t xml:space="preserve"> reports of</w:t>
      </w:r>
      <w:r w:rsidRPr="00BB71B2">
        <w:rPr>
          <w:rFonts w:ascii="Calibri" w:hAnsi="Calibri"/>
          <w:i/>
        </w:rPr>
        <w:t xml:space="preserve"> Myanmar</w:t>
      </w:r>
      <w:r>
        <w:rPr>
          <w:rFonts w:ascii="Calibri" w:hAnsi="Calibri"/>
        </w:rPr>
        <w:t xml:space="preserve">, (7 November 2008) CEDAW/C/MMR/CO/3, p. 8.  </w:t>
      </w:r>
    </w:p>
  </w:footnote>
  <w:footnote w:id="207">
    <w:p w14:paraId="794F23D0" w14:textId="18C0BF4D" w:rsidR="00D75A79" w:rsidRPr="00E54487" w:rsidRDefault="00D75A79" w:rsidP="00E54487">
      <w:pPr>
        <w:pStyle w:val="FootnoteText"/>
        <w:jc w:val="left"/>
        <w:rPr>
          <w:rFonts w:ascii="Calibri" w:hAnsi="Calibri"/>
        </w:rPr>
      </w:pPr>
      <w:r w:rsidRPr="00E54487">
        <w:rPr>
          <w:rStyle w:val="FootnoteReference"/>
          <w:rFonts w:ascii="Calibri" w:hAnsi="Calibri"/>
        </w:rPr>
        <w:footnoteRef/>
      </w:r>
      <w:r>
        <w:rPr>
          <w:rFonts w:ascii="Calibri" w:hAnsi="Calibri"/>
        </w:rPr>
        <w:t xml:space="preserve"> Human Rights Watch, ‘</w:t>
      </w:r>
      <w:r w:rsidRPr="00E54487">
        <w:rPr>
          <w:rFonts w:ascii="Calibri" w:hAnsi="Calibri"/>
        </w:rPr>
        <w:t>World Repo</w:t>
      </w:r>
      <w:r>
        <w:rPr>
          <w:rFonts w:ascii="Calibri" w:hAnsi="Calibri"/>
        </w:rPr>
        <w:t>rt on Human Rights 2014: Bosnia’ (January 2014)</w:t>
      </w:r>
      <w:r w:rsidRPr="00E54487">
        <w:rPr>
          <w:rFonts w:ascii="Calibri" w:hAnsi="Calibri"/>
        </w:rPr>
        <w:t xml:space="preserve"> available from:  http://www.hrw.org/sites/default/files/related_material/Bosnia%20and%20Herzegovina.pdf</w:t>
      </w:r>
    </w:p>
  </w:footnote>
  <w:footnote w:id="208">
    <w:p w14:paraId="05DB2390" w14:textId="203B56F0" w:rsidR="00D75A79" w:rsidRPr="00E54487" w:rsidRDefault="00D75A79" w:rsidP="00E54487">
      <w:pPr>
        <w:pStyle w:val="FootnoteText"/>
        <w:jc w:val="left"/>
        <w:rPr>
          <w:rFonts w:ascii="Calibri" w:hAnsi="Calibri"/>
        </w:rPr>
      </w:pPr>
      <w:r w:rsidRPr="00E54487">
        <w:rPr>
          <w:rStyle w:val="FootnoteReference"/>
          <w:rFonts w:ascii="Calibri" w:hAnsi="Calibri"/>
        </w:rPr>
        <w:footnoteRef/>
      </w:r>
      <w:r>
        <w:rPr>
          <w:rFonts w:ascii="Calibri" w:hAnsi="Calibri"/>
        </w:rPr>
        <w:t xml:space="preserve"> See Women Under Siege, ‘</w:t>
      </w:r>
      <w:r w:rsidRPr="00E54487">
        <w:rPr>
          <w:rFonts w:ascii="Calibri" w:hAnsi="Calibri"/>
        </w:rPr>
        <w:t>Bosnia Con</w:t>
      </w:r>
      <w:r>
        <w:rPr>
          <w:rFonts w:ascii="Calibri" w:hAnsi="Calibri"/>
        </w:rPr>
        <w:t>flict Profile’ (8 February 2012)</w:t>
      </w:r>
      <w:r w:rsidRPr="00E54487">
        <w:rPr>
          <w:rFonts w:ascii="Calibri" w:hAnsi="Calibri"/>
        </w:rPr>
        <w:t xml:space="preserve"> available from: http://www.womenundersiegeproject.org/conflicts/profile/bosnia.</w:t>
      </w:r>
    </w:p>
  </w:footnote>
  <w:footnote w:id="209">
    <w:p w14:paraId="6798F541" w14:textId="1FD631FD" w:rsidR="00D75A79" w:rsidRPr="00E54487" w:rsidRDefault="00D75A79" w:rsidP="00EC1751">
      <w:pPr>
        <w:pStyle w:val="FootnoteText"/>
        <w:jc w:val="left"/>
        <w:rPr>
          <w:rFonts w:ascii="Calibri" w:hAnsi="Calibri"/>
        </w:rPr>
      </w:pPr>
      <w:r w:rsidRPr="00E54487">
        <w:rPr>
          <w:rStyle w:val="FootnoteReference"/>
          <w:rFonts w:ascii="Calibri" w:hAnsi="Calibri"/>
        </w:rPr>
        <w:footnoteRef/>
      </w:r>
      <w:r w:rsidRPr="00E54487">
        <w:rPr>
          <w:rFonts w:ascii="Calibri" w:hAnsi="Calibri"/>
        </w:rPr>
        <w:t xml:space="preserve"> I</w:t>
      </w:r>
      <w:r>
        <w:rPr>
          <w:rFonts w:ascii="Calibri" w:hAnsi="Calibri"/>
        </w:rPr>
        <w:t>nstitute for Inclusive Security, ‘</w:t>
      </w:r>
      <w:r w:rsidRPr="00E54487">
        <w:rPr>
          <w:rFonts w:ascii="Calibri" w:hAnsi="Calibri"/>
        </w:rPr>
        <w:t>National Action Plans: Bosni</w:t>
      </w:r>
      <w:r>
        <w:rPr>
          <w:rFonts w:ascii="Calibri" w:hAnsi="Calibri"/>
        </w:rPr>
        <w:t xml:space="preserve">a and Herzegovina: Highlights’ (Second NAP) </w:t>
      </w:r>
      <w:r w:rsidRPr="00E54487">
        <w:rPr>
          <w:rFonts w:ascii="Calibri" w:hAnsi="Calibri"/>
        </w:rPr>
        <w:t xml:space="preserve">available from: http://actionplans.inclusivesecurity.org/countries/bosnia-and-herzegovina/. </w:t>
      </w:r>
    </w:p>
  </w:footnote>
  <w:footnote w:id="210">
    <w:p w14:paraId="35EC2F47" w14:textId="119D4AB0" w:rsidR="00D75A79" w:rsidRDefault="00D75A79" w:rsidP="00E54487">
      <w:pPr>
        <w:pStyle w:val="FootnoteText"/>
        <w:jc w:val="left"/>
      </w:pPr>
      <w:r w:rsidRPr="00E54487">
        <w:rPr>
          <w:rStyle w:val="FootnoteReference"/>
          <w:rFonts w:ascii="Calibri" w:hAnsi="Calibri"/>
        </w:rPr>
        <w:footnoteRef/>
      </w:r>
      <w:r w:rsidRPr="00E54487">
        <w:rPr>
          <w:rFonts w:ascii="Calibri" w:hAnsi="Calibri"/>
        </w:rPr>
        <w:t xml:space="preserve"> Gender Equality Age</w:t>
      </w:r>
      <w:r>
        <w:rPr>
          <w:rFonts w:ascii="Calibri" w:hAnsi="Calibri"/>
        </w:rPr>
        <w:t>ncy of Bosnia and Herzegovina, ‘</w:t>
      </w:r>
      <w:r w:rsidRPr="00E54487">
        <w:rPr>
          <w:rFonts w:ascii="Calibri" w:hAnsi="Calibri"/>
        </w:rPr>
        <w:t>Action Plan for Implementation of UNSCR 1325 in B</w:t>
      </w:r>
      <w:r>
        <w:rPr>
          <w:rFonts w:ascii="Calibri" w:hAnsi="Calibri"/>
        </w:rPr>
        <w:t>osnia and Herzegovina 2014-2017’</w:t>
      </w:r>
      <w:r w:rsidRPr="00E54487">
        <w:rPr>
          <w:rFonts w:ascii="Calibri" w:hAnsi="Calibri"/>
        </w:rPr>
        <w:t xml:space="preserve"> (2014) </w:t>
      </w:r>
      <w:r>
        <w:rPr>
          <w:rFonts w:ascii="Calibri" w:hAnsi="Calibri"/>
        </w:rPr>
        <w:t xml:space="preserve">(First NAP) </w:t>
      </w:r>
      <w:r w:rsidRPr="00E54487">
        <w:rPr>
          <w:rFonts w:ascii="Calibri" w:hAnsi="Calibri"/>
        </w:rPr>
        <w:t>available from: http://www.inclusivesecurity.org/wp-content/uploads/2014/12/Bosnia-NAP-ENG.pdf</w:t>
      </w:r>
      <w:r>
        <w:rPr>
          <w:rFonts w:ascii="Calibri" w:hAnsi="Calibri"/>
        </w:rPr>
        <w:t>, pp. 4-6.</w:t>
      </w:r>
    </w:p>
  </w:footnote>
  <w:footnote w:id="211">
    <w:p w14:paraId="1333C69E" w14:textId="7D82FED3" w:rsidR="00D75A79" w:rsidRPr="00B84CCF" w:rsidRDefault="00D75A79">
      <w:pPr>
        <w:pStyle w:val="FootnoteText"/>
        <w:rPr>
          <w:rFonts w:ascii="Calibri" w:hAnsi="Calibri"/>
        </w:rPr>
      </w:pPr>
      <w:r w:rsidRPr="00B84CCF">
        <w:rPr>
          <w:rStyle w:val="FootnoteReference"/>
          <w:rFonts w:ascii="Calibri" w:hAnsi="Calibri"/>
        </w:rPr>
        <w:footnoteRef/>
      </w:r>
      <w:r w:rsidRPr="00B84CCF">
        <w:rPr>
          <w:rFonts w:ascii="Calibri" w:hAnsi="Calibri"/>
        </w:rPr>
        <w:t xml:space="preserve"> Ibid, p. 6.</w:t>
      </w:r>
    </w:p>
  </w:footnote>
  <w:footnote w:id="212">
    <w:p w14:paraId="38AEE88F" w14:textId="3F1C66F3" w:rsidR="00D75A79" w:rsidRPr="00654111" w:rsidRDefault="00D75A79" w:rsidP="005C68CA">
      <w:pPr>
        <w:pStyle w:val="FootnoteText"/>
        <w:jc w:val="left"/>
        <w:rPr>
          <w:rFonts w:ascii="Calibri" w:hAnsi="Calibri"/>
          <w:lang w:val="hr-HR"/>
        </w:rPr>
      </w:pPr>
      <w:r w:rsidRPr="00654111">
        <w:rPr>
          <w:rStyle w:val="FootnoteReference"/>
          <w:rFonts w:ascii="Calibri" w:hAnsi="Calibri"/>
        </w:rPr>
        <w:footnoteRef/>
      </w:r>
      <w:r w:rsidRPr="00654111">
        <w:rPr>
          <w:rFonts w:ascii="Calibri" w:hAnsi="Calibri"/>
        </w:rPr>
        <w:t xml:space="preserve"> </w:t>
      </w:r>
      <w:r>
        <w:rPr>
          <w:rFonts w:ascii="Calibri" w:hAnsi="Calibri"/>
        </w:rPr>
        <w:t>First NAP.</w:t>
      </w:r>
      <w:r w:rsidRPr="00654111">
        <w:rPr>
          <w:rFonts w:ascii="Calibri" w:hAnsi="Calibri"/>
        </w:rPr>
        <w:t xml:space="preserve">  </w:t>
      </w:r>
    </w:p>
  </w:footnote>
  <w:footnote w:id="213">
    <w:p w14:paraId="291C8453" w14:textId="1959EAE2" w:rsidR="00D75A79" w:rsidRPr="00403F2F" w:rsidRDefault="00D75A79" w:rsidP="005C68CA">
      <w:pPr>
        <w:pStyle w:val="FootnoteText"/>
        <w:rPr>
          <w:lang w:val="en-IE"/>
        </w:rPr>
      </w:pPr>
      <w:r>
        <w:rPr>
          <w:rStyle w:val="FootnoteReference"/>
        </w:rPr>
        <w:footnoteRef/>
      </w:r>
      <w:r>
        <w:t xml:space="preserve"> </w:t>
      </w:r>
      <w:r w:rsidRPr="00403F2F">
        <w:rPr>
          <w:rFonts w:asciiTheme="majorHAnsi" w:hAnsiTheme="majorHAnsi"/>
        </w:rPr>
        <w:t xml:space="preserve">Edita Miftari, </w:t>
      </w:r>
      <w:r w:rsidRPr="00403F2F">
        <w:rPr>
          <w:rFonts w:asciiTheme="majorHAnsi" w:hAnsiTheme="majorHAnsi"/>
          <w:i/>
        </w:rPr>
        <w:t>Politicka participacija zena u Bosni i Herzegovini: analiza ucesca na stranackim listama i konacnih rezultata opcih izbora 2014</w:t>
      </w:r>
      <w:r w:rsidRPr="00403F2F">
        <w:rPr>
          <w:rFonts w:asciiTheme="majorHAnsi" w:hAnsiTheme="majorHAnsi"/>
        </w:rPr>
        <w:t>. (Fondacija CURE &amp; Sarajevski Otvoreni Centar 2015)</w:t>
      </w:r>
      <w:r>
        <w:rPr>
          <w:rFonts w:asciiTheme="majorHAnsi" w:hAnsiTheme="majorHAnsi"/>
        </w:rPr>
        <w:t>, available from:</w:t>
      </w:r>
      <w:r w:rsidRPr="00403F2F">
        <w:rPr>
          <w:rFonts w:asciiTheme="majorHAnsi" w:hAnsiTheme="majorHAnsi"/>
        </w:rPr>
        <w:t xml:space="preserve"> http://zenskamreza.ba/site/wp-content/uploads/2015/02/Mapa_Politicka-participacija_Edita_Knjizni-blok_Za-stampu.pdf.</w:t>
      </w:r>
    </w:p>
  </w:footnote>
  <w:footnote w:id="214">
    <w:p w14:paraId="050A4B35" w14:textId="1FF84055" w:rsidR="00D75A79" w:rsidRPr="00654111" w:rsidRDefault="00D75A79" w:rsidP="005C68CA">
      <w:pPr>
        <w:pStyle w:val="FootnoteText"/>
        <w:jc w:val="left"/>
        <w:rPr>
          <w:rFonts w:ascii="Calibri" w:hAnsi="Calibri"/>
        </w:rPr>
      </w:pPr>
      <w:r w:rsidRPr="00654111">
        <w:rPr>
          <w:rStyle w:val="FootnoteReference"/>
          <w:rFonts w:ascii="Calibri" w:hAnsi="Calibri"/>
        </w:rPr>
        <w:footnoteRef/>
      </w:r>
      <w:r w:rsidRPr="00654111">
        <w:rPr>
          <w:rFonts w:ascii="Calibri" w:hAnsi="Calibri"/>
        </w:rPr>
        <w:t xml:space="preserve"> Mi</w:t>
      </w:r>
      <w:r>
        <w:rPr>
          <w:rFonts w:ascii="Calibri" w:hAnsi="Calibri"/>
        </w:rPr>
        <w:t xml:space="preserve">nistry of Defence, ‘Struktura’, available from: </w:t>
      </w:r>
      <w:r w:rsidRPr="00B97296">
        <w:rPr>
          <w:rFonts w:ascii="Calibri" w:hAnsi="Calibri"/>
        </w:rPr>
        <w:t>http://www.mod.gov.ba/MO_BiH/Struktura/?id=21752</w:t>
      </w:r>
      <w:r w:rsidRPr="00654111">
        <w:rPr>
          <w:rFonts w:ascii="Calibri" w:hAnsi="Calibri"/>
        </w:rPr>
        <w:t>.</w:t>
      </w:r>
    </w:p>
  </w:footnote>
  <w:footnote w:id="215">
    <w:p w14:paraId="76F3EB85" w14:textId="0D874CCB" w:rsidR="00D75A79" w:rsidRPr="0017720C" w:rsidRDefault="00D75A79" w:rsidP="005C68CA">
      <w:pPr>
        <w:pStyle w:val="FootnoteText"/>
        <w:jc w:val="left"/>
        <w:rPr>
          <w:rFonts w:ascii="Calibri" w:hAnsi="Calibri"/>
        </w:rPr>
      </w:pPr>
      <w:r w:rsidRPr="0017720C">
        <w:rPr>
          <w:rStyle w:val="FootnoteReference"/>
          <w:rFonts w:ascii="Calibri" w:hAnsi="Calibri"/>
        </w:rPr>
        <w:footnoteRef/>
      </w:r>
      <w:r w:rsidRPr="0017720C">
        <w:rPr>
          <w:rFonts w:ascii="Calibri" w:hAnsi="Calibri"/>
        </w:rPr>
        <w:t xml:space="preserve"> </w:t>
      </w:r>
      <w:r>
        <w:rPr>
          <w:rFonts w:ascii="Calibri" w:hAnsi="Calibri"/>
        </w:rPr>
        <w:t>First NAP, p. 13.</w:t>
      </w:r>
    </w:p>
  </w:footnote>
  <w:footnote w:id="216">
    <w:p w14:paraId="069F4129" w14:textId="2A181E31" w:rsidR="00D75A79" w:rsidRPr="0017720C" w:rsidRDefault="00D75A79" w:rsidP="005C68CA">
      <w:pPr>
        <w:pStyle w:val="FootnoteText"/>
        <w:jc w:val="left"/>
        <w:rPr>
          <w:rFonts w:ascii="Calibri" w:hAnsi="Calibri"/>
        </w:rPr>
      </w:pPr>
      <w:r w:rsidRPr="0017720C">
        <w:rPr>
          <w:rStyle w:val="FootnoteReference"/>
          <w:rFonts w:ascii="Calibri" w:hAnsi="Calibri"/>
        </w:rPr>
        <w:footnoteRef/>
      </w:r>
      <w:r w:rsidRPr="0017720C">
        <w:rPr>
          <w:rFonts w:ascii="Calibri" w:hAnsi="Calibri"/>
        </w:rPr>
        <w:t xml:space="preserve"> Ibid.</w:t>
      </w:r>
    </w:p>
  </w:footnote>
  <w:footnote w:id="217">
    <w:p w14:paraId="26936E7B" w14:textId="2B3EBE20" w:rsidR="00D75A79" w:rsidRPr="0017720C" w:rsidRDefault="00D75A79" w:rsidP="005C68CA">
      <w:pPr>
        <w:pStyle w:val="FootnoteText"/>
        <w:jc w:val="left"/>
        <w:rPr>
          <w:rFonts w:ascii="Calibri" w:hAnsi="Calibri"/>
        </w:rPr>
      </w:pPr>
      <w:r w:rsidRPr="0017720C">
        <w:rPr>
          <w:rStyle w:val="FootnoteReference"/>
          <w:rFonts w:ascii="Calibri" w:hAnsi="Calibri"/>
        </w:rPr>
        <w:footnoteRef/>
      </w:r>
      <w:r w:rsidRPr="0017720C">
        <w:rPr>
          <w:rFonts w:ascii="Calibri" w:hAnsi="Calibri"/>
        </w:rPr>
        <w:t xml:space="preserve"> Ibid.</w:t>
      </w:r>
    </w:p>
  </w:footnote>
  <w:footnote w:id="218">
    <w:p w14:paraId="5E6C6BB3" w14:textId="77777777" w:rsidR="00D75A79" w:rsidRPr="00830AFB" w:rsidRDefault="00D75A79" w:rsidP="00681A7E">
      <w:pPr>
        <w:pStyle w:val="FootnoteText"/>
        <w:jc w:val="left"/>
        <w:rPr>
          <w:rFonts w:ascii="Calibri" w:hAnsi="Calibri"/>
        </w:rPr>
      </w:pPr>
      <w:r w:rsidRPr="00830AFB">
        <w:rPr>
          <w:rStyle w:val="FootnoteReference"/>
          <w:rFonts w:ascii="Calibri" w:hAnsi="Calibri"/>
        </w:rPr>
        <w:footnoteRef/>
      </w:r>
      <w:r w:rsidRPr="00830AFB">
        <w:rPr>
          <w:rFonts w:ascii="Calibri" w:hAnsi="Calibri"/>
        </w:rPr>
        <w:t xml:space="preserve"> Amnesty International, </w:t>
      </w:r>
      <w:r w:rsidRPr="00830AFB">
        <w:rPr>
          <w:rFonts w:ascii="Calibri" w:hAnsi="Calibri"/>
          <w:i/>
        </w:rPr>
        <w:t xml:space="preserve">Whose Justice? </w:t>
      </w:r>
      <w:r w:rsidRPr="00830AFB">
        <w:rPr>
          <w:rFonts w:ascii="Calibri" w:hAnsi="Calibri"/>
        </w:rPr>
        <w:t xml:space="preserve">(London: 2009). </w:t>
      </w:r>
    </w:p>
  </w:footnote>
  <w:footnote w:id="219">
    <w:p w14:paraId="2B07259E" w14:textId="387B5547" w:rsidR="00D75A79" w:rsidRPr="00830AFB" w:rsidRDefault="00D75A79">
      <w:pPr>
        <w:pStyle w:val="FootnoteText"/>
        <w:rPr>
          <w:rFonts w:ascii="Calibri" w:hAnsi="Calibri"/>
        </w:rPr>
      </w:pPr>
      <w:r w:rsidRPr="00830AFB">
        <w:rPr>
          <w:rStyle w:val="FootnoteReference"/>
          <w:rFonts w:ascii="Calibri" w:hAnsi="Calibri"/>
        </w:rPr>
        <w:footnoteRef/>
      </w:r>
      <w:r w:rsidRPr="00830AFB">
        <w:rPr>
          <w:rFonts w:ascii="Calibri" w:hAnsi="Calibri"/>
        </w:rPr>
        <w:t xml:space="preserve"> Ministry of Security, Trafficking Report 2014. </w:t>
      </w:r>
    </w:p>
  </w:footnote>
  <w:footnote w:id="220">
    <w:p w14:paraId="787F54E9" w14:textId="77777777" w:rsidR="00D75A79" w:rsidRPr="00830AFB" w:rsidRDefault="00D75A79" w:rsidP="00681A7E">
      <w:pPr>
        <w:pStyle w:val="FootnoteText"/>
        <w:jc w:val="left"/>
        <w:rPr>
          <w:rFonts w:ascii="Calibri" w:hAnsi="Calibri"/>
        </w:rPr>
      </w:pPr>
      <w:r w:rsidRPr="00830AFB">
        <w:rPr>
          <w:rStyle w:val="FootnoteReference"/>
          <w:rFonts w:ascii="Calibri" w:hAnsi="Calibri"/>
        </w:rPr>
        <w:footnoteRef/>
      </w:r>
      <w:r w:rsidRPr="00830AFB">
        <w:rPr>
          <w:rFonts w:ascii="Calibri" w:hAnsi="Calibri"/>
        </w:rPr>
        <w:t xml:space="preserve"> Ibid. </w:t>
      </w:r>
    </w:p>
  </w:footnote>
  <w:footnote w:id="221">
    <w:p w14:paraId="318DC14C" w14:textId="6C64D747" w:rsidR="00D75A79" w:rsidRPr="00830AFB" w:rsidRDefault="00D75A79">
      <w:pPr>
        <w:pStyle w:val="FootnoteText"/>
        <w:rPr>
          <w:rFonts w:ascii="Calibri" w:hAnsi="Calibri"/>
        </w:rPr>
      </w:pPr>
      <w:r w:rsidRPr="00830AFB">
        <w:rPr>
          <w:rStyle w:val="FootnoteReference"/>
          <w:rFonts w:ascii="Calibri" w:hAnsi="Calibri"/>
        </w:rPr>
        <w:footnoteRef/>
      </w:r>
      <w:r w:rsidRPr="00830AFB">
        <w:rPr>
          <w:rFonts w:ascii="Calibri" w:hAnsi="Calibri"/>
        </w:rPr>
        <w:t xml:space="preserve"> </w:t>
      </w:r>
      <w:r>
        <w:rPr>
          <w:rFonts w:ascii="Calibri" w:hAnsi="Calibri"/>
        </w:rPr>
        <w:t xml:space="preserve">Organization for Security and Cooperation in Europe (OSCE) ‘Delivering justice for wartime sexual violence in Bosnia and Herzegovina’ (3 April 2014) available from: </w:t>
      </w:r>
      <w:r w:rsidRPr="007D4A82">
        <w:rPr>
          <w:rFonts w:ascii="Calibri" w:hAnsi="Calibri"/>
        </w:rPr>
        <w:t>http://www.osce.org/bih/117037</w:t>
      </w:r>
      <w:r>
        <w:rPr>
          <w:rFonts w:ascii="Calibri" w:hAnsi="Calibri"/>
        </w:rPr>
        <w:t>.</w:t>
      </w:r>
    </w:p>
  </w:footnote>
  <w:footnote w:id="222">
    <w:p w14:paraId="274664E7" w14:textId="77777777" w:rsidR="00D75A79" w:rsidRPr="00830AFB" w:rsidRDefault="00D75A79" w:rsidP="006B02AF">
      <w:pPr>
        <w:pStyle w:val="FootnoteText"/>
        <w:jc w:val="left"/>
        <w:rPr>
          <w:rFonts w:ascii="Calibri" w:hAnsi="Calibri"/>
        </w:rPr>
      </w:pPr>
      <w:r w:rsidRPr="00830AFB">
        <w:rPr>
          <w:rStyle w:val="FootnoteReference"/>
          <w:rFonts w:ascii="Calibri" w:hAnsi="Calibri"/>
        </w:rPr>
        <w:footnoteRef/>
      </w:r>
      <w:r w:rsidRPr="00830AFB">
        <w:rPr>
          <w:rFonts w:ascii="Calibri" w:hAnsi="Calibri"/>
        </w:rPr>
        <w:t xml:space="preserve"> Ibid.</w:t>
      </w:r>
    </w:p>
  </w:footnote>
  <w:footnote w:id="223">
    <w:p w14:paraId="19280014" w14:textId="7C72DCFC" w:rsidR="00D75A79" w:rsidRPr="00654111" w:rsidRDefault="00D75A79" w:rsidP="00C47E1B">
      <w:pPr>
        <w:pStyle w:val="FootnoteText"/>
        <w:jc w:val="left"/>
        <w:rPr>
          <w:rFonts w:ascii="Calibri" w:hAnsi="Calibri"/>
        </w:rPr>
      </w:pPr>
      <w:r w:rsidRPr="00830AFB">
        <w:rPr>
          <w:rStyle w:val="FootnoteReference"/>
          <w:rFonts w:ascii="Calibri" w:hAnsi="Calibri"/>
        </w:rPr>
        <w:footnoteRef/>
      </w:r>
      <w:r w:rsidRPr="00830AFB">
        <w:rPr>
          <w:rFonts w:ascii="Calibri" w:hAnsi="Calibri"/>
        </w:rPr>
        <w:t xml:space="preserve">  Sarajev</w:t>
      </w:r>
      <w:r>
        <w:rPr>
          <w:rFonts w:ascii="Calibri" w:hAnsi="Calibri"/>
        </w:rPr>
        <w:t>ski Otvoreni Centar ‘</w:t>
      </w:r>
      <w:r w:rsidRPr="00830AFB">
        <w:rPr>
          <w:rFonts w:ascii="Calibri" w:hAnsi="Calibri"/>
        </w:rPr>
        <w:t>Skupstina KS ce traziti zastupljenost zena</w:t>
      </w:r>
      <w:r>
        <w:rPr>
          <w:rFonts w:ascii="Calibri" w:hAnsi="Calibri"/>
        </w:rPr>
        <w:t xml:space="preserve"> u vladi od minimalno 40 posto’</w:t>
      </w:r>
      <w:r w:rsidRPr="00830AFB">
        <w:rPr>
          <w:rFonts w:ascii="Calibri" w:hAnsi="Calibri"/>
        </w:rPr>
        <w:t xml:space="preserve"> available from: http://soc.ba/skupstina-ks-ce-traziti-zastupljenost-zena-u-vladi-od-minimalno-40-posto/.</w:t>
      </w:r>
    </w:p>
  </w:footnote>
  <w:footnote w:id="224">
    <w:p w14:paraId="147ACA40" w14:textId="303290BE" w:rsidR="00D75A79" w:rsidRPr="00D55C34" w:rsidRDefault="00D75A79" w:rsidP="001109DA">
      <w:pPr>
        <w:rPr>
          <w:rFonts w:ascii="Calibri" w:hAnsi="Calibri"/>
          <w:sz w:val="20"/>
          <w:szCs w:val="20"/>
        </w:rPr>
      </w:pPr>
      <w:r w:rsidRPr="00D55C34">
        <w:rPr>
          <w:rStyle w:val="FootnoteReference"/>
          <w:rFonts w:ascii="Calibri" w:hAnsi="Calibri"/>
          <w:sz w:val="20"/>
          <w:szCs w:val="20"/>
        </w:rPr>
        <w:footnoteRef/>
      </w:r>
      <w:r w:rsidRPr="00D55C34">
        <w:rPr>
          <w:rStyle w:val="FootnoteReference"/>
          <w:rFonts w:ascii="Calibri" w:hAnsi="Calibri"/>
          <w:sz w:val="20"/>
          <w:szCs w:val="20"/>
        </w:rPr>
        <w:t xml:space="preserve"> </w:t>
      </w:r>
      <w:r w:rsidRPr="00D55C34">
        <w:rPr>
          <w:rFonts w:ascii="Calibri" w:hAnsi="Calibri"/>
          <w:sz w:val="20"/>
          <w:szCs w:val="20"/>
        </w:rPr>
        <w:t>National Commission on Political Imprisonment and Torture Report</w:t>
      </w:r>
      <w:r>
        <w:rPr>
          <w:rFonts w:ascii="Calibri" w:hAnsi="Calibri"/>
          <w:sz w:val="20"/>
          <w:szCs w:val="20"/>
        </w:rPr>
        <w:t xml:space="preserve"> </w:t>
      </w:r>
      <w:r w:rsidRPr="00D55C34">
        <w:rPr>
          <w:rFonts w:ascii="Calibri" w:hAnsi="Calibri"/>
          <w:sz w:val="20"/>
          <w:szCs w:val="20"/>
        </w:rPr>
        <w:t>(</w:t>
      </w:r>
      <w:r>
        <w:rPr>
          <w:rFonts w:ascii="Calibri" w:hAnsi="Calibri"/>
          <w:sz w:val="20"/>
          <w:szCs w:val="20"/>
        </w:rPr>
        <w:t xml:space="preserve">the </w:t>
      </w:r>
      <w:r w:rsidRPr="00D55C34">
        <w:rPr>
          <w:rFonts w:ascii="Calibri" w:hAnsi="Calibri"/>
          <w:sz w:val="20"/>
          <w:szCs w:val="20"/>
        </w:rPr>
        <w:t>Valech Report) (2005), available from: http://www.derechoshumanos.net/paises/America/derechos-humanos-Chile/informes-comisiones/Informe-Comision-Valech.pdf</w:t>
      </w:r>
      <w:r>
        <w:rPr>
          <w:rFonts w:ascii="Calibri" w:hAnsi="Calibri"/>
          <w:sz w:val="20"/>
          <w:szCs w:val="20"/>
        </w:rPr>
        <w:t>.</w:t>
      </w:r>
    </w:p>
  </w:footnote>
  <w:footnote w:id="225">
    <w:p w14:paraId="1A8B17E7" w14:textId="5957932E" w:rsidR="00D75A79" w:rsidRPr="00D55C34" w:rsidRDefault="00D75A79" w:rsidP="00396B07">
      <w:pPr>
        <w:jc w:val="both"/>
        <w:rPr>
          <w:rFonts w:ascii="Calibri" w:hAnsi="Calibri"/>
          <w:sz w:val="20"/>
          <w:szCs w:val="20"/>
        </w:rPr>
      </w:pPr>
      <w:r w:rsidRPr="00D55C34">
        <w:rPr>
          <w:rStyle w:val="FootnoteReference"/>
          <w:rFonts w:ascii="Calibri" w:hAnsi="Calibri"/>
          <w:sz w:val="20"/>
          <w:szCs w:val="20"/>
        </w:rPr>
        <w:footnoteRef/>
      </w:r>
      <w:r>
        <w:rPr>
          <w:rFonts w:ascii="Calibri" w:hAnsi="Calibri"/>
          <w:sz w:val="20"/>
          <w:szCs w:val="20"/>
        </w:rPr>
        <w:t>‘</w:t>
      </w:r>
      <w:r w:rsidRPr="00D55C34">
        <w:rPr>
          <w:rFonts w:ascii="Calibri" w:hAnsi="Calibri"/>
          <w:sz w:val="20"/>
          <w:szCs w:val="20"/>
        </w:rPr>
        <w:t>Violence sexual contra mujeres en dict</w:t>
      </w:r>
      <w:r>
        <w:rPr>
          <w:rFonts w:ascii="Calibri" w:hAnsi="Calibri"/>
          <w:sz w:val="20"/>
          <w:szCs w:val="20"/>
        </w:rPr>
        <w:t>adura: un crimen invisibilizado’</w:t>
      </w:r>
      <w:r w:rsidRPr="00D55C34">
        <w:rPr>
          <w:rFonts w:ascii="Calibri" w:hAnsi="Calibri"/>
          <w:sz w:val="20"/>
          <w:szCs w:val="20"/>
        </w:rPr>
        <w:t xml:space="preserve"> (3 September 2013) available from: http://radio.uchile.cl/2013/09/03/violencia-sexual-contra-mujeres-en-dictadura-un-crimen-invisibilizado</w:t>
      </w:r>
    </w:p>
  </w:footnote>
  <w:footnote w:id="226">
    <w:p w14:paraId="5A21BA9C" w14:textId="5D2359A2" w:rsidR="00D75A79" w:rsidRDefault="00D75A79" w:rsidP="00211F9F">
      <w:pPr>
        <w:pStyle w:val="FootnoteText"/>
        <w:jc w:val="left"/>
      </w:pPr>
      <w:r>
        <w:rPr>
          <w:rStyle w:val="FootnoteReference"/>
        </w:rPr>
        <w:footnoteRef/>
      </w:r>
      <w:r>
        <w:t xml:space="preserve"> </w:t>
      </w:r>
      <w:r w:rsidRPr="00211F9F">
        <w:rPr>
          <w:rFonts w:ascii="Calibri" w:hAnsi="Calibri"/>
        </w:rPr>
        <w:t>Ins</w:t>
      </w:r>
      <w:r>
        <w:rPr>
          <w:rFonts w:ascii="Calibri" w:hAnsi="Calibri"/>
        </w:rPr>
        <w:t xml:space="preserve">titute for Inclusive Security, ‘National Action Plan: Chile’ (2014) available from: </w:t>
      </w:r>
      <w:r w:rsidRPr="00211F9F">
        <w:rPr>
          <w:rFonts w:ascii="Calibri" w:hAnsi="Calibri"/>
        </w:rPr>
        <w:t>http://actionplans.inclusivesecurity.org/countries/chile/</w:t>
      </w:r>
      <w:r>
        <w:rPr>
          <w:rFonts w:ascii="Calibri" w:hAnsi="Calibri"/>
        </w:rPr>
        <w:t>.</w:t>
      </w:r>
    </w:p>
  </w:footnote>
  <w:footnote w:id="227">
    <w:p w14:paraId="24F529AC" w14:textId="1EE78A4A" w:rsidR="00D75A79" w:rsidRDefault="00D75A79">
      <w:pPr>
        <w:pStyle w:val="FootnoteText"/>
      </w:pPr>
      <w:r>
        <w:rPr>
          <w:rStyle w:val="FootnoteReference"/>
        </w:rPr>
        <w:footnoteRef/>
      </w:r>
      <w:r>
        <w:t xml:space="preserve"> </w:t>
      </w:r>
      <w:r w:rsidRPr="008B6E37">
        <w:rPr>
          <w:rFonts w:ascii="Calibri" w:eastAsia="Times New Roman" w:hAnsi="Calibri" w:cs="Times New Roman"/>
        </w:rPr>
        <w:t>Barbara Miller, M</w:t>
      </w:r>
      <w:r>
        <w:rPr>
          <w:rFonts w:ascii="Calibri" w:eastAsia="Times New Roman" w:hAnsi="Calibri" w:cs="Times New Roman"/>
        </w:rPr>
        <w:t>ilad Pournik and Aisling Swaine</w:t>
      </w:r>
      <w:r>
        <w:rPr>
          <w:rFonts w:ascii="Calibri" w:hAnsi="Calibri"/>
        </w:rPr>
        <w:t xml:space="preserve">, ‘Analysis of Chile’s National Action Plan’ (2014) available from: </w:t>
      </w:r>
      <w:r w:rsidRPr="00211F9F">
        <w:rPr>
          <w:rFonts w:ascii="Calibri" w:hAnsi="Calibri"/>
        </w:rPr>
        <w:t>http://peacewomen.org/sites/default/files/chile_specificity_pournik_2014.pdf</w:t>
      </w:r>
      <w:r>
        <w:rPr>
          <w:rFonts w:ascii="Calibri" w:hAnsi="Calibri"/>
        </w:rPr>
        <w:t>.</w:t>
      </w:r>
    </w:p>
  </w:footnote>
  <w:footnote w:id="228">
    <w:p w14:paraId="1119C163" w14:textId="1BD02235" w:rsidR="00D75A79" w:rsidRPr="00D55C34" w:rsidRDefault="00D75A79" w:rsidP="00211F9F">
      <w:pPr>
        <w:pStyle w:val="FootnoteText"/>
        <w:jc w:val="left"/>
        <w:rPr>
          <w:rFonts w:ascii="Calibri" w:hAnsi="Calibri"/>
        </w:rPr>
      </w:pPr>
      <w:r w:rsidRPr="00D55C34">
        <w:rPr>
          <w:rStyle w:val="FootnoteReference"/>
          <w:rFonts w:ascii="Calibri" w:hAnsi="Calibri"/>
        </w:rPr>
        <w:footnoteRef/>
      </w:r>
      <w:r w:rsidRPr="00D55C34">
        <w:rPr>
          <w:rFonts w:ascii="Calibri" w:hAnsi="Calibri"/>
        </w:rPr>
        <w:t xml:space="preserve"> </w:t>
      </w:r>
      <w:r>
        <w:rPr>
          <w:rFonts w:ascii="Calibri" w:eastAsia="Times New Roman" w:hAnsi="Calibri" w:cs="Times New Roman"/>
        </w:rPr>
        <w:t>Ibid.</w:t>
      </w:r>
    </w:p>
  </w:footnote>
  <w:footnote w:id="229">
    <w:p w14:paraId="16275952" w14:textId="16584F63" w:rsidR="00D75A79" w:rsidRPr="008D4C60" w:rsidRDefault="00D75A79">
      <w:pPr>
        <w:pStyle w:val="FootnoteText"/>
        <w:rPr>
          <w:rFonts w:ascii="Calibri" w:hAnsi="Calibri"/>
        </w:rPr>
      </w:pPr>
      <w:r w:rsidRPr="008D4C60">
        <w:rPr>
          <w:rStyle w:val="FootnoteReference"/>
          <w:rFonts w:ascii="Calibri" w:hAnsi="Calibri"/>
        </w:rPr>
        <w:footnoteRef/>
      </w:r>
      <w:r w:rsidRPr="008D4C60">
        <w:rPr>
          <w:rFonts w:ascii="Calibri" w:hAnsi="Calibri"/>
        </w:rPr>
        <w:t xml:space="preserve"> Ministry of Foreign Affairs, Ministry of National Defense, National Women’s Service, </w:t>
      </w:r>
      <w:r w:rsidRPr="008D4C60">
        <w:rPr>
          <w:rFonts w:ascii="Calibri" w:hAnsi="Calibri"/>
          <w:i/>
        </w:rPr>
        <w:t>National Action Plan for the implementation of the UN Security Council Resolution 1325: women, peace, security</w:t>
      </w:r>
      <w:r>
        <w:rPr>
          <w:rFonts w:ascii="Calibri" w:hAnsi="Calibri"/>
        </w:rPr>
        <w:t>,</w:t>
      </w:r>
      <w:r w:rsidRPr="008D4C60">
        <w:rPr>
          <w:rFonts w:ascii="Calibri" w:hAnsi="Calibri"/>
        </w:rPr>
        <w:t xml:space="preserve"> available from: http://www.gnwp.org/sites/default/files/resource-field_media/Chile%20NAP.pdf, pp.11-13.</w:t>
      </w:r>
    </w:p>
  </w:footnote>
  <w:footnote w:id="230">
    <w:p w14:paraId="10700667" w14:textId="7A6BDE4F" w:rsidR="00D75A79" w:rsidRPr="008D4C60" w:rsidRDefault="00D75A79">
      <w:pPr>
        <w:pStyle w:val="FootnoteText"/>
        <w:rPr>
          <w:rFonts w:ascii="Calibri" w:hAnsi="Calibri"/>
        </w:rPr>
      </w:pPr>
      <w:r w:rsidRPr="008D4C60">
        <w:rPr>
          <w:rStyle w:val="FootnoteReference"/>
          <w:rFonts w:ascii="Calibri" w:hAnsi="Calibri"/>
        </w:rPr>
        <w:footnoteRef/>
      </w:r>
      <w:r w:rsidRPr="008D4C60">
        <w:rPr>
          <w:rFonts w:ascii="Calibri" w:hAnsi="Calibri"/>
        </w:rPr>
        <w:t xml:space="preserve"> Ibid, p. 11. </w:t>
      </w:r>
    </w:p>
  </w:footnote>
  <w:footnote w:id="231">
    <w:p w14:paraId="1EFBE36A" w14:textId="4C4A31ED" w:rsidR="00D75A79" w:rsidRPr="008D4C60" w:rsidRDefault="00D75A79" w:rsidP="00151500">
      <w:pPr>
        <w:rPr>
          <w:rFonts w:ascii="Calibri" w:eastAsia="Times New Roman" w:hAnsi="Calibri" w:cs="Times New Roman"/>
          <w:color w:val="3F3F3F"/>
          <w:sz w:val="20"/>
          <w:szCs w:val="20"/>
        </w:rPr>
      </w:pPr>
      <w:r w:rsidRPr="008D4C60">
        <w:rPr>
          <w:rStyle w:val="FootnoteReference"/>
          <w:rFonts w:ascii="Calibri" w:hAnsi="Calibri"/>
          <w:sz w:val="20"/>
          <w:szCs w:val="20"/>
        </w:rPr>
        <w:footnoteRef/>
      </w:r>
      <w:r w:rsidRPr="008D4C60">
        <w:rPr>
          <w:rFonts w:ascii="Calibri" w:hAnsi="Calibri"/>
          <w:sz w:val="20"/>
          <w:szCs w:val="20"/>
        </w:rPr>
        <w:t xml:space="preserve"> </w:t>
      </w:r>
      <w:r w:rsidRPr="0090438F">
        <w:rPr>
          <w:rFonts w:ascii="Calibri" w:eastAsia="Times New Roman" w:hAnsi="Calibri" w:cs="Times New Roman"/>
          <w:color w:val="000000" w:themeColor="text1"/>
          <w:sz w:val="20"/>
          <w:szCs w:val="20"/>
        </w:rPr>
        <w:t>CEDAW Committee,</w:t>
      </w:r>
      <w:r w:rsidRPr="0090438F">
        <w:rPr>
          <w:rFonts w:ascii="Calibri" w:eastAsia="Times New Roman" w:hAnsi="Calibri" w:cs="Times New Roman"/>
          <w:i/>
          <w:color w:val="000000" w:themeColor="text1"/>
          <w:sz w:val="20"/>
          <w:szCs w:val="20"/>
        </w:rPr>
        <w:t xml:space="preserve"> </w:t>
      </w:r>
      <w:r w:rsidRPr="008D4C60">
        <w:rPr>
          <w:rFonts w:ascii="Calibri" w:eastAsia="Times New Roman" w:hAnsi="Calibri" w:cs="Times New Roman"/>
          <w:i/>
          <w:color w:val="000000" w:themeColor="text1"/>
          <w:sz w:val="20"/>
          <w:szCs w:val="20"/>
        </w:rPr>
        <w:t>Consideration of reports submitted by States parties under article 18 of the Convention on the Elimination of All Forms of Discrimination against Women, Combined 5</w:t>
      </w:r>
      <w:r w:rsidRPr="008D4C60">
        <w:rPr>
          <w:rFonts w:ascii="Calibri" w:eastAsia="Times New Roman" w:hAnsi="Calibri" w:cs="Times New Roman"/>
          <w:i/>
          <w:color w:val="000000" w:themeColor="text1"/>
          <w:sz w:val="20"/>
          <w:szCs w:val="20"/>
          <w:vertAlign w:val="superscript"/>
        </w:rPr>
        <w:t>th</w:t>
      </w:r>
      <w:r w:rsidRPr="008D4C60">
        <w:rPr>
          <w:rFonts w:ascii="Calibri" w:eastAsia="Times New Roman" w:hAnsi="Calibri" w:cs="Times New Roman"/>
          <w:i/>
          <w:color w:val="000000" w:themeColor="text1"/>
          <w:sz w:val="20"/>
          <w:szCs w:val="20"/>
        </w:rPr>
        <w:t xml:space="preserve"> and 6th periodic report of States Parties: Chile, </w:t>
      </w:r>
      <w:r w:rsidRPr="008D4C60">
        <w:rPr>
          <w:rFonts w:ascii="Calibri" w:eastAsia="Times New Roman" w:hAnsi="Calibri" w:cs="Times New Roman"/>
          <w:iCs/>
          <w:color w:val="000000" w:themeColor="text1"/>
          <w:sz w:val="20"/>
          <w:szCs w:val="20"/>
        </w:rPr>
        <w:t xml:space="preserve">17 March 2011, </w:t>
      </w:r>
      <w:r w:rsidRPr="008D4C60">
        <w:rPr>
          <w:rFonts w:ascii="Calibri" w:eastAsia="Times New Roman" w:hAnsi="Calibri" w:cs="Times New Roman"/>
          <w:color w:val="000000" w:themeColor="text1"/>
          <w:sz w:val="20"/>
          <w:szCs w:val="20"/>
        </w:rPr>
        <w:t xml:space="preserve">CEDAW/C/CHL/5-6, p. 10. </w:t>
      </w:r>
    </w:p>
    <w:p w14:paraId="3206AA6A" w14:textId="77777777" w:rsidR="00D75A79" w:rsidRPr="003756F9" w:rsidRDefault="00D75A79" w:rsidP="00874314">
      <w:pPr>
        <w:pStyle w:val="FootnoteText"/>
        <w:rPr>
          <w:rFonts w:ascii="Calibri" w:hAnsi="Calibri"/>
        </w:rPr>
      </w:pPr>
    </w:p>
  </w:footnote>
  <w:footnote w:id="232">
    <w:p w14:paraId="42068764" w14:textId="58127F5B" w:rsidR="00D75A79" w:rsidRPr="00AF5015" w:rsidRDefault="00D75A79">
      <w:pPr>
        <w:pStyle w:val="FootnoteText"/>
        <w:rPr>
          <w:rFonts w:ascii="Calibri" w:hAnsi="Calibri"/>
        </w:rPr>
      </w:pPr>
      <w:r w:rsidRPr="00AF5015">
        <w:rPr>
          <w:rStyle w:val="FootnoteReference"/>
          <w:rFonts w:ascii="Calibri" w:hAnsi="Calibri"/>
        </w:rPr>
        <w:footnoteRef/>
      </w:r>
      <w:r w:rsidRPr="00AF5015">
        <w:rPr>
          <w:rFonts w:ascii="Calibri" w:hAnsi="Calibri"/>
        </w:rPr>
        <w:t xml:space="preserve"> UN Women and the Inter-Parliamentary </w:t>
      </w:r>
      <w:r>
        <w:rPr>
          <w:rFonts w:ascii="Calibri" w:hAnsi="Calibri"/>
        </w:rPr>
        <w:t>Union, ‘Women in Politics: 2014’</w:t>
      </w:r>
      <w:r w:rsidRPr="00AF5015">
        <w:rPr>
          <w:rFonts w:ascii="Calibri" w:hAnsi="Calibri"/>
        </w:rPr>
        <w:t xml:space="preserve"> (1 January 2014), available from: http://ipu.org/pdf/publications/wmnmap14_en.pdf. </w:t>
      </w:r>
    </w:p>
  </w:footnote>
  <w:footnote w:id="233">
    <w:p w14:paraId="31383F0C" w14:textId="50BD7987" w:rsidR="00D75A79" w:rsidRPr="00AF5015" w:rsidRDefault="00D75A79">
      <w:pPr>
        <w:pStyle w:val="FootnoteText"/>
        <w:rPr>
          <w:rFonts w:ascii="Calibri" w:hAnsi="Calibri"/>
        </w:rPr>
      </w:pPr>
      <w:r w:rsidRPr="00AF5015">
        <w:rPr>
          <w:rStyle w:val="FootnoteReference"/>
          <w:rFonts w:ascii="Calibri" w:hAnsi="Calibri"/>
        </w:rPr>
        <w:footnoteRef/>
      </w:r>
      <w:r w:rsidRPr="00AF5015">
        <w:rPr>
          <w:rFonts w:ascii="Calibri" w:hAnsi="Calibri"/>
        </w:rPr>
        <w:t xml:space="preserve"> Ibid. </w:t>
      </w:r>
    </w:p>
  </w:footnote>
  <w:footnote w:id="234">
    <w:p w14:paraId="3729B9AA" w14:textId="3E44C0F2" w:rsidR="00D75A79" w:rsidRPr="00AF5015" w:rsidRDefault="00D75A79">
      <w:pPr>
        <w:pStyle w:val="FootnoteText"/>
        <w:rPr>
          <w:rFonts w:ascii="Calibri" w:hAnsi="Calibri"/>
        </w:rPr>
      </w:pPr>
      <w:r w:rsidRPr="00AF5015">
        <w:rPr>
          <w:rStyle w:val="FootnoteReference"/>
          <w:rFonts w:ascii="Calibri" w:hAnsi="Calibri"/>
        </w:rPr>
        <w:footnoteRef/>
      </w:r>
      <w:r w:rsidRPr="00AF5015">
        <w:rPr>
          <w:rFonts w:ascii="Calibri" w:hAnsi="Calibri"/>
        </w:rPr>
        <w:t xml:space="preserve"> CEDAW Committee, </w:t>
      </w:r>
      <w:r w:rsidRPr="00AF5015">
        <w:rPr>
          <w:rFonts w:ascii="Calibri" w:hAnsi="Calibri"/>
          <w:i/>
        </w:rPr>
        <w:t>Concluding Observations on the 5</w:t>
      </w:r>
      <w:r w:rsidRPr="00AF5015">
        <w:rPr>
          <w:rFonts w:ascii="Calibri" w:hAnsi="Calibri"/>
          <w:i/>
          <w:vertAlign w:val="superscript"/>
        </w:rPr>
        <w:t>th</w:t>
      </w:r>
      <w:r w:rsidRPr="00AF5015">
        <w:rPr>
          <w:rFonts w:ascii="Calibri" w:hAnsi="Calibri"/>
          <w:i/>
        </w:rPr>
        <w:t xml:space="preserve"> and 6</w:t>
      </w:r>
      <w:r w:rsidRPr="00AF5015">
        <w:rPr>
          <w:rFonts w:ascii="Calibri" w:hAnsi="Calibri"/>
          <w:i/>
          <w:vertAlign w:val="superscript"/>
        </w:rPr>
        <w:t>th</w:t>
      </w:r>
      <w:r w:rsidRPr="00AF5015">
        <w:rPr>
          <w:rFonts w:ascii="Calibri" w:hAnsi="Calibri"/>
          <w:i/>
        </w:rPr>
        <w:t xml:space="preserve"> periodic reports of Chile </w:t>
      </w:r>
      <w:r w:rsidRPr="00AF5015">
        <w:rPr>
          <w:rFonts w:ascii="Calibri" w:hAnsi="Calibri"/>
        </w:rPr>
        <w:t>(12 November 2012)</w:t>
      </w:r>
      <w:r>
        <w:rPr>
          <w:rFonts w:ascii="Calibri" w:hAnsi="Calibri"/>
        </w:rPr>
        <w:t xml:space="preserve"> CEDAW/C/CHL/CO/5-6, </w:t>
      </w:r>
      <w:r w:rsidRPr="00AF5015">
        <w:rPr>
          <w:rFonts w:ascii="Calibri" w:hAnsi="Calibri"/>
        </w:rPr>
        <w:t>(CEDAW Committee C</w:t>
      </w:r>
      <w:r>
        <w:rPr>
          <w:rFonts w:ascii="Calibri" w:hAnsi="Calibri"/>
        </w:rPr>
        <w:t>oncluding Observations: Chile) p. 6.</w:t>
      </w:r>
    </w:p>
  </w:footnote>
  <w:footnote w:id="235">
    <w:p w14:paraId="032F58B4" w14:textId="456EA049" w:rsidR="00D75A79" w:rsidRPr="00AF5015" w:rsidRDefault="00D75A79">
      <w:pPr>
        <w:pStyle w:val="FootnoteText"/>
        <w:rPr>
          <w:rFonts w:ascii="Calibri" w:hAnsi="Calibri"/>
        </w:rPr>
      </w:pPr>
      <w:r w:rsidRPr="00AF5015">
        <w:rPr>
          <w:rStyle w:val="FootnoteReference"/>
          <w:rFonts w:ascii="Calibri" w:hAnsi="Calibri"/>
        </w:rPr>
        <w:footnoteRef/>
      </w:r>
      <w:r w:rsidRPr="00AF5015">
        <w:rPr>
          <w:rFonts w:ascii="Calibri" w:hAnsi="Calibri"/>
        </w:rPr>
        <w:t xml:space="preserve"> Ibid. </w:t>
      </w:r>
    </w:p>
  </w:footnote>
  <w:footnote w:id="236">
    <w:p w14:paraId="234A922A" w14:textId="1EC99DE2" w:rsidR="00D75A79" w:rsidRPr="00AF5015" w:rsidRDefault="00D75A79">
      <w:pPr>
        <w:pStyle w:val="FootnoteText"/>
        <w:rPr>
          <w:rFonts w:ascii="Calibri" w:hAnsi="Calibri"/>
        </w:rPr>
      </w:pPr>
      <w:r w:rsidRPr="00AF5015">
        <w:rPr>
          <w:rStyle w:val="FootnoteReference"/>
          <w:rFonts w:ascii="Calibri" w:hAnsi="Calibri"/>
        </w:rPr>
        <w:footnoteRef/>
      </w:r>
      <w:r>
        <w:rPr>
          <w:rFonts w:ascii="Calibri" w:hAnsi="Calibri"/>
        </w:rPr>
        <w:t xml:space="preserve"> See UN Women, ‘</w:t>
      </w:r>
      <w:r w:rsidRPr="00AF5015">
        <w:rPr>
          <w:rFonts w:ascii="Calibri" w:hAnsi="Calibri"/>
        </w:rPr>
        <w:t>Violence against Women Prevalence Data: Surveys by Co</w:t>
      </w:r>
      <w:r>
        <w:rPr>
          <w:rFonts w:ascii="Calibri" w:hAnsi="Calibri"/>
        </w:rPr>
        <w:t>untry’</w:t>
      </w:r>
      <w:r w:rsidRPr="00AF5015">
        <w:rPr>
          <w:rFonts w:ascii="Calibri" w:hAnsi="Calibri"/>
        </w:rPr>
        <w:t xml:space="preserve"> (December 2012) available from: </w:t>
      </w:r>
      <w:hyperlink r:id="rId7" w:history="1">
        <w:r w:rsidRPr="00AF5015">
          <w:rPr>
            <w:rStyle w:val="Hyperlink"/>
            <w:rFonts w:ascii="Calibri" w:hAnsi="Calibri"/>
            <w:color w:val="000000" w:themeColor="text1"/>
            <w:u w:val="none"/>
          </w:rPr>
          <w:t>http://www.endvawnow.org/uploads/browser/files/vawprevalence_matrix_june2013.pdf</w:t>
        </w:r>
      </w:hyperlink>
      <w:r w:rsidRPr="00AF5015">
        <w:rPr>
          <w:rFonts w:ascii="Calibri" w:hAnsi="Calibri"/>
          <w:color w:val="000000" w:themeColor="text1"/>
        </w:rPr>
        <w:t>,</w:t>
      </w:r>
      <w:r w:rsidRPr="00AF5015">
        <w:rPr>
          <w:rFonts w:ascii="Calibri" w:hAnsi="Calibri"/>
        </w:rPr>
        <w:t xml:space="preserve"> p. 2.</w:t>
      </w:r>
    </w:p>
  </w:footnote>
  <w:footnote w:id="237">
    <w:p w14:paraId="2B0D9C02" w14:textId="635B6560" w:rsidR="00D75A79" w:rsidRPr="00AF5015" w:rsidRDefault="00D75A79">
      <w:pPr>
        <w:pStyle w:val="FootnoteText"/>
        <w:rPr>
          <w:rFonts w:ascii="Calibri" w:hAnsi="Calibri"/>
        </w:rPr>
      </w:pPr>
      <w:r w:rsidRPr="00AF5015">
        <w:rPr>
          <w:rStyle w:val="FootnoteReference"/>
          <w:rFonts w:ascii="Calibri" w:hAnsi="Calibri"/>
        </w:rPr>
        <w:footnoteRef/>
      </w:r>
      <w:r w:rsidRPr="00AF5015">
        <w:rPr>
          <w:rFonts w:ascii="Calibri" w:hAnsi="Calibri"/>
        </w:rPr>
        <w:t xml:space="preserve"> CEDAW Committee Concluding Observations: Chile, p. 4.</w:t>
      </w:r>
    </w:p>
  </w:footnote>
  <w:footnote w:id="238">
    <w:p w14:paraId="371B582D" w14:textId="5D3535C8" w:rsidR="00D75A79" w:rsidRPr="005F1E16" w:rsidRDefault="00D75A79">
      <w:pPr>
        <w:pStyle w:val="FootnoteText"/>
        <w:rPr>
          <w:rFonts w:ascii="Calibri" w:hAnsi="Calibri"/>
        </w:rPr>
      </w:pPr>
      <w:r w:rsidRPr="005F1E16">
        <w:rPr>
          <w:rStyle w:val="FootnoteReference"/>
          <w:rFonts w:ascii="Calibri" w:hAnsi="Calibri"/>
        </w:rPr>
        <w:footnoteRef/>
      </w:r>
      <w:r w:rsidRPr="005F1E16">
        <w:rPr>
          <w:rFonts w:ascii="Calibri" w:hAnsi="Calibri"/>
        </w:rPr>
        <w:t xml:space="preserve"> Ibid, p. 34. </w:t>
      </w:r>
    </w:p>
  </w:footnote>
  <w:footnote w:id="239">
    <w:p w14:paraId="02F6D886" w14:textId="08161BC8" w:rsidR="00D75A79" w:rsidRPr="005F1E16" w:rsidRDefault="00D75A79">
      <w:pPr>
        <w:pStyle w:val="FootnoteText"/>
        <w:rPr>
          <w:rFonts w:ascii="Calibri" w:hAnsi="Calibri"/>
        </w:rPr>
      </w:pPr>
      <w:r w:rsidRPr="005F1E16">
        <w:rPr>
          <w:rStyle w:val="FootnoteReference"/>
          <w:rFonts w:ascii="Calibri" w:hAnsi="Calibri"/>
        </w:rPr>
        <w:footnoteRef/>
      </w:r>
      <w:r w:rsidRPr="005F1E16">
        <w:rPr>
          <w:rFonts w:ascii="Calibri" w:hAnsi="Calibri"/>
        </w:rPr>
        <w:t xml:space="preserve"> Ibid, p. 8.</w:t>
      </w:r>
    </w:p>
  </w:footnote>
  <w:footnote w:id="240">
    <w:p w14:paraId="517B17A2" w14:textId="1B758C14" w:rsidR="00D75A79" w:rsidRPr="005F1E16" w:rsidRDefault="00D75A79">
      <w:pPr>
        <w:pStyle w:val="FootnoteText"/>
        <w:rPr>
          <w:rFonts w:ascii="Calibri" w:hAnsi="Calibri"/>
        </w:rPr>
      </w:pPr>
      <w:r w:rsidRPr="005F1E16">
        <w:rPr>
          <w:rStyle w:val="FootnoteReference"/>
          <w:rFonts w:ascii="Calibri" w:hAnsi="Calibri"/>
        </w:rPr>
        <w:footnoteRef/>
      </w:r>
      <w:r w:rsidRPr="005F1E16">
        <w:rPr>
          <w:rFonts w:ascii="Calibri" w:hAnsi="Calibri"/>
        </w:rPr>
        <w:t xml:space="preserve"> See ‘President Bachelet on women in the Armed Forces: ‘They are the ones who broaden the horizons of what is possible in peace missions’’ (9 March 2015) available from: http://www.gob.cl/2015/03/09/president-bachelet-on-women-in-the-armed-forces-they-are-the-ones-who-broaden-the-horizons-of-what-is-possible-in-peace-missions/.</w:t>
      </w:r>
    </w:p>
  </w:footnote>
  <w:footnote w:id="241">
    <w:p w14:paraId="245D31BE" w14:textId="4B08DD75" w:rsidR="00D75A79" w:rsidRPr="00DF6336" w:rsidRDefault="00D75A79" w:rsidP="001031A6">
      <w:pPr>
        <w:pStyle w:val="FootnoteText"/>
        <w:jc w:val="left"/>
        <w:rPr>
          <w:rFonts w:ascii="Calibri" w:hAnsi="Calibri"/>
        </w:rPr>
      </w:pPr>
      <w:r w:rsidRPr="005F1E16">
        <w:rPr>
          <w:rStyle w:val="FootnoteReference"/>
          <w:rFonts w:ascii="Calibri" w:hAnsi="Calibri"/>
        </w:rPr>
        <w:footnoteRef/>
      </w:r>
      <w:r w:rsidRPr="005F1E16">
        <w:rPr>
          <w:rFonts w:ascii="Calibri" w:hAnsi="Calibri"/>
        </w:rPr>
        <w:t xml:space="preserve"> World Economic Forum, </w:t>
      </w:r>
      <w:r w:rsidRPr="005F1E16">
        <w:rPr>
          <w:rFonts w:ascii="Calibri" w:hAnsi="Calibri"/>
          <w:i/>
        </w:rPr>
        <w:t xml:space="preserve">Global Gender Gap Report 2014: Chile </w:t>
      </w:r>
      <w:r w:rsidRPr="005F1E16">
        <w:rPr>
          <w:rFonts w:ascii="Calibri" w:hAnsi="Calibri"/>
        </w:rPr>
        <w:t>(2014) available from: http://reports.weforum.org/global-gender-gap-report-2014/economies/#economy=CHL</w:t>
      </w:r>
    </w:p>
  </w:footnote>
  <w:footnote w:id="242">
    <w:p w14:paraId="1F94DF3B" w14:textId="5A6FEE3F" w:rsidR="00D75A79" w:rsidRPr="00836E89" w:rsidRDefault="00D75A79" w:rsidP="005C68CA">
      <w:pPr>
        <w:pStyle w:val="FootnoteText"/>
        <w:jc w:val="left"/>
        <w:rPr>
          <w:rFonts w:ascii="Calibri" w:hAnsi="Calibri"/>
        </w:rPr>
      </w:pPr>
      <w:r w:rsidRPr="00836E89">
        <w:rPr>
          <w:rStyle w:val="FootnoteReference"/>
          <w:rFonts w:ascii="Calibri" w:hAnsi="Calibri"/>
        </w:rPr>
        <w:footnoteRef/>
      </w:r>
      <w:r w:rsidRPr="00836E89">
        <w:rPr>
          <w:rFonts w:ascii="Calibri" w:hAnsi="Calibri"/>
        </w:rPr>
        <w:t xml:space="preserve"> Iraqi Women in Armed Conflict an</w:t>
      </w:r>
      <w:r>
        <w:rPr>
          <w:rFonts w:ascii="Calibri" w:hAnsi="Calibri"/>
        </w:rPr>
        <w:t xml:space="preserve">d Post Conflict Situations, </w:t>
      </w:r>
      <w:r w:rsidRPr="008F4AC7">
        <w:rPr>
          <w:rFonts w:ascii="Calibri" w:hAnsi="Calibri"/>
          <w:i/>
        </w:rPr>
        <w:t>Shadow Report Submitted to the CEDAW Committee at the 57</w:t>
      </w:r>
      <w:r w:rsidRPr="008F4AC7">
        <w:rPr>
          <w:rFonts w:ascii="Calibri" w:hAnsi="Calibri"/>
          <w:i/>
          <w:vertAlign w:val="superscript"/>
        </w:rPr>
        <w:t>th</w:t>
      </w:r>
      <w:r w:rsidRPr="008F4AC7">
        <w:rPr>
          <w:rFonts w:ascii="Calibri" w:hAnsi="Calibri"/>
          <w:i/>
        </w:rPr>
        <w:t xml:space="preserve"> Session</w:t>
      </w:r>
      <w:r>
        <w:rPr>
          <w:rFonts w:ascii="Calibri" w:hAnsi="Calibri"/>
        </w:rPr>
        <w:t xml:space="preserve"> (February 2014)</w:t>
      </w:r>
      <w:r w:rsidRPr="005F1E16">
        <w:rPr>
          <w:rFonts w:ascii="Calibri" w:hAnsi="Calibri"/>
        </w:rPr>
        <w:t xml:space="preserve"> </w:t>
      </w:r>
      <w:r>
        <w:rPr>
          <w:rFonts w:ascii="Calibri" w:hAnsi="Calibri"/>
        </w:rPr>
        <w:t>(</w:t>
      </w:r>
      <w:r w:rsidRPr="00836E89">
        <w:rPr>
          <w:rFonts w:ascii="Calibri" w:hAnsi="Calibri"/>
        </w:rPr>
        <w:t>Sha</w:t>
      </w:r>
      <w:r>
        <w:rPr>
          <w:rFonts w:ascii="Calibri" w:hAnsi="Calibri"/>
        </w:rPr>
        <w:t>dow Report) p. 22.</w:t>
      </w:r>
    </w:p>
  </w:footnote>
  <w:footnote w:id="243">
    <w:p w14:paraId="2D448D03" w14:textId="13030237" w:rsidR="00D75A79" w:rsidRPr="00836E89" w:rsidRDefault="00D75A79" w:rsidP="005C68CA">
      <w:pPr>
        <w:pStyle w:val="FootnoteText"/>
        <w:jc w:val="left"/>
        <w:rPr>
          <w:rFonts w:ascii="Calibri" w:hAnsi="Calibri"/>
        </w:rPr>
      </w:pPr>
      <w:r w:rsidRPr="00836E89">
        <w:rPr>
          <w:rStyle w:val="FootnoteReference"/>
          <w:rFonts w:ascii="Calibri" w:hAnsi="Calibri"/>
        </w:rPr>
        <w:footnoteRef/>
      </w:r>
      <w:r>
        <w:rPr>
          <w:rFonts w:ascii="Calibri" w:hAnsi="Calibri"/>
        </w:rPr>
        <w:t xml:space="preserve"> I</w:t>
      </w:r>
      <w:r w:rsidRPr="00836E89">
        <w:rPr>
          <w:rFonts w:ascii="Calibri" w:hAnsi="Calibri"/>
        </w:rPr>
        <w:t>bid</w:t>
      </w:r>
    </w:p>
  </w:footnote>
  <w:footnote w:id="244">
    <w:p w14:paraId="39E276DE" w14:textId="2FE9699A" w:rsidR="00D75A79" w:rsidRPr="00836E89" w:rsidRDefault="00D75A79" w:rsidP="005C68CA">
      <w:pPr>
        <w:pStyle w:val="FootnoteText"/>
        <w:jc w:val="left"/>
        <w:rPr>
          <w:rFonts w:ascii="Calibri" w:hAnsi="Calibri"/>
        </w:rPr>
      </w:pPr>
      <w:r w:rsidRPr="00836E89">
        <w:rPr>
          <w:rStyle w:val="FootnoteReference"/>
          <w:rFonts w:ascii="Calibri" w:hAnsi="Calibri"/>
        </w:rPr>
        <w:footnoteRef/>
      </w:r>
      <w:r>
        <w:rPr>
          <w:rFonts w:ascii="Calibri" w:hAnsi="Calibri"/>
        </w:rPr>
        <w:t xml:space="preserve"> I</w:t>
      </w:r>
      <w:r w:rsidRPr="00836E89">
        <w:rPr>
          <w:rFonts w:ascii="Calibri" w:hAnsi="Calibri"/>
        </w:rPr>
        <w:t xml:space="preserve">bid, </w:t>
      </w:r>
      <w:r>
        <w:rPr>
          <w:rFonts w:ascii="Calibri" w:hAnsi="Calibri"/>
        </w:rPr>
        <w:t xml:space="preserve">p. </w:t>
      </w:r>
      <w:r w:rsidRPr="00836E89">
        <w:rPr>
          <w:rFonts w:ascii="Calibri" w:hAnsi="Calibri"/>
        </w:rPr>
        <w:t>8</w:t>
      </w:r>
      <w:r>
        <w:rPr>
          <w:rFonts w:ascii="Calibri" w:hAnsi="Calibri"/>
        </w:rPr>
        <w:t>.</w:t>
      </w:r>
    </w:p>
  </w:footnote>
  <w:footnote w:id="245">
    <w:p w14:paraId="3FF70721" w14:textId="12121302" w:rsidR="00D75A79" w:rsidRPr="00836E89" w:rsidRDefault="00D75A79" w:rsidP="005C68CA">
      <w:pPr>
        <w:pStyle w:val="FootnoteText"/>
        <w:jc w:val="left"/>
        <w:rPr>
          <w:rFonts w:ascii="Calibri" w:hAnsi="Calibri"/>
        </w:rPr>
      </w:pPr>
      <w:r w:rsidRPr="00836E89">
        <w:rPr>
          <w:rStyle w:val="FootnoteReference"/>
          <w:rFonts w:ascii="Calibri" w:hAnsi="Calibri"/>
        </w:rPr>
        <w:footnoteRef/>
      </w:r>
      <w:r>
        <w:rPr>
          <w:rFonts w:ascii="Calibri" w:hAnsi="Calibri"/>
        </w:rPr>
        <w:t xml:space="preserve"> I</w:t>
      </w:r>
      <w:r w:rsidRPr="00836E89">
        <w:rPr>
          <w:rFonts w:ascii="Calibri" w:hAnsi="Calibri"/>
        </w:rPr>
        <w:t xml:space="preserve">bid, </w:t>
      </w:r>
      <w:r>
        <w:rPr>
          <w:rFonts w:ascii="Calibri" w:hAnsi="Calibri"/>
        </w:rPr>
        <w:t xml:space="preserve">pp. </w:t>
      </w:r>
      <w:r w:rsidRPr="00836E89">
        <w:rPr>
          <w:rFonts w:ascii="Calibri" w:hAnsi="Calibri"/>
        </w:rPr>
        <w:t>7-9</w:t>
      </w:r>
      <w:r>
        <w:rPr>
          <w:rFonts w:ascii="Calibri" w:hAnsi="Calibri"/>
        </w:rPr>
        <w:t>.</w:t>
      </w:r>
    </w:p>
  </w:footnote>
  <w:footnote w:id="246">
    <w:p w14:paraId="02D946B9" w14:textId="3CDED2AD" w:rsidR="00D75A79" w:rsidRPr="00836E89" w:rsidRDefault="00D75A79" w:rsidP="005C68CA">
      <w:pPr>
        <w:pStyle w:val="FootnoteText"/>
        <w:jc w:val="left"/>
        <w:rPr>
          <w:rFonts w:ascii="Calibri" w:hAnsi="Calibri"/>
        </w:rPr>
      </w:pPr>
      <w:r w:rsidRPr="00836E89">
        <w:rPr>
          <w:rStyle w:val="FootnoteReference"/>
          <w:rFonts w:ascii="Calibri" w:hAnsi="Calibri"/>
        </w:rPr>
        <w:footnoteRef/>
      </w:r>
      <w:r w:rsidRPr="00836E89">
        <w:rPr>
          <w:rFonts w:ascii="Calibri" w:hAnsi="Calibri"/>
        </w:rPr>
        <w:t xml:space="preserve"> O</w:t>
      </w:r>
      <w:r>
        <w:rPr>
          <w:rFonts w:ascii="Calibri" w:hAnsi="Calibri"/>
        </w:rPr>
        <w:t>ffice of the High Commissioner for Human Rights,</w:t>
      </w:r>
      <w:r w:rsidRPr="00836E89">
        <w:rPr>
          <w:rFonts w:ascii="Calibri" w:hAnsi="Calibri"/>
        </w:rPr>
        <w:t xml:space="preserve"> </w:t>
      </w:r>
      <w:r w:rsidRPr="00213F5E">
        <w:rPr>
          <w:rFonts w:ascii="Calibri" w:hAnsi="Calibri"/>
          <w:i/>
        </w:rPr>
        <w:t>Report on the human rights situation in Iraq in the light of abuses committed by the so-called Islamic State in Iraq and Levant and associated groups</w:t>
      </w:r>
      <w:r>
        <w:rPr>
          <w:rFonts w:ascii="Calibri" w:hAnsi="Calibri"/>
          <w:i/>
        </w:rPr>
        <w:t xml:space="preserve"> </w:t>
      </w:r>
      <w:r>
        <w:rPr>
          <w:rFonts w:ascii="Calibri" w:hAnsi="Calibri"/>
        </w:rPr>
        <w:t>(13 March 2015)</w:t>
      </w:r>
      <w:r w:rsidRPr="00836E89">
        <w:rPr>
          <w:rFonts w:ascii="Calibri" w:hAnsi="Calibri"/>
        </w:rPr>
        <w:t xml:space="preserve"> UN Doc A/HRC/28/18</w:t>
      </w:r>
      <w:r>
        <w:rPr>
          <w:rFonts w:ascii="Calibri" w:hAnsi="Calibri"/>
        </w:rPr>
        <w:t>.</w:t>
      </w:r>
    </w:p>
  </w:footnote>
  <w:footnote w:id="247">
    <w:p w14:paraId="647AD07E" w14:textId="2C2EFF74" w:rsidR="00D75A79" w:rsidRPr="00213F5E" w:rsidRDefault="00D75A79" w:rsidP="005C68CA">
      <w:pPr>
        <w:pStyle w:val="FootnoteText"/>
        <w:jc w:val="left"/>
        <w:rPr>
          <w:rFonts w:ascii="Calibri" w:hAnsi="Calibri"/>
          <w:color w:val="000000" w:themeColor="text1"/>
        </w:rPr>
      </w:pPr>
      <w:r w:rsidRPr="00836E89">
        <w:rPr>
          <w:rStyle w:val="FootnoteReference"/>
          <w:rFonts w:ascii="Calibri" w:hAnsi="Calibri"/>
        </w:rPr>
        <w:footnoteRef/>
      </w:r>
      <w:r w:rsidRPr="00836E89">
        <w:rPr>
          <w:rFonts w:ascii="Calibri" w:hAnsi="Calibri"/>
        </w:rPr>
        <w:t xml:space="preserve"> Human Rights Watch ‘No One is Safe: Abuse of Women in Iraq’s Criminal Justice System’ (6 February </w:t>
      </w:r>
      <w:r>
        <w:rPr>
          <w:rFonts w:ascii="Calibri" w:hAnsi="Calibri"/>
        </w:rPr>
        <w:t>2014</w:t>
      </w:r>
      <w:r w:rsidRPr="00836E89">
        <w:rPr>
          <w:rFonts w:ascii="Calibri" w:hAnsi="Calibri"/>
        </w:rPr>
        <w:t>)</w:t>
      </w:r>
      <w:r>
        <w:rPr>
          <w:rFonts w:ascii="Calibri" w:hAnsi="Calibri"/>
        </w:rPr>
        <w:t xml:space="preserve"> available from:</w:t>
      </w:r>
      <w:r w:rsidRPr="00836E89">
        <w:rPr>
          <w:rFonts w:ascii="Calibri" w:hAnsi="Calibri"/>
        </w:rPr>
        <w:t xml:space="preserve"> </w:t>
      </w:r>
      <w:hyperlink r:id="rId8" w:history="1">
        <w:r w:rsidRPr="00213F5E">
          <w:rPr>
            <w:rStyle w:val="Hyperlink"/>
            <w:rFonts w:ascii="Calibri" w:hAnsi="Calibri"/>
            <w:color w:val="000000" w:themeColor="text1"/>
            <w:u w:val="none"/>
          </w:rPr>
          <w:t>http://www.hrw.org/sites/default/files/reports/iraq0214webwcover.pdf</w:t>
        </w:r>
      </w:hyperlink>
      <w:r w:rsidRPr="00213F5E">
        <w:rPr>
          <w:rFonts w:ascii="Calibri" w:hAnsi="Calibri"/>
          <w:color w:val="000000" w:themeColor="text1"/>
        </w:rPr>
        <w:t xml:space="preserve">. </w:t>
      </w:r>
    </w:p>
  </w:footnote>
  <w:footnote w:id="248">
    <w:p w14:paraId="569D4ED6" w14:textId="220AD996" w:rsidR="00D75A79" w:rsidRPr="00836E89" w:rsidRDefault="00D75A79" w:rsidP="005C68CA">
      <w:pPr>
        <w:pStyle w:val="FootnoteText"/>
        <w:jc w:val="left"/>
        <w:rPr>
          <w:rFonts w:ascii="Calibri" w:hAnsi="Calibri"/>
        </w:rPr>
      </w:pPr>
      <w:r w:rsidRPr="00213F5E">
        <w:rPr>
          <w:rStyle w:val="FootnoteReference"/>
          <w:rFonts w:ascii="Calibri" w:hAnsi="Calibri"/>
          <w:color w:val="000000" w:themeColor="text1"/>
        </w:rPr>
        <w:footnoteRef/>
      </w:r>
      <w:r w:rsidRPr="00213F5E">
        <w:rPr>
          <w:rFonts w:ascii="Calibri" w:hAnsi="Calibri"/>
          <w:color w:val="000000" w:themeColor="text1"/>
        </w:rPr>
        <w:t xml:space="preserve"> Shadow Report, </w:t>
      </w:r>
      <w:r>
        <w:rPr>
          <w:rFonts w:ascii="Calibri" w:hAnsi="Calibri"/>
          <w:color w:val="000000" w:themeColor="text1"/>
        </w:rPr>
        <w:t xml:space="preserve">pp. </w:t>
      </w:r>
      <w:r w:rsidRPr="00213F5E">
        <w:rPr>
          <w:rFonts w:ascii="Calibri" w:hAnsi="Calibri"/>
          <w:color w:val="000000" w:themeColor="text1"/>
        </w:rPr>
        <w:t>7-8.</w:t>
      </w:r>
    </w:p>
  </w:footnote>
  <w:footnote w:id="249">
    <w:p w14:paraId="41AB1D5A" w14:textId="1C9276F3" w:rsidR="00D75A79" w:rsidRPr="002C24D1" w:rsidRDefault="00D75A79" w:rsidP="00D768DD">
      <w:pPr>
        <w:pStyle w:val="FootnoteText"/>
        <w:jc w:val="left"/>
        <w:rPr>
          <w:rFonts w:ascii="Calibri" w:hAnsi="Calibri"/>
        </w:rPr>
      </w:pPr>
      <w:r w:rsidRPr="002C24D1">
        <w:rPr>
          <w:rStyle w:val="FootnoteReference"/>
          <w:rFonts w:ascii="Calibri" w:hAnsi="Calibri"/>
        </w:rPr>
        <w:footnoteRef/>
      </w:r>
      <w:r w:rsidRPr="002C24D1">
        <w:rPr>
          <w:rFonts w:ascii="Calibri" w:hAnsi="Calibri"/>
        </w:rPr>
        <w:t xml:space="preserve"> Government of Iraq, </w:t>
      </w:r>
      <w:r w:rsidRPr="002C24D1">
        <w:rPr>
          <w:rFonts w:ascii="Calibri" w:hAnsi="Calibri"/>
          <w:i/>
        </w:rPr>
        <w:t xml:space="preserve">National Action Plan for Implementation of the United Nations Security Council Resolution 1325: Women, Peace and Security </w:t>
      </w:r>
      <w:r>
        <w:rPr>
          <w:rFonts w:ascii="Calibri" w:hAnsi="Calibri"/>
        </w:rPr>
        <w:t xml:space="preserve">(2014) </w:t>
      </w:r>
      <w:r w:rsidRPr="002C24D1">
        <w:rPr>
          <w:rFonts w:ascii="Calibri" w:hAnsi="Calibri"/>
        </w:rPr>
        <w:t xml:space="preserve"> available from: http://www.peacewomen.org/assets/image/iraq_nap.pdf, p. 10. </w:t>
      </w:r>
    </w:p>
  </w:footnote>
  <w:footnote w:id="250">
    <w:p w14:paraId="72298A94" w14:textId="3A6F2F13" w:rsidR="00D75A79" w:rsidRDefault="00D75A79">
      <w:pPr>
        <w:pStyle w:val="FootnoteText"/>
      </w:pPr>
      <w:r w:rsidRPr="002C24D1">
        <w:rPr>
          <w:rStyle w:val="FootnoteReference"/>
          <w:rFonts w:ascii="Calibri" w:hAnsi="Calibri"/>
        </w:rPr>
        <w:footnoteRef/>
      </w:r>
      <w:r>
        <w:t xml:space="preserve"> </w:t>
      </w:r>
      <w:r>
        <w:rPr>
          <w:rFonts w:ascii="Calibri" w:hAnsi="Calibri"/>
        </w:rPr>
        <w:t xml:space="preserve">UN in Iraq, ‘SC Resolution 1325 Open Day: SRSG Mladenov calls for implementation of the National Action Plan’, available from: </w:t>
      </w:r>
      <w:r w:rsidRPr="002C24D1">
        <w:rPr>
          <w:rFonts w:ascii="Calibri" w:hAnsi="Calibri"/>
        </w:rPr>
        <w:t>http://www.uniraq.org/index.php?option=com_k2&amp;view=item&amp;id=2739:sc-resolution-1325-open-day-srsg-mladenov-calls-for-implementation-of-the-national-action-plan&amp;Itemid=605&amp;lang=en</w:t>
      </w:r>
      <w:r>
        <w:rPr>
          <w:rFonts w:ascii="Calibri" w:hAnsi="Calibri"/>
        </w:rPr>
        <w:t>.</w:t>
      </w:r>
    </w:p>
  </w:footnote>
  <w:footnote w:id="251">
    <w:p w14:paraId="6BE64926" w14:textId="58B98B66" w:rsidR="00D75A79" w:rsidRPr="00836E89" w:rsidRDefault="00D75A79" w:rsidP="005C68CA">
      <w:pPr>
        <w:pStyle w:val="FootnoteText"/>
        <w:jc w:val="left"/>
        <w:rPr>
          <w:rFonts w:ascii="Calibri" w:hAnsi="Calibri"/>
        </w:rPr>
      </w:pPr>
      <w:r w:rsidRPr="00836E89">
        <w:rPr>
          <w:rStyle w:val="FootnoteReference"/>
          <w:rFonts w:ascii="Calibri" w:hAnsi="Calibri"/>
        </w:rPr>
        <w:footnoteRef/>
      </w:r>
      <w:r>
        <w:rPr>
          <w:rFonts w:ascii="Calibri" w:hAnsi="Calibri"/>
        </w:rPr>
        <w:t xml:space="preserve"> Euromed Feminist Initiative, ‘One Year of NAP 1325 in Iraq’, available from:</w:t>
      </w:r>
      <w:r w:rsidRPr="00836E89">
        <w:rPr>
          <w:rFonts w:ascii="Calibri" w:hAnsi="Calibri"/>
        </w:rPr>
        <w:t xml:space="preserve"> </w:t>
      </w:r>
      <w:hyperlink r:id="rId9" w:history="1">
        <w:r w:rsidRPr="00213F5E">
          <w:rPr>
            <w:rStyle w:val="Hyperlink"/>
            <w:rFonts w:ascii="Calibri" w:hAnsi="Calibri"/>
            <w:color w:val="000000" w:themeColor="text1"/>
            <w:u w:val="none"/>
          </w:rPr>
          <w:t>http://www.efi-ife.org/news/one-year-nap-1325-iraq</w:t>
        </w:r>
      </w:hyperlink>
      <w:r w:rsidRPr="00213F5E">
        <w:rPr>
          <w:rFonts w:ascii="Calibri" w:hAnsi="Calibri"/>
          <w:color w:val="000000" w:themeColor="text1"/>
        </w:rPr>
        <w:t>.</w:t>
      </w:r>
      <w:r>
        <w:rPr>
          <w:rFonts w:ascii="Calibri" w:hAnsi="Calibri"/>
        </w:rPr>
        <w:t xml:space="preserve"> </w:t>
      </w:r>
    </w:p>
  </w:footnote>
  <w:footnote w:id="252">
    <w:p w14:paraId="7C9115BC" w14:textId="21FE1A35" w:rsidR="00D75A79" w:rsidRPr="00836E89" w:rsidRDefault="00D75A79" w:rsidP="005C68CA">
      <w:pPr>
        <w:pStyle w:val="FootnoteText"/>
        <w:jc w:val="left"/>
        <w:rPr>
          <w:rFonts w:ascii="Calibri" w:hAnsi="Calibri"/>
          <w:i/>
        </w:rPr>
      </w:pPr>
      <w:r w:rsidRPr="00836E89">
        <w:rPr>
          <w:rStyle w:val="FootnoteReference"/>
          <w:rFonts w:ascii="Calibri" w:hAnsi="Calibri"/>
        </w:rPr>
        <w:footnoteRef/>
      </w:r>
      <w:r>
        <w:rPr>
          <w:rFonts w:ascii="Calibri" w:hAnsi="Calibri"/>
        </w:rPr>
        <w:t xml:space="preserve"> I</w:t>
      </w:r>
      <w:r w:rsidRPr="00836E89">
        <w:rPr>
          <w:rFonts w:ascii="Calibri" w:hAnsi="Calibri"/>
        </w:rPr>
        <w:t>bid</w:t>
      </w:r>
      <w:r>
        <w:rPr>
          <w:rFonts w:ascii="Calibri" w:hAnsi="Calibri"/>
        </w:rPr>
        <w:t>.</w:t>
      </w:r>
    </w:p>
  </w:footnote>
  <w:footnote w:id="253">
    <w:p w14:paraId="1DCCA825" w14:textId="61703F2F" w:rsidR="00D75A79" w:rsidRPr="00836E89" w:rsidRDefault="00D75A79" w:rsidP="00A33528">
      <w:pPr>
        <w:pStyle w:val="FootnoteText"/>
        <w:jc w:val="left"/>
        <w:rPr>
          <w:rFonts w:ascii="Calibri" w:hAnsi="Calibri"/>
          <w:b/>
        </w:rPr>
      </w:pPr>
      <w:r w:rsidRPr="00836E89">
        <w:rPr>
          <w:rStyle w:val="FootnoteReference"/>
          <w:rFonts w:ascii="Calibri" w:hAnsi="Calibri"/>
        </w:rPr>
        <w:footnoteRef/>
      </w:r>
      <w:r w:rsidRPr="00836E89">
        <w:rPr>
          <w:rFonts w:ascii="Calibri" w:hAnsi="Calibri"/>
        </w:rPr>
        <w:t xml:space="preserve"> Committee on the Elimination o</w:t>
      </w:r>
      <w:r>
        <w:rPr>
          <w:rFonts w:ascii="Calibri" w:hAnsi="Calibri"/>
        </w:rPr>
        <w:t xml:space="preserve">f Discrimination Against Women (CEDAW Committee) </w:t>
      </w:r>
      <w:r w:rsidRPr="00213F5E">
        <w:rPr>
          <w:rFonts w:ascii="Calibri" w:hAnsi="Calibri"/>
          <w:i/>
        </w:rPr>
        <w:t>C</w:t>
      </w:r>
      <w:r w:rsidRPr="00213F5E">
        <w:rPr>
          <w:rFonts w:ascii="Calibri" w:hAnsi="Calibri" w:cs="Arial"/>
          <w:i/>
        </w:rPr>
        <w:t>oncluding observations on the combined fourth to sixth periodic reports of Iraq</w:t>
      </w:r>
      <w:r>
        <w:rPr>
          <w:rFonts w:ascii="Calibri" w:hAnsi="Calibri" w:cs="Arial"/>
        </w:rPr>
        <w:t>,</w:t>
      </w:r>
      <w:r w:rsidRPr="00836E89">
        <w:rPr>
          <w:rFonts w:ascii="Calibri" w:hAnsi="Calibri" w:cs="Arial"/>
        </w:rPr>
        <w:t xml:space="preserve"> (10 March 2014) CEDAW/C/IRQ/CO/</w:t>
      </w:r>
      <w:r>
        <w:rPr>
          <w:rFonts w:ascii="Calibri" w:hAnsi="Calibri" w:cs="Arial"/>
        </w:rPr>
        <w:t xml:space="preserve"> pp. </w:t>
      </w:r>
      <w:r w:rsidRPr="00836E89">
        <w:rPr>
          <w:rFonts w:ascii="Calibri" w:hAnsi="Calibri" w:cs="Arial"/>
        </w:rPr>
        <w:t>4-6</w:t>
      </w:r>
      <w:r>
        <w:rPr>
          <w:rFonts w:ascii="Calibri" w:hAnsi="Calibri" w:cs="Arial"/>
        </w:rPr>
        <w:t>.</w:t>
      </w:r>
    </w:p>
  </w:footnote>
  <w:footnote w:id="254">
    <w:p w14:paraId="64FBD2E4" w14:textId="10427ADE" w:rsidR="00D75A79" w:rsidRPr="00836E89" w:rsidRDefault="00D75A79" w:rsidP="005C68CA">
      <w:pPr>
        <w:pStyle w:val="FootnoteText"/>
        <w:jc w:val="left"/>
        <w:rPr>
          <w:rFonts w:ascii="Calibri" w:hAnsi="Calibri"/>
        </w:rPr>
      </w:pPr>
      <w:r w:rsidRPr="00836E89">
        <w:rPr>
          <w:rStyle w:val="FootnoteReference"/>
          <w:rFonts w:ascii="Calibri" w:hAnsi="Calibri"/>
        </w:rPr>
        <w:footnoteRef/>
      </w:r>
      <w:r w:rsidRPr="00836E89">
        <w:rPr>
          <w:rFonts w:ascii="Calibri" w:hAnsi="Calibri"/>
        </w:rPr>
        <w:t xml:space="preserve"> Shadow Report, </w:t>
      </w:r>
      <w:r>
        <w:rPr>
          <w:rFonts w:ascii="Calibri" w:hAnsi="Calibri"/>
        </w:rPr>
        <w:t>p. 10.</w:t>
      </w:r>
    </w:p>
  </w:footnote>
  <w:footnote w:id="255">
    <w:p w14:paraId="5C910E5F" w14:textId="269BE942" w:rsidR="00D75A79" w:rsidRPr="007958B6" w:rsidRDefault="00D75A79" w:rsidP="005C68CA">
      <w:pPr>
        <w:pStyle w:val="FootnoteText"/>
        <w:jc w:val="left"/>
      </w:pPr>
      <w:r w:rsidRPr="00836E89">
        <w:rPr>
          <w:rStyle w:val="FootnoteReference"/>
          <w:rFonts w:ascii="Calibri" w:hAnsi="Calibri"/>
        </w:rPr>
        <w:footnoteRef/>
      </w:r>
      <w:r w:rsidRPr="00836E89">
        <w:rPr>
          <w:rFonts w:ascii="Calibri" w:hAnsi="Calibri"/>
        </w:rPr>
        <w:t xml:space="preserve"> Organizat</w:t>
      </w:r>
      <w:r>
        <w:rPr>
          <w:rFonts w:ascii="Calibri" w:hAnsi="Calibri"/>
        </w:rPr>
        <w:t>ion of Women’s Freedom in Iraq ‘Militants Sweep Towards Ba</w:t>
      </w:r>
      <w:r w:rsidRPr="00836E89">
        <w:rPr>
          <w:rFonts w:ascii="Calibri" w:hAnsi="Calibri"/>
        </w:rPr>
        <w:t>ghdad: Women’s Rights Groups Mobilize</w:t>
      </w:r>
      <w:r>
        <w:rPr>
          <w:rFonts w:ascii="Calibri" w:hAnsi="Calibri"/>
        </w:rPr>
        <w:t>’</w:t>
      </w:r>
      <w:r w:rsidRPr="00836E89">
        <w:rPr>
          <w:rFonts w:ascii="Calibri" w:hAnsi="Calibri"/>
        </w:rPr>
        <w:t xml:space="preserve"> (12 June 2015)</w:t>
      </w:r>
      <w:r>
        <w:rPr>
          <w:rFonts w:ascii="Calibri" w:hAnsi="Calibri"/>
        </w:rPr>
        <w:t xml:space="preserve"> available from: </w:t>
      </w:r>
      <w:r w:rsidRPr="00213F5E">
        <w:rPr>
          <w:rFonts w:ascii="Calibri" w:hAnsi="Calibri"/>
        </w:rPr>
        <w:t>www.owfi.info/EN/article/militants-sweep-towards-baghdad-womens-rights-groups-mobilize/</w:t>
      </w:r>
      <w:r>
        <w:t>.</w:t>
      </w:r>
    </w:p>
  </w:footnote>
  <w:footnote w:id="256">
    <w:p w14:paraId="7DE01921" w14:textId="042A7349" w:rsidR="00D75A79" w:rsidRPr="00BD3456" w:rsidRDefault="00D75A79">
      <w:pPr>
        <w:pStyle w:val="FootnoteText"/>
        <w:rPr>
          <w:rFonts w:ascii="Calibri" w:hAnsi="Calibri"/>
        </w:rPr>
      </w:pPr>
      <w:r w:rsidRPr="00BD3456">
        <w:rPr>
          <w:rStyle w:val="FootnoteReference"/>
          <w:rFonts w:ascii="Calibri" w:hAnsi="Calibri"/>
        </w:rPr>
        <w:footnoteRef/>
      </w:r>
      <w:r w:rsidRPr="00BD3456">
        <w:rPr>
          <w:rFonts w:ascii="Calibri" w:hAnsi="Calibri"/>
        </w:rPr>
        <w:t xml:space="preserve"> UN Security Council Resolution 1325 (30 O</w:t>
      </w:r>
      <w:r>
        <w:rPr>
          <w:rFonts w:ascii="Calibri" w:hAnsi="Calibri"/>
        </w:rPr>
        <w:t xml:space="preserve">ctober 2000) UN Doc S/RES/1325 (SCR 1325). </w:t>
      </w:r>
    </w:p>
  </w:footnote>
  <w:footnote w:id="257">
    <w:p w14:paraId="73DD7BE5" w14:textId="7B119C9D" w:rsidR="00D75A79" w:rsidRPr="00BD3456" w:rsidRDefault="00D75A79">
      <w:pPr>
        <w:pStyle w:val="FootnoteText"/>
        <w:rPr>
          <w:rFonts w:ascii="Calibri" w:hAnsi="Calibri"/>
        </w:rPr>
      </w:pPr>
      <w:r w:rsidRPr="00BD3456">
        <w:rPr>
          <w:rStyle w:val="FootnoteReference"/>
          <w:rFonts w:ascii="Calibri" w:hAnsi="Calibri"/>
        </w:rPr>
        <w:footnoteRef/>
      </w:r>
      <w:r w:rsidRPr="00BD3456">
        <w:rPr>
          <w:rFonts w:ascii="Calibri" w:hAnsi="Calibri"/>
        </w:rPr>
        <w:t xml:space="preserve"> </w:t>
      </w:r>
      <w:r w:rsidRPr="00BD3456">
        <w:rPr>
          <w:rFonts w:ascii="Calibri" w:hAnsi="Calibri" w:cs="Times New Roman"/>
        </w:rPr>
        <w:t>Convention on the Elimination of All Forms of Discrimination against Women (adopted on 18 December 1979, entered into force 3 September 1981) 1249 UNTS 13 (CEDAW); Committee on the Elimination of Discrimination against Women (CEDAW Committee) General Recommendation No. 30 on women in conflict prevention, conflict and post-conflict situations (adopted on 18 October 2013) CEDAW/C/GC/30 (CEDAW GR No. 30).</w:t>
      </w:r>
    </w:p>
  </w:footnote>
  <w:footnote w:id="258">
    <w:p w14:paraId="2C33151B" w14:textId="637826CB" w:rsidR="00D75A79" w:rsidRPr="0044651F" w:rsidRDefault="00D75A79" w:rsidP="0044651F">
      <w:pPr>
        <w:jc w:val="both"/>
        <w:rPr>
          <w:rFonts w:ascii="Calibri" w:hAnsi="Calibri" w:cs="Times New Roman"/>
          <w:sz w:val="20"/>
          <w:szCs w:val="20"/>
        </w:rPr>
      </w:pPr>
      <w:r w:rsidRPr="0044651F">
        <w:rPr>
          <w:rStyle w:val="FootnoteReference"/>
          <w:rFonts w:ascii="Calibri" w:hAnsi="Calibri"/>
          <w:sz w:val="20"/>
          <w:szCs w:val="20"/>
        </w:rPr>
        <w:footnoteRef/>
      </w:r>
      <w:r w:rsidRPr="0044651F">
        <w:rPr>
          <w:rFonts w:ascii="Calibri" w:hAnsi="Calibri"/>
          <w:sz w:val="20"/>
          <w:szCs w:val="20"/>
        </w:rPr>
        <w:t xml:space="preserve"> The following are not discussed but are acknowledged as relevant </w:t>
      </w:r>
      <w:r>
        <w:rPr>
          <w:rFonts w:ascii="Calibri" w:hAnsi="Calibri"/>
          <w:sz w:val="20"/>
          <w:szCs w:val="20"/>
        </w:rPr>
        <w:t xml:space="preserve">UN </w:t>
      </w:r>
      <w:r w:rsidRPr="0044651F">
        <w:rPr>
          <w:rFonts w:ascii="Calibri" w:hAnsi="Calibri"/>
          <w:sz w:val="20"/>
          <w:szCs w:val="20"/>
        </w:rPr>
        <w:t xml:space="preserve">monitoring and accountability processes that could assist with tracking states’ implementation of SCR 1325 and the legal framework on women, peace and security: </w:t>
      </w:r>
      <w:r>
        <w:rPr>
          <w:rFonts w:ascii="Calibri" w:hAnsi="Calibri"/>
          <w:sz w:val="20"/>
          <w:szCs w:val="20"/>
        </w:rPr>
        <w:t xml:space="preserve">reporting by the Security Council; </w:t>
      </w:r>
      <w:r w:rsidRPr="0044651F">
        <w:rPr>
          <w:rFonts w:ascii="Calibri" w:hAnsi="Calibri" w:cs="Times New Roman"/>
          <w:sz w:val="20"/>
          <w:szCs w:val="20"/>
        </w:rPr>
        <w:t xml:space="preserve">the </w:t>
      </w:r>
      <w:r>
        <w:rPr>
          <w:rFonts w:ascii="Calibri" w:hAnsi="Calibri" w:cs="Times New Roman"/>
          <w:sz w:val="20"/>
          <w:szCs w:val="20"/>
        </w:rPr>
        <w:t xml:space="preserve">reporting requirements and communications procedures of </w:t>
      </w:r>
      <w:r w:rsidRPr="0044651F">
        <w:rPr>
          <w:rFonts w:ascii="Calibri" w:hAnsi="Calibri" w:cs="Times New Roman"/>
          <w:sz w:val="20"/>
          <w:szCs w:val="20"/>
        </w:rPr>
        <w:t xml:space="preserve">committees of </w:t>
      </w:r>
      <w:r>
        <w:rPr>
          <w:rFonts w:ascii="Calibri" w:hAnsi="Calibri" w:cs="Times New Roman"/>
          <w:sz w:val="20"/>
          <w:szCs w:val="20"/>
        </w:rPr>
        <w:t xml:space="preserve">other UN human rights treaties; </w:t>
      </w:r>
      <w:r w:rsidRPr="007B54BE">
        <w:rPr>
          <w:rFonts w:ascii="Calibri" w:hAnsi="Calibri"/>
          <w:sz w:val="20"/>
          <w:szCs w:val="20"/>
        </w:rPr>
        <w:t xml:space="preserve">the UN System-Wide Action Plan (UN SWAP); </w:t>
      </w:r>
      <w:r>
        <w:rPr>
          <w:rFonts w:ascii="Calibri" w:hAnsi="Calibri"/>
          <w:sz w:val="20"/>
          <w:szCs w:val="20"/>
        </w:rPr>
        <w:t xml:space="preserve">the </w:t>
      </w:r>
      <w:r w:rsidRPr="007B54BE">
        <w:rPr>
          <w:rFonts w:ascii="Calibri" w:hAnsi="Calibri"/>
          <w:sz w:val="20"/>
          <w:szCs w:val="20"/>
        </w:rPr>
        <w:t>UN Action against Sexual Violence in Conflict (UN Action)</w:t>
      </w:r>
      <w:r>
        <w:rPr>
          <w:rFonts w:ascii="Calibri" w:hAnsi="Calibri"/>
          <w:sz w:val="20"/>
          <w:szCs w:val="20"/>
        </w:rPr>
        <w:t xml:space="preserve">; </w:t>
      </w:r>
      <w:r>
        <w:rPr>
          <w:rFonts w:ascii="Calibri" w:hAnsi="Calibri" w:cs="Times New Roman"/>
          <w:sz w:val="20"/>
          <w:szCs w:val="20"/>
        </w:rPr>
        <w:t>reporting by</w:t>
      </w:r>
      <w:r w:rsidRPr="0044651F">
        <w:rPr>
          <w:rFonts w:ascii="Calibri" w:hAnsi="Calibri" w:cs="Times New Roman"/>
          <w:sz w:val="20"/>
          <w:szCs w:val="20"/>
        </w:rPr>
        <w:t xml:space="preserve"> the Secretary-General relevant to WPS; </w:t>
      </w:r>
      <w:r>
        <w:rPr>
          <w:rFonts w:ascii="Calibri" w:hAnsi="Calibri" w:cs="Times New Roman"/>
          <w:sz w:val="20"/>
          <w:szCs w:val="20"/>
        </w:rPr>
        <w:t>reporting by</w:t>
      </w:r>
      <w:r w:rsidRPr="0044651F">
        <w:rPr>
          <w:rFonts w:ascii="Calibri" w:hAnsi="Calibri" w:cs="Times New Roman"/>
          <w:sz w:val="20"/>
          <w:szCs w:val="20"/>
        </w:rPr>
        <w:t xml:space="preserve"> the Special Representatives of the Secretary-General on Sexual Violence in Conflict and Children and Armed Conflict; and </w:t>
      </w:r>
      <w:r>
        <w:rPr>
          <w:rFonts w:ascii="Calibri" w:hAnsi="Calibri" w:cs="Times New Roman"/>
          <w:sz w:val="20"/>
          <w:szCs w:val="20"/>
        </w:rPr>
        <w:t>reporting</w:t>
      </w:r>
      <w:r w:rsidRPr="0044651F">
        <w:rPr>
          <w:rFonts w:ascii="Calibri" w:hAnsi="Calibri" w:cs="Times New Roman"/>
          <w:sz w:val="20"/>
          <w:szCs w:val="20"/>
        </w:rPr>
        <w:t xml:space="preserve"> by the special procedures of the Human Rights Council on thematic issues and territories relevant to WPS, including: the Special Rapporteurs on: Violence against Women, its causes and consequences; the human rights of internally displaced persons; truth, justice, reparation and guarantees of non-recurrence; and the Special Rapport</w:t>
      </w:r>
      <w:r w:rsidRPr="007B54BE">
        <w:rPr>
          <w:rFonts w:ascii="Calibri" w:hAnsi="Calibri" w:cs="Times New Roman"/>
          <w:sz w:val="20"/>
          <w:szCs w:val="20"/>
        </w:rPr>
        <w:t>eurs on: the situation of human rights in Somalia; the Sudan; the Syrian Arab Republic; and the Palestinian territories occupied since 1967.</w:t>
      </w:r>
      <w:r w:rsidRPr="007B54BE">
        <w:rPr>
          <w:rFonts w:ascii="Calibri" w:hAnsi="Calibri"/>
          <w:sz w:val="20"/>
          <w:szCs w:val="20"/>
        </w:rPr>
        <w:t xml:space="preserve"> </w:t>
      </w:r>
    </w:p>
  </w:footnote>
  <w:footnote w:id="259">
    <w:p w14:paraId="2EF97289" w14:textId="29404BE7" w:rsidR="00D75A79" w:rsidRDefault="00D75A79">
      <w:pPr>
        <w:pStyle w:val="FootnoteText"/>
      </w:pPr>
      <w:r w:rsidRPr="00BD3456">
        <w:rPr>
          <w:rStyle w:val="FootnoteReference"/>
          <w:rFonts w:ascii="Calibri" w:hAnsi="Calibri"/>
        </w:rPr>
        <w:footnoteRef/>
      </w:r>
      <w:r>
        <w:t xml:space="preserve"> </w:t>
      </w:r>
      <w:r>
        <w:rPr>
          <w:rFonts w:ascii="Calibri" w:hAnsi="Calibri"/>
        </w:rPr>
        <w:t>I/A Court H.R</w:t>
      </w:r>
      <w:r w:rsidRPr="00883EB4">
        <w:rPr>
          <w:rFonts w:ascii="Calibri" w:hAnsi="Calibri"/>
        </w:rPr>
        <w:t xml:space="preserve">, </w:t>
      </w:r>
      <w:r w:rsidRPr="00883EB4">
        <w:rPr>
          <w:rFonts w:ascii="Calibri" w:hAnsi="Calibri"/>
          <w:i/>
        </w:rPr>
        <w:t>Case of González et al. (“Cotton Field”) v. Mexico</w:t>
      </w:r>
      <w:r>
        <w:rPr>
          <w:rFonts w:ascii="Calibri" w:hAnsi="Calibri"/>
        </w:rPr>
        <w:t xml:space="preserve">, </w:t>
      </w:r>
      <w:r w:rsidRPr="00883EB4">
        <w:rPr>
          <w:rFonts w:ascii="Calibri" w:hAnsi="Calibri"/>
        </w:rPr>
        <w:t>Preliminary Objection</w:t>
      </w:r>
      <w:r>
        <w:rPr>
          <w:rFonts w:ascii="Calibri" w:hAnsi="Calibri"/>
        </w:rPr>
        <w:t xml:space="preserve">, Merits, Reparations and Costs, </w:t>
      </w:r>
      <w:r w:rsidRPr="00883EB4">
        <w:rPr>
          <w:rFonts w:ascii="Calibri" w:hAnsi="Calibri"/>
        </w:rPr>
        <w:t>Judgment of Novembe</w:t>
      </w:r>
      <w:r>
        <w:rPr>
          <w:rFonts w:ascii="Calibri" w:hAnsi="Calibri"/>
        </w:rPr>
        <w:t>r 16, 2009.</w:t>
      </w:r>
    </w:p>
  </w:footnote>
  <w:footnote w:id="260">
    <w:p w14:paraId="5205DF38" w14:textId="4C48EFEA" w:rsidR="00D75A79" w:rsidRPr="00E05DBB" w:rsidRDefault="00D75A79" w:rsidP="00ED0533">
      <w:pPr>
        <w:pStyle w:val="FootnoteText"/>
        <w:rPr>
          <w:rFonts w:ascii="Calibri" w:hAnsi="Calibri"/>
          <w:lang w:val="en-GB"/>
        </w:rPr>
      </w:pPr>
      <w:r w:rsidRPr="00DB6A68">
        <w:rPr>
          <w:rStyle w:val="FootnoteReference"/>
          <w:rFonts w:ascii="Calibri" w:hAnsi="Calibri"/>
          <w:lang w:val="en-GB"/>
        </w:rPr>
        <w:footnoteRef/>
      </w:r>
      <w:r>
        <w:rPr>
          <w:rFonts w:ascii="Calibri" w:hAnsi="Calibri"/>
          <w:lang w:val="en-GB"/>
        </w:rPr>
        <w:t xml:space="preserve"> Aisling Swaine, ‘</w:t>
      </w:r>
      <w:r w:rsidRPr="00DB6A68">
        <w:rPr>
          <w:rFonts w:ascii="Calibri" w:hAnsi="Calibri"/>
          <w:lang w:val="en-GB"/>
        </w:rPr>
        <w:t>Assessing the Potential of National Action Plans to Advance Implementation of United Nations Se</w:t>
      </w:r>
      <w:r>
        <w:rPr>
          <w:rFonts w:ascii="Calibri" w:hAnsi="Calibri"/>
          <w:lang w:val="en-GB"/>
        </w:rPr>
        <w:t>curity Council Resolution 1325’</w:t>
      </w:r>
      <w:r w:rsidRPr="00E05DBB">
        <w:rPr>
          <w:rFonts w:ascii="Calibri" w:hAnsi="Calibri"/>
          <w:lang w:val="en-GB"/>
        </w:rPr>
        <w:t xml:space="preserve">(2009) 12 </w:t>
      </w:r>
      <w:r w:rsidRPr="00004951">
        <w:rPr>
          <w:rFonts w:ascii="Calibri" w:hAnsi="Calibri"/>
          <w:i/>
          <w:lang w:val="en-GB"/>
        </w:rPr>
        <w:t>Yearbook of International Humanitarian Law</w:t>
      </w:r>
      <w:r w:rsidRPr="00E05DBB">
        <w:rPr>
          <w:rFonts w:ascii="Calibri" w:hAnsi="Calibri"/>
          <w:lang w:val="en-GB"/>
        </w:rPr>
        <w:t xml:space="preserve"> pp. 403-33, </w:t>
      </w:r>
      <w:r>
        <w:rPr>
          <w:rFonts w:ascii="Calibri" w:hAnsi="Calibri"/>
          <w:lang w:val="en-GB"/>
        </w:rPr>
        <w:t>(Swaine) p. 409.</w:t>
      </w:r>
    </w:p>
  </w:footnote>
  <w:footnote w:id="261">
    <w:p w14:paraId="46513CE9" w14:textId="3E997E8C" w:rsidR="00D75A79" w:rsidRPr="00E05DBB" w:rsidRDefault="00D75A79" w:rsidP="00ED0533">
      <w:pPr>
        <w:pStyle w:val="FootnoteText"/>
        <w:rPr>
          <w:rFonts w:ascii="Calibri" w:hAnsi="Calibri"/>
          <w:lang w:val="en-GB"/>
        </w:rPr>
      </w:pPr>
      <w:r w:rsidRPr="00E05DBB">
        <w:rPr>
          <w:rStyle w:val="FootnoteReference"/>
          <w:rFonts w:ascii="Calibri" w:hAnsi="Calibri"/>
          <w:lang w:val="en-GB"/>
        </w:rPr>
        <w:footnoteRef/>
      </w:r>
      <w:r w:rsidRPr="00E05DBB">
        <w:rPr>
          <w:rFonts w:ascii="Calibri" w:hAnsi="Calibri"/>
          <w:lang w:val="en-GB"/>
        </w:rPr>
        <w:t xml:space="preserve"> Ibid p. 416.</w:t>
      </w:r>
    </w:p>
  </w:footnote>
  <w:footnote w:id="262">
    <w:p w14:paraId="359AA11E" w14:textId="21989F32" w:rsidR="00D75A79" w:rsidRPr="00E05DBB" w:rsidRDefault="00D75A79" w:rsidP="00ED0533">
      <w:pPr>
        <w:pStyle w:val="FootnoteText"/>
        <w:rPr>
          <w:rFonts w:ascii="Calibri" w:hAnsi="Calibri"/>
          <w:lang w:val="en-GB"/>
        </w:rPr>
      </w:pPr>
      <w:r w:rsidRPr="00E05DBB">
        <w:rPr>
          <w:rStyle w:val="FootnoteReference"/>
          <w:rFonts w:ascii="Calibri" w:hAnsi="Calibri"/>
          <w:lang w:val="en-GB"/>
        </w:rPr>
        <w:footnoteRef/>
      </w:r>
      <w:r w:rsidRPr="00E05DBB">
        <w:rPr>
          <w:rFonts w:ascii="Calibri" w:hAnsi="Calibri"/>
          <w:lang w:val="en-GB"/>
        </w:rPr>
        <w:t xml:space="preserve"> Ibid p. 423.</w:t>
      </w:r>
    </w:p>
  </w:footnote>
  <w:footnote w:id="263">
    <w:p w14:paraId="1CB881D8" w14:textId="4F4E3676" w:rsidR="00D75A79" w:rsidRPr="00017FAB" w:rsidRDefault="00D75A79">
      <w:pPr>
        <w:pStyle w:val="FootnoteText"/>
        <w:rPr>
          <w:rFonts w:ascii="Calibri" w:hAnsi="Calibri"/>
        </w:rPr>
      </w:pPr>
      <w:r w:rsidRPr="00E05DBB">
        <w:rPr>
          <w:rStyle w:val="FootnoteReference"/>
          <w:rFonts w:ascii="Calibri" w:hAnsi="Calibri"/>
        </w:rPr>
        <w:footnoteRef/>
      </w:r>
      <w:r w:rsidRPr="00E05DBB">
        <w:rPr>
          <w:rFonts w:ascii="Calibri" w:hAnsi="Calibri"/>
        </w:rPr>
        <w:t xml:space="preserve"> </w:t>
      </w:r>
      <w:r w:rsidRPr="00E05DBB">
        <w:rPr>
          <w:rFonts w:ascii="Calibri" w:hAnsi="Calibri" w:cs="Times New Roman"/>
        </w:rPr>
        <w:t xml:space="preserve">The related UN Security Council Resolutions on women, peace and security are: </w:t>
      </w:r>
      <w:r w:rsidRPr="00E05DBB">
        <w:rPr>
          <w:rFonts w:ascii="Calibri" w:hAnsi="Calibri"/>
        </w:rPr>
        <w:t>UN Security Council Resolution 1820 (19 June 2008) UN Doc S/RES/1820 (SCR 1820); UN Security Council Resolution 1888 (30 September 2009) UN Doc S/RES/1888 (SCR 1888)</w:t>
      </w:r>
      <w:r w:rsidRPr="00E05DBB">
        <w:rPr>
          <w:rFonts w:ascii="Calibri" w:hAnsi="Calibri" w:cs="Times New Roman"/>
        </w:rPr>
        <w:t xml:space="preserve">; </w:t>
      </w:r>
      <w:r w:rsidRPr="00E05DBB">
        <w:rPr>
          <w:rFonts w:ascii="Calibri" w:hAnsi="Calibri"/>
        </w:rPr>
        <w:t>UN Security</w:t>
      </w:r>
      <w:r>
        <w:rPr>
          <w:rFonts w:ascii="Calibri" w:hAnsi="Calibri"/>
        </w:rPr>
        <w:t xml:space="preserve"> Council Resolution </w:t>
      </w:r>
      <w:r w:rsidRPr="009850ED">
        <w:rPr>
          <w:rFonts w:ascii="Calibri" w:hAnsi="Calibri" w:cs="Times New Roman"/>
        </w:rPr>
        <w:t>1889</w:t>
      </w:r>
      <w:r>
        <w:rPr>
          <w:rFonts w:ascii="Calibri" w:hAnsi="Calibri" w:cs="Times New Roman"/>
        </w:rPr>
        <w:t xml:space="preserve"> (5 October 2009) UN Doc S/RES/1889 (SCR 1889); UN Security Council Resolution </w:t>
      </w:r>
      <w:r w:rsidRPr="009850ED">
        <w:rPr>
          <w:rFonts w:ascii="Calibri" w:hAnsi="Calibri" w:cs="Times New Roman"/>
        </w:rPr>
        <w:t>1960</w:t>
      </w:r>
      <w:r>
        <w:rPr>
          <w:rFonts w:ascii="Calibri" w:hAnsi="Calibri" w:cs="Times New Roman"/>
        </w:rPr>
        <w:t xml:space="preserve"> (</w:t>
      </w:r>
      <w:r w:rsidRPr="00017FAB">
        <w:rPr>
          <w:rFonts w:ascii="Calibri" w:hAnsi="Calibri" w:cs="Times New Roman"/>
        </w:rPr>
        <w:t>16 December 2010) UN Doc S/RES/1960 (SCR 1960); UN Security Council Resolution 2106 (24 June 2013) UN Doc S/RES/2106 (SCR 2106); and UN Security Council Resolution 2122 (18 October 2013) UN Doc S/RES/2122 (SCR 2122).</w:t>
      </w:r>
    </w:p>
  </w:footnote>
  <w:footnote w:id="264">
    <w:p w14:paraId="0823DA03" w14:textId="7564FF0D" w:rsidR="00D75A79" w:rsidRPr="00017FAB" w:rsidRDefault="00D75A79" w:rsidP="00ED0533">
      <w:pPr>
        <w:pStyle w:val="FootnoteText"/>
        <w:rPr>
          <w:rFonts w:ascii="Calibri" w:hAnsi="Calibri"/>
          <w:lang w:val="en-GB"/>
        </w:rPr>
      </w:pPr>
      <w:r w:rsidRPr="00017FAB">
        <w:rPr>
          <w:rStyle w:val="FootnoteReference"/>
          <w:rFonts w:ascii="Calibri" w:hAnsi="Calibri"/>
          <w:lang w:val="en-GB"/>
        </w:rPr>
        <w:footnoteRef/>
      </w:r>
      <w:r w:rsidRPr="00017FAB">
        <w:rPr>
          <w:rFonts w:ascii="Calibri" w:hAnsi="Calibri"/>
          <w:lang w:val="en-GB"/>
        </w:rPr>
        <w:t xml:space="preserve"> Swaine, p. 424.</w:t>
      </w:r>
    </w:p>
  </w:footnote>
  <w:footnote w:id="265">
    <w:p w14:paraId="626F5DF5" w14:textId="77200EF0" w:rsidR="00D75A79" w:rsidRPr="00017FAB" w:rsidRDefault="00D75A79" w:rsidP="00ED0533">
      <w:pPr>
        <w:pStyle w:val="FootnoteText"/>
        <w:rPr>
          <w:rFonts w:ascii="Calibri" w:hAnsi="Calibri"/>
          <w:lang w:val="en-GB"/>
        </w:rPr>
      </w:pPr>
      <w:r w:rsidRPr="00017FAB">
        <w:rPr>
          <w:rStyle w:val="FootnoteReference"/>
          <w:rFonts w:ascii="Calibri" w:hAnsi="Calibri"/>
          <w:lang w:val="en-GB"/>
        </w:rPr>
        <w:footnoteRef/>
      </w:r>
      <w:r w:rsidRPr="00017FAB">
        <w:rPr>
          <w:rFonts w:ascii="Calibri" w:hAnsi="Calibri"/>
          <w:lang w:val="en-GB"/>
        </w:rPr>
        <w:t xml:space="preserve"> Ibid p. 409.</w:t>
      </w:r>
    </w:p>
  </w:footnote>
  <w:footnote w:id="266">
    <w:p w14:paraId="300CBD24" w14:textId="463E25B4" w:rsidR="00D75A79" w:rsidRPr="007B31DF" w:rsidRDefault="00D75A79" w:rsidP="00F03460">
      <w:pPr>
        <w:pStyle w:val="FootnoteText"/>
        <w:rPr>
          <w:rFonts w:ascii="Calibri" w:hAnsi="Calibri"/>
        </w:rPr>
      </w:pPr>
      <w:r w:rsidRPr="007B31DF">
        <w:rPr>
          <w:rStyle w:val="FootnoteReference"/>
          <w:rFonts w:ascii="Calibri" w:hAnsi="Calibri"/>
        </w:rPr>
        <w:footnoteRef/>
      </w:r>
      <w:r w:rsidRPr="007B31DF">
        <w:rPr>
          <w:rFonts w:ascii="Calibri" w:hAnsi="Calibri"/>
        </w:rPr>
        <w:t xml:space="preserve"> UN General Assembly,</w:t>
      </w:r>
      <w:r w:rsidRPr="007B31DF">
        <w:rPr>
          <w:rFonts w:ascii="Calibri" w:hAnsi="Calibri"/>
          <w:i/>
        </w:rPr>
        <w:t xml:space="preserve"> </w:t>
      </w:r>
      <w:r w:rsidRPr="007B31DF">
        <w:rPr>
          <w:rFonts w:ascii="Calibri" w:hAnsi="Calibri"/>
        </w:rPr>
        <w:t>Resolution 60/251</w:t>
      </w:r>
      <w:r w:rsidRPr="007B31DF">
        <w:rPr>
          <w:rFonts w:ascii="Calibri" w:hAnsi="Calibri"/>
          <w:i/>
        </w:rPr>
        <w:t xml:space="preserve"> </w:t>
      </w:r>
      <w:r w:rsidRPr="007B31DF">
        <w:rPr>
          <w:rFonts w:ascii="Calibri" w:hAnsi="Calibri"/>
        </w:rPr>
        <w:t>(15 March 2006) UN Doc A/60/251, p. 3.</w:t>
      </w:r>
    </w:p>
  </w:footnote>
  <w:footnote w:id="267">
    <w:p w14:paraId="711E4F7F" w14:textId="12D28928" w:rsidR="00D75A79" w:rsidRPr="007B31DF" w:rsidRDefault="00D75A79">
      <w:pPr>
        <w:pStyle w:val="FootnoteText"/>
        <w:rPr>
          <w:rFonts w:ascii="Calibri" w:hAnsi="Calibri"/>
        </w:rPr>
      </w:pPr>
      <w:r w:rsidRPr="007B31DF">
        <w:rPr>
          <w:rStyle w:val="FootnoteReference"/>
          <w:rFonts w:ascii="Calibri" w:hAnsi="Calibri"/>
        </w:rPr>
        <w:footnoteRef/>
      </w:r>
      <w:r w:rsidRPr="007B31DF">
        <w:rPr>
          <w:rFonts w:ascii="Calibri" w:hAnsi="Calibri"/>
        </w:rPr>
        <w:t xml:space="preserve"> See Hilary Charlesworth, Emma Larking (eds) </w:t>
      </w:r>
      <w:r w:rsidRPr="007B31DF">
        <w:rPr>
          <w:rFonts w:ascii="Calibri" w:hAnsi="Calibri"/>
          <w:i/>
        </w:rPr>
        <w:t>Human Rights and the Universal Periodic Review, Rituals and Ritualism</w:t>
      </w:r>
      <w:r w:rsidRPr="007B31DF">
        <w:rPr>
          <w:rFonts w:ascii="Calibri" w:hAnsi="Calibri"/>
        </w:rPr>
        <w:t xml:space="preserve"> (Cambri</w:t>
      </w:r>
      <w:r>
        <w:rPr>
          <w:rFonts w:ascii="Calibri" w:hAnsi="Calibri"/>
        </w:rPr>
        <w:t xml:space="preserve">dge University Press 2014) (Charlesworth and Larking) p. 3.  </w:t>
      </w:r>
    </w:p>
  </w:footnote>
  <w:footnote w:id="268">
    <w:p w14:paraId="2422C04D" w14:textId="20338632" w:rsidR="00D75A79" w:rsidRPr="00630096" w:rsidRDefault="00D75A79" w:rsidP="00017FAB">
      <w:pPr>
        <w:rPr>
          <w:rFonts w:ascii="Calibri" w:eastAsia="Times New Roman" w:hAnsi="Calibri" w:cs="Times New Roman"/>
          <w:sz w:val="20"/>
          <w:szCs w:val="20"/>
        </w:rPr>
      </w:pPr>
      <w:r w:rsidRPr="007B31DF">
        <w:rPr>
          <w:rStyle w:val="FootnoteReference"/>
          <w:rFonts w:ascii="Calibri" w:hAnsi="Calibri"/>
          <w:sz w:val="20"/>
          <w:szCs w:val="20"/>
        </w:rPr>
        <w:footnoteRef/>
      </w:r>
      <w:r w:rsidRPr="007B31DF">
        <w:rPr>
          <w:rFonts w:ascii="Calibri" w:hAnsi="Calibri"/>
          <w:sz w:val="20"/>
          <w:szCs w:val="20"/>
        </w:rPr>
        <w:t xml:space="preserve"> Navanathem Pillay, “Women’s Rights in Human Rights Systems: Past, Present and Future” (</w:t>
      </w:r>
      <w:r w:rsidRPr="007B31DF">
        <w:rPr>
          <w:rFonts w:ascii="Calibri" w:eastAsia="Times New Roman" w:hAnsi="Calibri" w:cs="Times New Roman"/>
          <w:sz w:val="20"/>
          <w:szCs w:val="20"/>
        </w:rPr>
        <w:t>Sixth Dullah Omar Memorial Lecture delivered at the University of the Western Cape on 1 July 2009)</w:t>
      </w:r>
      <w:r>
        <w:rPr>
          <w:rFonts w:ascii="Calibri" w:eastAsia="Times New Roman" w:hAnsi="Calibri" w:cs="Times New Roman"/>
          <w:sz w:val="20"/>
          <w:szCs w:val="20"/>
        </w:rPr>
        <w:t xml:space="preserve"> 13(2)</w:t>
      </w:r>
      <w:r w:rsidRPr="007B31DF">
        <w:rPr>
          <w:rFonts w:ascii="Calibri" w:eastAsia="Times New Roman" w:hAnsi="Calibri" w:cs="Times New Roman"/>
          <w:sz w:val="20"/>
          <w:szCs w:val="20"/>
        </w:rPr>
        <w:t xml:space="preserve"> </w:t>
      </w:r>
      <w:r w:rsidRPr="007B31DF">
        <w:rPr>
          <w:rFonts w:ascii="Calibri" w:eastAsia="Times New Roman" w:hAnsi="Calibri" w:cs="Times New Roman"/>
          <w:i/>
          <w:sz w:val="20"/>
          <w:szCs w:val="20"/>
        </w:rPr>
        <w:t>Law, Democracy and Development</w:t>
      </w:r>
      <w:r w:rsidRPr="00004951">
        <w:rPr>
          <w:rFonts w:ascii="Calibri" w:eastAsia="Times New Roman" w:hAnsi="Calibri" w:cs="Times New Roman"/>
          <w:sz w:val="20"/>
          <w:szCs w:val="20"/>
        </w:rPr>
        <w:t>,</w:t>
      </w:r>
      <w:r>
        <w:rPr>
          <w:rFonts w:ascii="Calibri" w:eastAsia="Times New Roman" w:hAnsi="Calibri" w:cs="Times New Roman"/>
          <w:i/>
          <w:sz w:val="20"/>
          <w:szCs w:val="20"/>
        </w:rPr>
        <w:t xml:space="preserve"> </w:t>
      </w:r>
      <w:r w:rsidRPr="007B31DF">
        <w:rPr>
          <w:rFonts w:ascii="Calibri" w:eastAsia="Times New Roman" w:hAnsi="Calibri" w:cs="Times New Roman"/>
          <w:sz w:val="20"/>
          <w:szCs w:val="20"/>
        </w:rPr>
        <w:t>pp. 3-46, p. 45.</w:t>
      </w:r>
      <w:r w:rsidRPr="00630096">
        <w:rPr>
          <w:rFonts w:ascii="Calibri" w:eastAsia="Times New Roman" w:hAnsi="Calibri" w:cs="Times New Roman"/>
          <w:sz w:val="20"/>
          <w:szCs w:val="20"/>
        </w:rPr>
        <w:t xml:space="preserve"> </w:t>
      </w:r>
    </w:p>
  </w:footnote>
  <w:footnote w:id="269">
    <w:p w14:paraId="52CBCA7F" w14:textId="3E803914" w:rsidR="00D75A79" w:rsidRPr="00630096" w:rsidRDefault="00D75A79" w:rsidP="00F03460">
      <w:pPr>
        <w:pStyle w:val="FootnoteText"/>
        <w:rPr>
          <w:rFonts w:ascii="Calibri" w:hAnsi="Calibri"/>
        </w:rPr>
      </w:pPr>
      <w:r w:rsidRPr="00630096">
        <w:rPr>
          <w:rStyle w:val="FootnoteReference"/>
          <w:rFonts w:ascii="Calibri" w:hAnsi="Calibri"/>
        </w:rPr>
        <w:footnoteRef/>
      </w:r>
      <w:r w:rsidRPr="00630096">
        <w:rPr>
          <w:rFonts w:ascii="Calibri" w:hAnsi="Calibri"/>
        </w:rPr>
        <w:t xml:space="preserve"> </w:t>
      </w:r>
      <w:r>
        <w:rPr>
          <w:rFonts w:ascii="Calibri" w:hAnsi="Calibri"/>
        </w:rPr>
        <w:t xml:space="preserve">Charlesworth and Larking, ibid. </w:t>
      </w:r>
    </w:p>
  </w:footnote>
  <w:footnote w:id="270">
    <w:p w14:paraId="1D4ED7F5" w14:textId="28569F41" w:rsidR="00D75A79" w:rsidRDefault="00D75A79">
      <w:pPr>
        <w:pStyle w:val="FootnoteText"/>
      </w:pPr>
      <w:r w:rsidRPr="00630096">
        <w:rPr>
          <w:rStyle w:val="FootnoteReference"/>
          <w:rFonts w:ascii="Calibri" w:hAnsi="Calibri"/>
        </w:rPr>
        <w:footnoteRef/>
      </w:r>
      <w:r>
        <w:t xml:space="preserve"> </w:t>
      </w:r>
      <w:r w:rsidRPr="00361A2D">
        <w:rPr>
          <w:rFonts w:ascii="Calibri" w:hAnsi="Calibri" w:cs="Times New Roman"/>
          <w:i/>
          <w:iCs/>
        </w:rPr>
        <w:t>Beijing Declaration and Platform of Action, adopted at the Fourth World Conference on Women</w:t>
      </w:r>
      <w:r w:rsidRPr="00361A2D">
        <w:rPr>
          <w:rFonts w:ascii="Calibri" w:hAnsi="Calibri" w:cs="Times New Roman"/>
        </w:rPr>
        <w:t>, 27 October 1995</w:t>
      </w:r>
      <w:r>
        <w:rPr>
          <w:rFonts w:ascii="Calibri" w:hAnsi="Calibri" w:cs="Times New Roman"/>
        </w:rPr>
        <w:t xml:space="preserve"> (BPfA).</w:t>
      </w:r>
    </w:p>
  </w:footnote>
  <w:footnote w:id="271">
    <w:p w14:paraId="27D5B288" w14:textId="6B004D2A" w:rsidR="00D75A79" w:rsidRPr="002B069A" w:rsidRDefault="00D75A79">
      <w:pPr>
        <w:pStyle w:val="FootnoteText"/>
        <w:rPr>
          <w:rFonts w:ascii="Calibri" w:hAnsi="Calibri"/>
        </w:rPr>
      </w:pPr>
      <w:r w:rsidRPr="002B069A">
        <w:rPr>
          <w:rStyle w:val="FootnoteReference"/>
          <w:rFonts w:ascii="Calibri" w:hAnsi="Calibri"/>
        </w:rPr>
        <w:footnoteRef/>
      </w:r>
      <w:r w:rsidRPr="002B069A">
        <w:rPr>
          <w:rFonts w:ascii="Calibri" w:hAnsi="Calibri"/>
        </w:rPr>
        <w:t xml:space="preserve"> </w:t>
      </w:r>
      <w:r>
        <w:rPr>
          <w:rFonts w:ascii="Calibri" w:hAnsi="Calibri"/>
        </w:rPr>
        <w:t xml:space="preserve">Niamh Reilly, ‘Seeking gender justice in post-conflict situations: towards a transformative women’s human rights approach’ (2007) 3 </w:t>
      </w:r>
      <w:r>
        <w:rPr>
          <w:rFonts w:ascii="Calibri" w:hAnsi="Calibri"/>
          <w:i/>
        </w:rPr>
        <w:t>International Journal of Law in Context,</w:t>
      </w:r>
      <w:r>
        <w:rPr>
          <w:rFonts w:ascii="Calibri" w:hAnsi="Calibri"/>
        </w:rPr>
        <w:t xml:space="preserve"> pp. 155-72, p. 168. </w:t>
      </w:r>
    </w:p>
  </w:footnote>
  <w:footnote w:id="272">
    <w:p w14:paraId="54D17708" w14:textId="77777777" w:rsidR="00D75A79" w:rsidRPr="00D459E3" w:rsidRDefault="00D75A79" w:rsidP="00D12FC3">
      <w:pPr>
        <w:pStyle w:val="FootnoteText"/>
        <w:rPr>
          <w:rFonts w:ascii="Calibri" w:hAnsi="Calibri"/>
        </w:rPr>
      </w:pPr>
      <w:r w:rsidRPr="00EE7BDB">
        <w:rPr>
          <w:rStyle w:val="FootnoteReference"/>
          <w:rFonts w:ascii="Calibri" w:hAnsi="Calibri"/>
        </w:rPr>
        <w:footnoteRef/>
      </w:r>
      <w:r w:rsidRPr="00EE7BDB">
        <w:rPr>
          <w:rFonts w:ascii="Calibri" w:hAnsi="Calibri"/>
        </w:rPr>
        <w:t xml:space="preserve"> </w:t>
      </w:r>
      <w:r>
        <w:rPr>
          <w:rFonts w:ascii="Calibri" w:hAnsi="Calibri"/>
        </w:rPr>
        <w:t xml:space="preserve">CEDAW </w:t>
      </w:r>
      <w:r w:rsidRPr="00D459E3">
        <w:rPr>
          <w:rFonts w:ascii="Calibri" w:hAnsi="Calibri"/>
        </w:rPr>
        <w:t xml:space="preserve">Committee, ‘General Recommendation No. 30 on women in conflict prevention, conflict and post-conflict situations‘ (18 October 2013) UN Doc CEDAW/C/GC/30. </w:t>
      </w:r>
    </w:p>
  </w:footnote>
  <w:footnote w:id="273">
    <w:p w14:paraId="02D052B0" w14:textId="77777777" w:rsidR="00D75A79" w:rsidRPr="00D459E3" w:rsidRDefault="00D75A79" w:rsidP="00D12FC3">
      <w:pPr>
        <w:pStyle w:val="FootnoteText"/>
        <w:rPr>
          <w:rFonts w:ascii="Calibri" w:hAnsi="Calibri"/>
        </w:rPr>
      </w:pPr>
      <w:r w:rsidRPr="00D459E3">
        <w:rPr>
          <w:rStyle w:val="FootnoteReference"/>
          <w:rFonts w:ascii="Calibri" w:hAnsi="Calibri"/>
        </w:rPr>
        <w:footnoteRef/>
      </w:r>
      <w:r w:rsidRPr="00D459E3">
        <w:rPr>
          <w:rFonts w:ascii="Calibri" w:hAnsi="Calibri"/>
        </w:rPr>
        <w:t xml:space="preserve"> CEDAW GR No. 30, para 83.</w:t>
      </w:r>
      <w:r>
        <w:rPr>
          <w:rFonts w:ascii="Calibri" w:hAnsi="Calibri"/>
        </w:rPr>
        <w:t xml:space="preserve"> Note that SCR 2122 was adopted on the same day as the CEDAW GR No. 30, and as such is not included in the list of SCRs on WPS.</w:t>
      </w:r>
    </w:p>
  </w:footnote>
  <w:footnote w:id="274">
    <w:p w14:paraId="6947EE7F" w14:textId="00126437" w:rsidR="00D75A79" w:rsidRPr="00B63151" w:rsidRDefault="00D75A79">
      <w:pPr>
        <w:pStyle w:val="FootnoteText"/>
        <w:rPr>
          <w:rFonts w:ascii="Calibri" w:hAnsi="Calibri"/>
        </w:rPr>
      </w:pPr>
      <w:r w:rsidRPr="002B069A">
        <w:rPr>
          <w:rStyle w:val="FootnoteReference"/>
          <w:rFonts w:ascii="Calibri" w:hAnsi="Calibri"/>
        </w:rPr>
        <w:footnoteRef/>
      </w:r>
      <w:r w:rsidRPr="002B069A">
        <w:rPr>
          <w:rFonts w:ascii="Calibri" w:hAnsi="Calibri"/>
        </w:rPr>
        <w:t xml:space="preserve"> Yoko Hayashi </w:t>
      </w:r>
      <w:r>
        <w:rPr>
          <w:rFonts w:ascii="Calibri" w:hAnsi="Calibri"/>
        </w:rPr>
        <w:t>(Chairperson, CEDAW Committee) ‘</w:t>
      </w:r>
      <w:r w:rsidRPr="002B069A">
        <w:rPr>
          <w:rFonts w:ascii="Calibri" w:hAnsi="Calibri"/>
        </w:rPr>
        <w:t>Open Letter to Ms. Radhika Coomaraswamy, Lead Author of the Global Study on the Implement</w:t>
      </w:r>
      <w:r>
        <w:rPr>
          <w:rFonts w:ascii="Calibri" w:hAnsi="Calibri"/>
        </w:rPr>
        <w:t>ation of Resolution 1325 (2000)’</w:t>
      </w:r>
      <w:r w:rsidRPr="002B069A">
        <w:rPr>
          <w:rFonts w:ascii="Calibri" w:hAnsi="Calibri"/>
        </w:rPr>
        <w:t xml:space="preserve"> (6 March 2015) available from: </w:t>
      </w:r>
      <w:r w:rsidRPr="00B63151">
        <w:rPr>
          <w:rFonts w:ascii="Calibri" w:hAnsi="Calibri"/>
        </w:rPr>
        <w:t>http://www.ohchr.org/Documents/HRBodies/CEDAW/OpenLetterGlobalStudy1325.pdf, p. 3.</w:t>
      </w:r>
    </w:p>
  </w:footnote>
  <w:footnote w:id="275">
    <w:p w14:paraId="526D4A46" w14:textId="771E33DD" w:rsidR="00D75A79" w:rsidRPr="00D459E3" w:rsidRDefault="00D75A79">
      <w:pPr>
        <w:pStyle w:val="FootnoteText"/>
        <w:rPr>
          <w:rFonts w:ascii="Calibri" w:hAnsi="Calibri"/>
        </w:rPr>
      </w:pPr>
      <w:r w:rsidRPr="00D459E3">
        <w:rPr>
          <w:rStyle w:val="FootnoteReference"/>
          <w:rFonts w:ascii="Calibri" w:hAnsi="Calibri"/>
        </w:rPr>
        <w:footnoteRef/>
      </w:r>
      <w:r w:rsidRPr="00D459E3">
        <w:rPr>
          <w:rFonts w:ascii="Calibri" w:hAnsi="Calibri"/>
        </w:rPr>
        <w:t xml:space="preserve"> CEDAW, Article 18. </w:t>
      </w:r>
    </w:p>
  </w:footnote>
  <w:footnote w:id="276">
    <w:p w14:paraId="7A77BCF4" w14:textId="1F3E6291" w:rsidR="00D75A79" w:rsidRPr="00D459E3" w:rsidRDefault="00D75A79">
      <w:pPr>
        <w:pStyle w:val="FootnoteText"/>
        <w:rPr>
          <w:rFonts w:ascii="Calibri" w:hAnsi="Calibri"/>
        </w:rPr>
      </w:pPr>
      <w:r w:rsidRPr="00D459E3">
        <w:rPr>
          <w:rStyle w:val="FootnoteReference"/>
          <w:rFonts w:ascii="Calibri" w:hAnsi="Calibri"/>
        </w:rPr>
        <w:footnoteRef/>
      </w:r>
      <w:r w:rsidRPr="00D459E3">
        <w:rPr>
          <w:rFonts w:ascii="Calibri" w:hAnsi="Calibri"/>
        </w:rPr>
        <w:t xml:space="preserve"> </w:t>
      </w:r>
      <w:r w:rsidRPr="00097368">
        <w:rPr>
          <w:rFonts w:ascii="Calibri" w:eastAsia="Times New Roman" w:hAnsi="Calibri" w:cs="Times New Roman"/>
        </w:rPr>
        <w:t xml:space="preserve">UN General Assembly, </w:t>
      </w:r>
      <w:r w:rsidRPr="00E2540E">
        <w:rPr>
          <w:rFonts w:ascii="Calibri" w:eastAsia="Times New Roman" w:hAnsi="Calibri" w:cs="Times New Roman"/>
          <w:iCs/>
        </w:rPr>
        <w:t>Optional Protocol to the Convention on the Elimination of All Forms of Discrimination Against Women (6 October 1999)</w:t>
      </w:r>
      <w:r w:rsidRPr="00CA2E0F">
        <w:rPr>
          <w:rFonts w:ascii="Calibri" w:eastAsia="Times New Roman" w:hAnsi="Calibri" w:cs="Times New Roman"/>
        </w:rPr>
        <w:t xml:space="preserve">, </w:t>
      </w:r>
      <w:r>
        <w:rPr>
          <w:rFonts w:ascii="Calibri" w:eastAsia="Times New Roman" w:hAnsi="Calibri" w:cs="Times New Roman"/>
        </w:rPr>
        <w:t xml:space="preserve">UN Doc </w:t>
      </w:r>
      <w:r w:rsidRPr="00CA2E0F">
        <w:rPr>
          <w:rFonts w:ascii="Calibri" w:hAnsi="Calibri"/>
        </w:rPr>
        <w:t>A/RES/54/4</w:t>
      </w:r>
      <w:r>
        <w:rPr>
          <w:rFonts w:ascii="Calibri" w:hAnsi="Calibri"/>
        </w:rPr>
        <w:t xml:space="preserve"> (Optional Protocol).</w:t>
      </w:r>
    </w:p>
  </w:footnote>
  <w:footnote w:id="277">
    <w:p w14:paraId="5D6EDC9B" w14:textId="2D9A181B" w:rsidR="00D75A79" w:rsidRPr="00B63151" w:rsidRDefault="00D75A79" w:rsidP="00787CA7">
      <w:pPr>
        <w:pStyle w:val="FootnoteText"/>
        <w:rPr>
          <w:rFonts w:ascii="Calibri" w:hAnsi="Calibri"/>
        </w:rPr>
      </w:pPr>
      <w:r w:rsidRPr="00D459E3">
        <w:rPr>
          <w:rStyle w:val="FootnoteReference"/>
          <w:rFonts w:ascii="Calibri" w:hAnsi="Calibri"/>
        </w:rPr>
        <w:footnoteRef/>
      </w:r>
      <w:r w:rsidRPr="00D459E3">
        <w:rPr>
          <w:rFonts w:ascii="Calibri" w:hAnsi="Calibri"/>
        </w:rPr>
        <w:t xml:space="preserve"> </w:t>
      </w:r>
      <w:r>
        <w:rPr>
          <w:rFonts w:ascii="Calibri" w:hAnsi="Calibri"/>
        </w:rPr>
        <w:t>Ineke Boerefijn, ‘Article 18’</w:t>
      </w:r>
      <w:r w:rsidRPr="00A97303">
        <w:rPr>
          <w:rFonts w:ascii="Calibri" w:hAnsi="Calibri"/>
        </w:rPr>
        <w:t xml:space="preserve">, </w:t>
      </w:r>
      <w:r>
        <w:rPr>
          <w:rFonts w:ascii="Calibri" w:hAnsi="Calibri"/>
        </w:rPr>
        <w:t xml:space="preserve">in </w:t>
      </w:r>
      <w:r w:rsidRPr="00A97303">
        <w:rPr>
          <w:rFonts w:ascii="Calibri" w:hAnsi="Calibri"/>
          <w:lang w:val="en-GB"/>
        </w:rPr>
        <w:t>Marsha A</w:t>
      </w:r>
      <w:r>
        <w:rPr>
          <w:rFonts w:ascii="Calibri" w:hAnsi="Calibri"/>
          <w:lang w:val="en-GB"/>
        </w:rPr>
        <w:t>.</w:t>
      </w:r>
      <w:r w:rsidRPr="00A97303">
        <w:rPr>
          <w:rFonts w:ascii="Calibri" w:hAnsi="Calibri"/>
          <w:lang w:val="en-GB"/>
        </w:rPr>
        <w:t xml:space="preserve"> Freeman, </w:t>
      </w:r>
      <w:r>
        <w:rPr>
          <w:rFonts w:ascii="Calibri" w:hAnsi="Calibri"/>
          <w:lang w:val="en-GB"/>
        </w:rPr>
        <w:t>Christine Chinkin, Beate Rudolf (eds)</w:t>
      </w:r>
      <w:r w:rsidRPr="00A97303">
        <w:rPr>
          <w:rFonts w:ascii="Calibri" w:hAnsi="Calibri"/>
          <w:lang w:val="en-GB"/>
        </w:rPr>
        <w:t xml:space="preserve"> </w:t>
      </w:r>
      <w:r w:rsidRPr="00A97303">
        <w:rPr>
          <w:rFonts w:ascii="Calibri" w:hAnsi="Calibri"/>
          <w:i/>
          <w:lang w:val="en-GB"/>
        </w:rPr>
        <w:t>The UN Convention on the Elimination of all Forms of D</w:t>
      </w:r>
      <w:r>
        <w:rPr>
          <w:rFonts w:ascii="Calibri" w:hAnsi="Calibri"/>
          <w:i/>
          <w:lang w:val="en-GB"/>
        </w:rPr>
        <w:t>iscrimination against Women: A C</w:t>
      </w:r>
      <w:r w:rsidRPr="00A97303">
        <w:rPr>
          <w:rFonts w:ascii="Calibri" w:hAnsi="Calibri"/>
          <w:i/>
          <w:lang w:val="en-GB"/>
        </w:rPr>
        <w:t xml:space="preserve">ommentary </w:t>
      </w:r>
      <w:r w:rsidRPr="00A97303">
        <w:rPr>
          <w:rFonts w:ascii="Calibri" w:hAnsi="Calibri"/>
          <w:lang w:val="en-GB"/>
        </w:rPr>
        <w:t>(</w:t>
      </w:r>
      <w:r>
        <w:rPr>
          <w:rFonts w:ascii="Calibri" w:hAnsi="Calibri"/>
        </w:rPr>
        <w:t xml:space="preserve">Oxford, </w:t>
      </w:r>
      <w:r w:rsidRPr="00A97303">
        <w:rPr>
          <w:rFonts w:ascii="Calibri" w:hAnsi="Calibri"/>
          <w:lang w:val="en-GB"/>
        </w:rPr>
        <w:t>Oxford University Press, 2012</w:t>
      </w:r>
      <w:r>
        <w:rPr>
          <w:rFonts w:ascii="Calibri" w:hAnsi="Calibri"/>
        </w:rPr>
        <w:t>) pp.489-508 (Boerefijn)</w:t>
      </w:r>
      <w:r w:rsidRPr="00A97303">
        <w:rPr>
          <w:rFonts w:ascii="Calibri" w:hAnsi="Calibri"/>
        </w:rPr>
        <w:t xml:space="preserve"> p. 4</w:t>
      </w:r>
      <w:r>
        <w:rPr>
          <w:rFonts w:ascii="Calibri" w:hAnsi="Calibri"/>
        </w:rPr>
        <w:t>91</w:t>
      </w:r>
      <w:r w:rsidRPr="00B63151">
        <w:rPr>
          <w:rFonts w:ascii="Calibri" w:hAnsi="Calibri"/>
        </w:rPr>
        <w:t>. For a list on the status of report submissions by country as of 2006: United Nations, ‘Report of the Committee on the Elimination of Discrimination against Women‘ 2006 A/61/38, Annex VI.</w:t>
      </w:r>
    </w:p>
  </w:footnote>
  <w:footnote w:id="278">
    <w:p w14:paraId="2F2C9D9B" w14:textId="78274907" w:rsidR="00D75A79" w:rsidRDefault="00D75A79" w:rsidP="00B63151">
      <w:pPr>
        <w:pStyle w:val="FootnoteText"/>
        <w:jc w:val="left"/>
      </w:pPr>
      <w:r w:rsidRPr="00B63151">
        <w:rPr>
          <w:rStyle w:val="FootnoteReference"/>
          <w:rFonts w:ascii="Calibri" w:hAnsi="Calibri"/>
        </w:rPr>
        <w:footnoteRef/>
      </w:r>
      <w:r>
        <w:t xml:space="preserve"> </w:t>
      </w:r>
      <w:r w:rsidRPr="00B63151">
        <w:rPr>
          <w:rFonts w:ascii="Calibri" w:hAnsi="Calibri"/>
        </w:rPr>
        <w:t xml:space="preserve">See </w:t>
      </w:r>
      <w:r>
        <w:rPr>
          <w:rFonts w:ascii="Calibri" w:hAnsi="Calibri"/>
        </w:rPr>
        <w:t xml:space="preserve">Office of the High Commissioner for Human Rights (OHCHR) </w:t>
      </w:r>
      <w:r w:rsidRPr="00B63151">
        <w:rPr>
          <w:rFonts w:ascii="Calibri" w:hAnsi="Calibri"/>
        </w:rPr>
        <w:t>“Sessions for CEDAW”, available from: http://tbinternet.ohchr.org/_layouts/TreatyBodyExternal/SessionsList.aspx?Treaty=CEDAW</w:t>
      </w:r>
    </w:p>
  </w:footnote>
  <w:footnote w:id="279">
    <w:p w14:paraId="03000A38" w14:textId="7CAFEF34" w:rsidR="00D75A79" w:rsidRPr="00A37317" w:rsidRDefault="00D75A79" w:rsidP="00C65D1A">
      <w:pPr>
        <w:pStyle w:val="FootnoteText"/>
        <w:rPr>
          <w:rFonts w:ascii="Calibri" w:hAnsi="Calibri"/>
        </w:rPr>
      </w:pPr>
      <w:r w:rsidRPr="002D04CE">
        <w:rPr>
          <w:rStyle w:val="FootnoteReference"/>
          <w:rFonts w:ascii="Calibri" w:hAnsi="Calibri"/>
        </w:rPr>
        <w:footnoteRef/>
      </w:r>
      <w:r w:rsidRPr="002D04CE">
        <w:rPr>
          <w:rFonts w:ascii="Calibri" w:hAnsi="Calibri"/>
        </w:rPr>
        <w:t xml:space="preserve"> </w:t>
      </w:r>
      <w:r w:rsidRPr="00A37317">
        <w:rPr>
          <w:rFonts w:ascii="Calibri" w:hAnsi="Calibri"/>
        </w:rPr>
        <w:t>See “Optional Protocol to CEDAW’, available from: https://opcedaw.wordpress.com/communications/all-communications/.</w:t>
      </w:r>
    </w:p>
  </w:footnote>
  <w:footnote w:id="280">
    <w:p w14:paraId="3394BA6C" w14:textId="2EEDB5C8" w:rsidR="00D75A79" w:rsidRPr="009C7F2E" w:rsidRDefault="00D75A79" w:rsidP="00A97303">
      <w:pPr>
        <w:rPr>
          <w:rFonts w:ascii="Calibri" w:eastAsia="Times New Roman" w:hAnsi="Calibri" w:cs="Times New Roman"/>
          <w:sz w:val="20"/>
          <w:szCs w:val="20"/>
        </w:rPr>
      </w:pPr>
      <w:r w:rsidRPr="009C7F2E">
        <w:rPr>
          <w:rStyle w:val="FootnoteReference"/>
          <w:rFonts w:ascii="Calibri" w:hAnsi="Calibri"/>
          <w:sz w:val="20"/>
          <w:szCs w:val="20"/>
        </w:rPr>
        <w:footnoteRef/>
      </w:r>
      <w:r w:rsidRPr="009C7F2E">
        <w:rPr>
          <w:rFonts w:ascii="Calibri" w:hAnsi="Calibri"/>
          <w:sz w:val="20"/>
          <w:szCs w:val="20"/>
        </w:rPr>
        <w:t xml:space="preserve"> Boerefijn, p. 491.</w:t>
      </w:r>
    </w:p>
  </w:footnote>
  <w:footnote w:id="281">
    <w:p w14:paraId="6BC07DED" w14:textId="77777777" w:rsidR="00D75A79" w:rsidRPr="009C7F2E" w:rsidRDefault="00D75A79" w:rsidP="00C65D1A">
      <w:pPr>
        <w:pStyle w:val="FootnoteText"/>
        <w:rPr>
          <w:rFonts w:ascii="Calibri" w:hAnsi="Calibri"/>
        </w:rPr>
      </w:pPr>
      <w:r w:rsidRPr="009C7F2E">
        <w:rPr>
          <w:rStyle w:val="FootnoteReference"/>
          <w:rFonts w:ascii="Calibri" w:hAnsi="Calibri"/>
        </w:rPr>
        <w:footnoteRef/>
      </w:r>
      <w:r w:rsidRPr="009C7F2E">
        <w:rPr>
          <w:rFonts w:ascii="Calibri" w:hAnsi="Calibri"/>
        </w:rPr>
        <w:t xml:space="preserve"> Ibid.</w:t>
      </w:r>
    </w:p>
  </w:footnote>
  <w:footnote w:id="282">
    <w:p w14:paraId="52ABE2E2" w14:textId="77777777" w:rsidR="00D75A79" w:rsidRPr="009C7F2E" w:rsidRDefault="00D75A79" w:rsidP="00C65D1A">
      <w:pPr>
        <w:pStyle w:val="FootnoteText"/>
        <w:rPr>
          <w:rFonts w:ascii="Calibri" w:hAnsi="Calibri"/>
        </w:rPr>
      </w:pPr>
      <w:r w:rsidRPr="009C7F2E">
        <w:rPr>
          <w:rStyle w:val="FootnoteReference"/>
          <w:rFonts w:ascii="Calibri" w:hAnsi="Calibri"/>
        </w:rPr>
        <w:footnoteRef/>
      </w:r>
      <w:r w:rsidRPr="009C7F2E">
        <w:rPr>
          <w:rFonts w:ascii="Calibri" w:hAnsi="Calibri"/>
        </w:rPr>
        <w:t xml:space="preserve"> Ibid.</w:t>
      </w:r>
    </w:p>
  </w:footnote>
  <w:footnote w:id="283">
    <w:p w14:paraId="272BE69F" w14:textId="77777777" w:rsidR="00D75A79" w:rsidRPr="009C7F2E" w:rsidRDefault="00D75A79" w:rsidP="00C65D1A">
      <w:pPr>
        <w:pStyle w:val="FootnoteText"/>
        <w:rPr>
          <w:rFonts w:ascii="Calibri" w:hAnsi="Calibri"/>
        </w:rPr>
      </w:pPr>
      <w:r w:rsidRPr="009C7F2E">
        <w:rPr>
          <w:rStyle w:val="FootnoteReference"/>
          <w:rFonts w:ascii="Calibri" w:hAnsi="Calibri"/>
        </w:rPr>
        <w:footnoteRef/>
      </w:r>
      <w:r w:rsidRPr="009C7F2E">
        <w:rPr>
          <w:rFonts w:ascii="Calibri" w:hAnsi="Calibri"/>
        </w:rPr>
        <w:t xml:space="preserve"> Ibid.</w:t>
      </w:r>
    </w:p>
  </w:footnote>
  <w:footnote w:id="284">
    <w:p w14:paraId="5A3B3887" w14:textId="1C0A100F" w:rsidR="00D75A79" w:rsidRPr="009C7F2E" w:rsidRDefault="00D75A79" w:rsidP="00C65D1A">
      <w:pPr>
        <w:pStyle w:val="FootnoteText"/>
        <w:rPr>
          <w:rFonts w:ascii="Calibri" w:hAnsi="Calibri"/>
        </w:rPr>
      </w:pPr>
      <w:r w:rsidRPr="009C7F2E">
        <w:rPr>
          <w:rStyle w:val="FootnoteReference"/>
          <w:rFonts w:ascii="Calibri" w:hAnsi="Calibri"/>
        </w:rPr>
        <w:footnoteRef/>
      </w:r>
      <w:r w:rsidRPr="009C7F2E">
        <w:rPr>
          <w:rFonts w:ascii="Calibri" w:hAnsi="Calibri"/>
        </w:rPr>
        <w:t xml:space="preserve"> Committee on the Elimination of Discrimination against Women, ‘General Recommendation No. 28 on the core obligations of States parties under article 2 of the Convention on the Elimination of All Forms of Discrimination against Women‘ (16 Dece</w:t>
      </w:r>
      <w:r>
        <w:rPr>
          <w:rFonts w:ascii="Calibri" w:hAnsi="Calibri"/>
        </w:rPr>
        <w:t xml:space="preserve">mber 2010) UN Doc CEDAW/C/GC/28 (CEDAW GR No. 28). </w:t>
      </w:r>
    </w:p>
  </w:footnote>
  <w:footnote w:id="285">
    <w:p w14:paraId="4F236AE7" w14:textId="77777777" w:rsidR="00D75A79" w:rsidRPr="009C7F2E" w:rsidRDefault="00D75A79" w:rsidP="009C7F2E">
      <w:pPr>
        <w:pStyle w:val="FootnoteText"/>
        <w:rPr>
          <w:rFonts w:ascii="Calibri" w:hAnsi="Calibri"/>
        </w:rPr>
      </w:pPr>
      <w:r w:rsidRPr="009C7F2E">
        <w:rPr>
          <w:rStyle w:val="FootnoteReference"/>
          <w:rFonts w:ascii="Calibri" w:hAnsi="Calibri"/>
        </w:rPr>
        <w:footnoteRef/>
      </w:r>
      <w:r w:rsidRPr="009C7F2E">
        <w:rPr>
          <w:rFonts w:ascii="Calibri" w:hAnsi="Calibri"/>
        </w:rPr>
        <w:t xml:space="preserve"> Ibid, 3.</w:t>
      </w:r>
    </w:p>
  </w:footnote>
  <w:footnote w:id="286">
    <w:p w14:paraId="39F61545" w14:textId="059D2DC3" w:rsidR="00D75A79" w:rsidRPr="009C7F2E" w:rsidRDefault="00D75A79" w:rsidP="00C65D1A">
      <w:pPr>
        <w:pStyle w:val="FootnoteText"/>
        <w:rPr>
          <w:rFonts w:ascii="Calibri" w:hAnsi="Calibri"/>
        </w:rPr>
      </w:pPr>
      <w:r w:rsidRPr="009C7F2E">
        <w:rPr>
          <w:rStyle w:val="FootnoteReference"/>
          <w:rFonts w:ascii="Calibri" w:hAnsi="Calibri"/>
        </w:rPr>
        <w:footnoteRef/>
      </w:r>
      <w:r>
        <w:rPr>
          <w:rFonts w:ascii="Calibri" w:hAnsi="Calibri"/>
        </w:rPr>
        <w:t xml:space="preserve"> Laboni Amena Hoq, ‘</w:t>
      </w:r>
      <w:r w:rsidRPr="009C7F2E">
        <w:rPr>
          <w:rFonts w:ascii="Calibri" w:hAnsi="Calibri"/>
        </w:rPr>
        <w:t>The Women’s Convention and its Optional Protocol: Empowering Women to Claim Their Internationa</w:t>
      </w:r>
      <w:r>
        <w:rPr>
          <w:rFonts w:ascii="Calibri" w:hAnsi="Calibri"/>
        </w:rPr>
        <w:t>lly Protected Rights’</w:t>
      </w:r>
      <w:r w:rsidRPr="009C7F2E">
        <w:rPr>
          <w:rFonts w:ascii="Calibri" w:hAnsi="Calibri"/>
        </w:rPr>
        <w:t xml:space="preserve"> (2001</w:t>
      </w:r>
      <w:r>
        <w:rPr>
          <w:rFonts w:ascii="Calibri" w:hAnsi="Calibri"/>
        </w:rPr>
        <w:t>)</w:t>
      </w:r>
      <w:r w:rsidRPr="009C7F2E">
        <w:rPr>
          <w:rFonts w:ascii="Calibri" w:hAnsi="Calibri"/>
        </w:rPr>
        <w:t xml:space="preserve"> 32 (3) </w:t>
      </w:r>
      <w:r w:rsidRPr="009C7F2E">
        <w:rPr>
          <w:rFonts w:ascii="Calibri" w:hAnsi="Calibri"/>
          <w:i/>
        </w:rPr>
        <w:t>Columbia Human Rights Law Review</w:t>
      </w:r>
      <w:r w:rsidRPr="009C7F2E">
        <w:rPr>
          <w:rFonts w:ascii="Calibri" w:hAnsi="Calibri"/>
        </w:rPr>
        <w:t xml:space="preserve"> p. 677-726, p.703.</w:t>
      </w:r>
    </w:p>
  </w:footnote>
  <w:footnote w:id="287">
    <w:p w14:paraId="309ADD4C" w14:textId="77777777" w:rsidR="00D75A79" w:rsidRPr="009C7F2E" w:rsidRDefault="00D75A79" w:rsidP="00C65D1A">
      <w:pPr>
        <w:pStyle w:val="FootnoteText"/>
        <w:rPr>
          <w:rFonts w:ascii="Calibri" w:hAnsi="Calibri"/>
        </w:rPr>
      </w:pPr>
      <w:r w:rsidRPr="009C7F2E">
        <w:rPr>
          <w:rStyle w:val="FootnoteReference"/>
          <w:rFonts w:ascii="Calibri" w:hAnsi="Calibri"/>
        </w:rPr>
        <w:footnoteRef/>
      </w:r>
      <w:r w:rsidRPr="009C7F2E">
        <w:rPr>
          <w:rFonts w:ascii="Calibri" w:hAnsi="Calibri"/>
        </w:rPr>
        <w:t xml:space="preserve"> Ibid 723.</w:t>
      </w:r>
    </w:p>
  </w:footnote>
  <w:footnote w:id="288">
    <w:p w14:paraId="5F274782" w14:textId="7C0DF20A" w:rsidR="00D75A79" w:rsidRPr="009C7F2E" w:rsidRDefault="00D75A79">
      <w:pPr>
        <w:pStyle w:val="FootnoteText"/>
        <w:rPr>
          <w:rFonts w:ascii="Calibri" w:hAnsi="Calibri"/>
        </w:rPr>
      </w:pPr>
      <w:r w:rsidRPr="009C7F2E">
        <w:rPr>
          <w:rStyle w:val="FootnoteReference"/>
          <w:rFonts w:ascii="Calibri" w:hAnsi="Calibri"/>
        </w:rPr>
        <w:footnoteRef/>
      </w:r>
      <w:r w:rsidRPr="009C7F2E">
        <w:rPr>
          <w:rFonts w:ascii="Calibri" w:hAnsi="Calibri"/>
        </w:rPr>
        <w:t xml:space="preserve"> Global N</w:t>
      </w:r>
      <w:r>
        <w:rPr>
          <w:rFonts w:ascii="Calibri" w:hAnsi="Calibri"/>
        </w:rPr>
        <w:t>etwork of Women Peacebuilders, ‘</w:t>
      </w:r>
      <w:r w:rsidRPr="009C7F2E">
        <w:rPr>
          <w:rFonts w:ascii="Calibri" w:hAnsi="Calibri"/>
        </w:rPr>
        <w:t>Training on CEDAW GR 30, December 15-16</w:t>
      </w:r>
      <w:r w:rsidRPr="009C7F2E">
        <w:rPr>
          <w:rFonts w:ascii="Calibri" w:hAnsi="Calibri"/>
          <w:vertAlign w:val="superscript"/>
        </w:rPr>
        <w:t>th</w:t>
      </w:r>
      <w:r>
        <w:rPr>
          <w:rFonts w:ascii="Calibri" w:hAnsi="Calibri"/>
        </w:rPr>
        <w:t>, Jakarta, Indonesia’</w:t>
      </w:r>
      <w:r w:rsidRPr="009C7F2E">
        <w:rPr>
          <w:rFonts w:ascii="Calibri" w:hAnsi="Calibri"/>
        </w:rPr>
        <w:t>, available from: http://www.gnwp.org/news/training-cedaw-gr-30-december-15th-16th-jakarta-indonesia (GNWP).</w:t>
      </w:r>
    </w:p>
  </w:footnote>
  <w:footnote w:id="289">
    <w:p w14:paraId="7C247F3D" w14:textId="67871BAB" w:rsidR="00D75A79" w:rsidRPr="009C7F2E" w:rsidRDefault="00D75A79">
      <w:pPr>
        <w:pStyle w:val="FootnoteText"/>
        <w:rPr>
          <w:rFonts w:ascii="Calibri" w:hAnsi="Calibri"/>
        </w:rPr>
      </w:pPr>
      <w:r w:rsidRPr="009C7F2E">
        <w:rPr>
          <w:rStyle w:val="FootnoteReference"/>
          <w:rFonts w:ascii="Calibri" w:hAnsi="Calibri"/>
        </w:rPr>
        <w:footnoteRef/>
      </w:r>
      <w:r w:rsidRPr="009C7F2E">
        <w:rPr>
          <w:rFonts w:ascii="Calibri" w:hAnsi="Calibri"/>
        </w:rPr>
        <w:t xml:space="preserve"> O’Reilly, ibid. </w:t>
      </w:r>
    </w:p>
  </w:footnote>
  <w:footnote w:id="290">
    <w:p w14:paraId="11EB1D3F" w14:textId="5E28227A" w:rsidR="00D75A79" w:rsidRDefault="00D75A79">
      <w:pPr>
        <w:pStyle w:val="FootnoteText"/>
      </w:pPr>
      <w:r w:rsidRPr="009C7F2E">
        <w:rPr>
          <w:rStyle w:val="FootnoteReference"/>
          <w:rFonts w:ascii="Calibri" w:hAnsi="Calibri"/>
        </w:rPr>
        <w:footnoteRef/>
      </w:r>
      <w:r w:rsidRPr="009C7F2E">
        <w:rPr>
          <w:rFonts w:ascii="Calibri" w:hAnsi="Calibri"/>
        </w:rPr>
        <w:t xml:space="preserve"> GNWP.</w:t>
      </w:r>
    </w:p>
  </w:footnote>
  <w:footnote w:id="291">
    <w:p w14:paraId="33807DE2" w14:textId="66A02AA1" w:rsidR="00D75A79" w:rsidRPr="00E054BC" w:rsidRDefault="00D75A79">
      <w:pPr>
        <w:pStyle w:val="FootnoteText"/>
        <w:rPr>
          <w:rFonts w:ascii="Calibri" w:hAnsi="Calibri"/>
        </w:rPr>
      </w:pPr>
      <w:r w:rsidRPr="00E054BC">
        <w:rPr>
          <w:rStyle w:val="FootnoteReference"/>
          <w:rFonts w:ascii="Calibri" w:hAnsi="Calibri"/>
        </w:rPr>
        <w:footnoteRef/>
      </w:r>
      <w:r w:rsidRPr="00E054BC">
        <w:rPr>
          <w:rFonts w:ascii="Calibri" w:hAnsi="Calibri"/>
        </w:rPr>
        <w:t xml:space="preserve"> </w:t>
      </w:r>
      <w:r w:rsidRPr="001B48B3">
        <w:rPr>
          <w:rFonts w:ascii="Calibri" w:hAnsi="Calibri"/>
        </w:rPr>
        <w:t>UN Security Council Resolution 1325 (30 O</w:t>
      </w:r>
      <w:r>
        <w:rPr>
          <w:rFonts w:ascii="Calibri" w:hAnsi="Calibri"/>
        </w:rPr>
        <w:t>ctober 2000) UN Doc S/RES/1325, preparatory paragraph 6 (PP 6) (SCR 1325).</w:t>
      </w:r>
    </w:p>
  </w:footnote>
  <w:footnote w:id="292">
    <w:p w14:paraId="48A7D9DC" w14:textId="618B87CC" w:rsidR="00D75A79" w:rsidRPr="002D04CE" w:rsidRDefault="00D75A79" w:rsidP="00E054BC">
      <w:pPr>
        <w:pStyle w:val="FootnoteText"/>
        <w:jc w:val="left"/>
        <w:rPr>
          <w:rFonts w:ascii="Calibri" w:hAnsi="Calibri"/>
        </w:rPr>
      </w:pPr>
      <w:r w:rsidRPr="00E054BC">
        <w:rPr>
          <w:rStyle w:val="FootnoteReference"/>
          <w:rFonts w:ascii="Calibri" w:hAnsi="Calibri"/>
        </w:rPr>
        <w:footnoteRef/>
      </w:r>
      <w:r w:rsidRPr="00E054BC">
        <w:rPr>
          <w:rFonts w:ascii="Calibri" w:hAnsi="Calibri"/>
        </w:rPr>
        <w:t xml:space="preserve"> Un</w:t>
      </w:r>
      <w:r>
        <w:rPr>
          <w:rFonts w:ascii="Calibri" w:hAnsi="Calibri"/>
        </w:rPr>
        <w:t>ited Nations General Assembly, ‘</w:t>
      </w:r>
      <w:r w:rsidRPr="00E054BC">
        <w:rPr>
          <w:rFonts w:ascii="Calibri" w:hAnsi="Calibri"/>
        </w:rPr>
        <w:t>Basic Principles and Guidelines on the Right to a Remedy and Reparation for Victims of Gross Violations of International Human Rights Law and Serious Violations of</w:t>
      </w:r>
      <w:r>
        <w:rPr>
          <w:rFonts w:ascii="Calibri" w:hAnsi="Calibri"/>
        </w:rPr>
        <w:t xml:space="preserve"> International Humanitarian Law’</w:t>
      </w:r>
      <w:r w:rsidRPr="00E054BC">
        <w:rPr>
          <w:rFonts w:ascii="Calibri" w:hAnsi="Calibri"/>
        </w:rPr>
        <w:t xml:space="preserve"> (adopted on 16 December 2005) A/RES/60/147.</w:t>
      </w:r>
      <w:r>
        <w:rPr>
          <w:rFonts w:ascii="Calibri" w:hAnsi="Calibri"/>
        </w:rPr>
        <w:t xml:space="preserve"> </w:t>
      </w:r>
    </w:p>
  </w:footnote>
  <w:footnote w:id="293">
    <w:p w14:paraId="6596DEA0" w14:textId="5C1FB348" w:rsidR="00D75A79" w:rsidRDefault="00D75A79">
      <w:pPr>
        <w:pStyle w:val="FootnoteText"/>
      </w:pPr>
      <w:r>
        <w:rPr>
          <w:rStyle w:val="FootnoteReference"/>
        </w:rPr>
        <w:footnoteRef/>
      </w:r>
      <w:r>
        <w:t xml:space="preserve"> </w:t>
      </w:r>
      <w:r w:rsidRPr="00E054BC">
        <w:rPr>
          <w:rFonts w:ascii="Calibri" w:hAnsi="Calibri"/>
        </w:rPr>
        <w:t xml:space="preserve">SCR 1325, </w:t>
      </w:r>
      <w:r>
        <w:rPr>
          <w:rFonts w:ascii="Calibri" w:hAnsi="Calibri"/>
        </w:rPr>
        <w:t>operative paragraph 8(a) (OP 8(a)).</w:t>
      </w:r>
    </w:p>
  </w:footnote>
  <w:footnote w:id="294">
    <w:p w14:paraId="79FABB36" w14:textId="5531B1A3" w:rsidR="00D75A79" w:rsidRDefault="00D75A79">
      <w:pPr>
        <w:pStyle w:val="FootnoteText"/>
      </w:pPr>
      <w:r>
        <w:rPr>
          <w:rStyle w:val="FootnoteReference"/>
        </w:rPr>
        <w:footnoteRef/>
      </w:r>
      <w:r>
        <w:t xml:space="preserve"> </w:t>
      </w:r>
      <w:r w:rsidRPr="00E054BC">
        <w:rPr>
          <w:rFonts w:ascii="Calibri" w:hAnsi="Calibri"/>
        </w:rPr>
        <w:t>SCR 1325,</w:t>
      </w:r>
      <w:r>
        <w:rPr>
          <w:rFonts w:ascii="Calibri" w:hAnsi="Calibri"/>
        </w:rPr>
        <w:t xml:space="preserve"> OP 9.</w:t>
      </w:r>
    </w:p>
  </w:footnote>
  <w:footnote w:id="295">
    <w:p w14:paraId="244458A1" w14:textId="0C155187" w:rsidR="00D75A79" w:rsidRPr="00E054BC" w:rsidRDefault="00D75A79">
      <w:pPr>
        <w:pStyle w:val="FootnoteText"/>
        <w:rPr>
          <w:rFonts w:ascii="Calibri" w:hAnsi="Calibri"/>
        </w:rPr>
      </w:pPr>
      <w:r w:rsidRPr="00E054BC">
        <w:rPr>
          <w:rStyle w:val="FootnoteReference"/>
          <w:rFonts w:ascii="Calibri" w:hAnsi="Calibri"/>
        </w:rPr>
        <w:footnoteRef/>
      </w:r>
      <w:r w:rsidRPr="00E054BC">
        <w:rPr>
          <w:rFonts w:ascii="Calibri" w:hAnsi="Calibri"/>
        </w:rPr>
        <w:t xml:space="preserve"> SCR 1325, OP 11. </w:t>
      </w:r>
    </w:p>
  </w:footnote>
  <w:footnote w:id="296">
    <w:p w14:paraId="4EAA3EBD" w14:textId="1E854C59" w:rsidR="00D75A79" w:rsidRPr="00E054BC" w:rsidRDefault="00D75A79" w:rsidP="006F35AD">
      <w:pPr>
        <w:pStyle w:val="FootnoteText"/>
        <w:rPr>
          <w:rFonts w:ascii="Calibri" w:hAnsi="Calibri"/>
        </w:rPr>
      </w:pPr>
      <w:r w:rsidRPr="00E054BC">
        <w:rPr>
          <w:rStyle w:val="FootnoteReference"/>
          <w:rFonts w:ascii="Calibri" w:hAnsi="Calibri"/>
        </w:rPr>
        <w:footnoteRef/>
      </w:r>
      <w:r w:rsidRPr="00E054BC">
        <w:rPr>
          <w:rFonts w:ascii="Calibri" w:hAnsi="Calibri"/>
        </w:rPr>
        <w:t xml:space="preserve"> UN Secretary-General, </w:t>
      </w:r>
      <w:r>
        <w:rPr>
          <w:rFonts w:ascii="Calibri" w:hAnsi="Calibri"/>
        </w:rPr>
        <w:t>‘</w:t>
      </w:r>
      <w:r w:rsidRPr="00E054BC">
        <w:rPr>
          <w:rFonts w:ascii="Calibri" w:hAnsi="Calibri"/>
        </w:rPr>
        <w:t>Guidance Note of the Secretary General: Reparations for C</w:t>
      </w:r>
      <w:r>
        <w:rPr>
          <w:rFonts w:ascii="Calibri" w:hAnsi="Calibri"/>
        </w:rPr>
        <w:t xml:space="preserve">onflict-Related Sexual Violence’, (June 2014) p. 8 (UNSG Guidance Note). </w:t>
      </w:r>
    </w:p>
  </w:footnote>
  <w:footnote w:id="297">
    <w:p w14:paraId="7435B472" w14:textId="5F430C82" w:rsidR="00D75A79" w:rsidRPr="00E054BC" w:rsidRDefault="00D75A79" w:rsidP="006F35AD">
      <w:pPr>
        <w:pStyle w:val="FootnoteText"/>
        <w:rPr>
          <w:rFonts w:ascii="Calibri" w:hAnsi="Calibri"/>
        </w:rPr>
      </w:pPr>
      <w:r w:rsidRPr="00E054BC">
        <w:rPr>
          <w:rStyle w:val="FootnoteReference"/>
          <w:rFonts w:ascii="Calibri" w:hAnsi="Calibri"/>
        </w:rPr>
        <w:footnoteRef/>
      </w:r>
      <w:r w:rsidRPr="00E054BC">
        <w:rPr>
          <w:rFonts w:ascii="Calibri" w:hAnsi="Calibri"/>
        </w:rPr>
        <w:t xml:space="preserve"> </w:t>
      </w:r>
      <w:r>
        <w:rPr>
          <w:rFonts w:ascii="Calibri" w:hAnsi="Calibri"/>
        </w:rPr>
        <w:t>UNSG Guidance Note, p.</w:t>
      </w:r>
      <w:r w:rsidRPr="00E054BC">
        <w:rPr>
          <w:rFonts w:ascii="Calibri" w:hAnsi="Calibri"/>
        </w:rPr>
        <w:t xml:space="preserve"> 11.</w:t>
      </w:r>
    </w:p>
  </w:footnote>
  <w:footnote w:id="298">
    <w:p w14:paraId="4B5866CF" w14:textId="77777777" w:rsidR="00D75A79" w:rsidRPr="00E054BC" w:rsidRDefault="00D75A79" w:rsidP="006F35AD">
      <w:pPr>
        <w:pStyle w:val="FootnoteText"/>
        <w:rPr>
          <w:rFonts w:ascii="Calibri" w:hAnsi="Calibri"/>
        </w:rPr>
      </w:pPr>
      <w:r w:rsidRPr="00E054BC">
        <w:rPr>
          <w:rStyle w:val="FootnoteReference"/>
          <w:rFonts w:ascii="Calibri" w:hAnsi="Calibri"/>
        </w:rPr>
        <w:footnoteRef/>
      </w:r>
      <w:r w:rsidRPr="00E054BC">
        <w:rPr>
          <w:rFonts w:ascii="Calibri" w:hAnsi="Calibri"/>
        </w:rPr>
        <w:t xml:space="preserve"> I/A Court H.R, </w:t>
      </w:r>
      <w:r w:rsidRPr="00E054BC">
        <w:rPr>
          <w:rFonts w:ascii="Calibri" w:hAnsi="Calibri"/>
          <w:i/>
        </w:rPr>
        <w:t>Case of González et al. (“Cotton Field”) v. Mexico</w:t>
      </w:r>
      <w:r w:rsidRPr="00E054BC">
        <w:rPr>
          <w:rFonts w:ascii="Calibri" w:hAnsi="Calibri"/>
        </w:rPr>
        <w:t>, Preliminary Objection, Merits, Reparations and Costs, Judgment of November 16, 2009. Series C No. 205 at [114]-[121].</w:t>
      </w:r>
    </w:p>
  </w:footnote>
  <w:footnote w:id="299">
    <w:p w14:paraId="196CF489" w14:textId="77777777" w:rsidR="00D75A79" w:rsidRPr="002D04CE" w:rsidRDefault="00D75A79" w:rsidP="006F35AD">
      <w:pPr>
        <w:pStyle w:val="FootnoteText"/>
        <w:rPr>
          <w:rFonts w:ascii="Calibri" w:hAnsi="Calibri"/>
        </w:rPr>
      </w:pPr>
      <w:r w:rsidRPr="00E054BC">
        <w:rPr>
          <w:rStyle w:val="FootnoteReference"/>
          <w:rFonts w:ascii="Calibri" w:hAnsi="Calibri"/>
        </w:rPr>
        <w:footnoteRef/>
      </w:r>
      <w:r w:rsidRPr="00E054BC">
        <w:rPr>
          <w:rFonts w:ascii="Calibri" w:hAnsi="Calibri"/>
        </w:rPr>
        <w:t xml:space="preserve"> Ibid at [450].</w:t>
      </w:r>
    </w:p>
  </w:footnote>
  <w:footnote w:id="300">
    <w:p w14:paraId="03EDDD60" w14:textId="13CAFB7E" w:rsidR="00D75A79" w:rsidRPr="00FC7B79" w:rsidRDefault="00D75A79" w:rsidP="006F35AD">
      <w:pPr>
        <w:pStyle w:val="FootnoteText"/>
        <w:rPr>
          <w:rFonts w:ascii="Calibri" w:hAnsi="Calibri"/>
        </w:rPr>
      </w:pPr>
      <w:r w:rsidRPr="002D04CE">
        <w:rPr>
          <w:rStyle w:val="FootnoteReference"/>
          <w:rFonts w:ascii="Calibri" w:hAnsi="Calibri"/>
        </w:rPr>
        <w:footnoteRef/>
      </w:r>
      <w:r w:rsidRPr="002D04CE">
        <w:rPr>
          <w:rFonts w:ascii="Calibri" w:hAnsi="Calibri"/>
        </w:rPr>
        <w:t xml:space="preserve"> </w:t>
      </w:r>
      <w:r w:rsidRPr="00F540D3">
        <w:rPr>
          <w:rFonts w:ascii="Calibri" w:hAnsi="Calibri"/>
        </w:rPr>
        <w:t>Katrin Tiroch</w:t>
      </w:r>
      <w:r>
        <w:rPr>
          <w:rFonts w:ascii="Calibri" w:hAnsi="Calibri"/>
          <w:color w:val="000000" w:themeColor="text1"/>
        </w:rPr>
        <w:t xml:space="preserve">, </w:t>
      </w:r>
      <w:r>
        <w:rPr>
          <w:rFonts w:ascii="Calibri" w:hAnsi="Calibri"/>
          <w:lang w:val="en-GB"/>
        </w:rPr>
        <w:t>‘</w:t>
      </w:r>
      <w:r w:rsidRPr="00FA49B0">
        <w:rPr>
          <w:rFonts w:ascii="Calibri" w:hAnsi="Calibri"/>
          <w:color w:val="000000" w:themeColor="text1"/>
        </w:rPr>
        <w:t>V</w:t>
      </w:r>
      <w:r w:rsidRPr="00FC7B79">
        <w:rPr>
          <w:rFonts w:ascii="Calibri" w:hAnsi="Calibri"/>
        </w:rPr>
        <w:t>iolence against Women by Private Actors: The Inter-American Court’s Judgment in the Case of</w:t>
      </w:r>
    </w:p>
    <w:p w14:paraId="575268CA" w14:textId="38E72F20" w:rsidR="00D75A79" w:rsidRPr="00FC7B79" w:rsidRDefault="00D75A79" w:rsidP="006F35AD">
      <w:pPr>
        <w:pStyle w:val="FootnoteText"/>
        <w:rPr>
          <w:rFonts w:ascii="Calibri" w:hAnsi="Calibri"/>
        </w:rPr>
      </w:pPr>
      <w:r w:rsidRPr="00FC7B79">
        <w:rPr>
          <w:rFonts w:ascii="Calibri" w:hAnsi="Calibri"/>
        </w:rPr>
        <w:t>Gonzalez et al. (“Cotton Field”) v. Mexico</w:t>
      </w:r>
      <w:r>
        <w:rPr>
          <w:rFonts w:ascii="Calibri" w:hAnsi="Calibri"/>
        </w:rPr>
        <w:t>’’</w:t>
      </w:r>
      <w:r w:rsidRPr="00E2540E">
        <w:rPr>
          <w:rFonts w:ascii="Calibri" w:hAnsi="Calibri"/>
        </w:rPr>
        <w:t>(2010)</w:t>
      </w:r>
      <w:r>
        <w:rPr>
          <w:rFonts w:ascii="Calibri" w:hAnsi="Calibri"/>
        </w:rPr>
        <w:t xml:space="preserve"> </w:t>
      </w:r>
      <w:r w:rsidRPr="00E2540E">
        <w:rPr>
          <w:rFonts w:ascii="Calibri" w:hAnsi="Calibri"/>
        </w:rPr>
        <w:t xml:space="preserve">14 </w:t>
      </w:r>
      <w:r w:rsidRPr="00004951">
        <w:rPr>
          <w:rFonts w:ascii="Calibri" w:hAnsi="Calibri"/>
          <w:i/>
        </w:rPr>
        <w:t>Max Planck Yearbook of United Nations Law</w:t>
      </w:r>
      <w:r w:rsidRPr="00FA49B0">
        <w:rPr>
          <w:rFonts w:ascii="Calibri" w:hAnsi="Calibri"/>
        </w:rPr>
        <w:t xml:space="preserve"> </w:t>
      </w:r>
      <w:r>
        <w:rPr>
          <w:rFonts w:ascii="Calibri" w:hAnsi="Calibri"/>
        </w:rPr>
        <w:t>pp.371-408, p.</w:t>
      </w:r>
      <w:r w:rsidRPr="00FA49B0">
        <w:rPr>
          <w:rFonts w:ascii="Calibri" w:hAnsi="Calibri"/>
        </w:rPr>
        <w:t xml:space="preserve"> 379</w:t>
      </w:r>
      <w:r>
        <w:rPr>
          <w:rFonts w:ascii="Calibri" w:hAnsi="Calibri"/>
        </w:rPr>
        <w:t>;</w:t>
      </w:r>
      <w:r w:rsidRPr="00F540D3">
        <w:rPr>
          <w:rFonts w:ascii="Calibri" w:hAnsi="Calibri"/>
        </w:rPr>
        <w:t xml:space="preserve"> </w:t>
      </w:r>
      <w:r>
        <w:rPr>
          <w:rFonts w:ascii="Calibri" w:hAnsi="Calibri"/>
        </w:rPr>
        <w:t xml:space="preserve">Ruth Rubio-Marin and Clara Sandoval, </w:t>
      </w:r>
      <w:r>
        <w:rPr>
          <w:rFonts w:ascii="Calibri" w:hAnsi="Calibri"/>
          <w:lang w:val="en-GB"/>
        </w:rPr>
        <w:t>‘</w:t>
      </w:r>
      <w:r>
        <w:rPr>
          <w:rFonts w:ascii="Calibri" w:hAnsi="Calibri"/>
        </w:rPr>
        <w:t xml:space="preserve">Engendering </w:t>
      </w:r>
      <w:r w:rsidRPr="00FC7B79">
        <w:rPr>
          <w:rFonts w:ascii="Calibri" w:hAnsi="Calibri"/>
        </w:rPr>
        <w:t>th</w:t>
      </w:r>
      <w:r>
        <w:rPr>
          <w:rFonts w:ascii="Calibri" w:hAnsi="Calibri"/>
        </w:rPr>
        <w:t xml:space="preserve">e </w:t>
      </w:r>
      <w:r w:rsidRPr="00FC7B79">
        <w:rPr>
          <w:rFonts w:ascii="Calibri" w:hAnsi="Calibri"/>
        </w:rPr>
        <w:t>Reparations</w:t>
      </w:r>
      <w:r>
        <w:rPr>
          <w:rFonts w:ascii="Calibri" w:hAnsi="Calibri"/>
        </w:rPr>
        <w:t xml:space="preserve"> </w:t>
      </w:r>
      <w:r w:rsidRPr="00FC7B79">
        <w:rPr>
          <w:rFonts w:ascii="Calibri" w:hAnsi="Calibri"/>
        </w:rPr>
        <w:t>Jurisprudence</w:t>
      </w:r>
      <w:r>
        <w:rPr>
          <w:rFonts w:ascii="Calibri" w:hAnsi="Calibri"/>
        </w:rPr>
        <w:t xml:space="preserve"> </w:t>
      </w:r>
      <w:r w:rsidRPr="00FC7B79">
        <w:rPr>
          <w:rFonts w:ascii="Calibri" w:hAnsi="Calibri"/>
        </w:rPr>
        <w:t>of</w:t>
      </w:r>
      <w:r>
        <w:rPr>
          <w:rFonts w:ascii="Calibri" w:hAnsi="Calibri"/>
        </w:rPr>
        <w:t xml:space="preserve"> </w:t>
      </w:r>
      <w:r w:rsidRPr="00FC7B79">
        <w:rPr>
          <w:rFonts w:ascii="Calibri" w:hAnsi="Calibri"/>
        </w:rPr>
        <w:t>the</w:t>
      </w:r>
      <w:r>
        <w:rPr>
          <w:rFonts w:ascii="Calibri" w:hAnsi="Calibri"/>
        </w:rPr>
        <w:t xml:space="preserve"> </w:t>
      </w:r>
      <w:r w:rsidRPr="00FC7B79">
        <w:rPr>
          <w:rFonts w:ascii="Calibri" w:hAnsi="Calibri"/>
        </w:rPr>
        <w:t>Inter-American</w:t>
      </w:r>
      <w:r>
        <w:rPr>
          <w:rFonts w:ascii="Calibri" w:hAnsi="Calibri"/>
        </w:rPr>
        <w:t xml:space="preserve"> </w:t>
      </w:r>
      <w:r w:rsidRPr="00FC7B79">
        <w:rPr>
          <w:rFonts w:ascii="Calibri" w:hAnsi="Calibri"/>
        </w:rPr>
        <w:t>Court</w:t>
      </w:r>
      <w:r>
        <w:rPr>
          <w:rFonts w:ascii="Calibri" w:hAnsi="Calibri"/>
        </w:rPr>
        <w:t xml:space="preserve"> </w:t>
      </w:r>
      <w:r w:rsidRPr="00FC7B79">
        <w:rPr>
          <w:rFonts w:ascii="Calibri" w:hAnsi="Calibri"/>
        </w:rPr>
        <w:t>of</w:t>
      </w:r>
      <w:r>
        <w:rPr>
          <w:rFonts w:ascii="Calibri" w:hAnsi="Calibri"/>
        </w:rPr>
        <w:t xml:space="preserve"> </w:t>
      </w:r>
      <w:r w:rsidRPr="00FC7B79">
        <w:rPr>
          <w:rFonts w:ascii="Calibri" w:hAnsi="Calibri"/>
        </w:rPr>
        <w:t>Human</w:t>
      </w:r>
      <w:r>
        <w:rPr>
          <w:rFonts w:ascii="Calibri" w:hAnsi="Calibri"/>
        </w:rPr>
        <w:t xml:space="preserve"> </w:t>
      </w:r>
      <w:r w:rsidRPr="00FC7B79">
        <w:rPr>
          <w:rFonts w:ascii="Calibri" w:hAnsi="Calibri"/>
        </w:rPr>
        <w:t>Rights:</w:t>
      </w:r>
      <w:r>
        <w:rPr>
          <w:rFonts w:ascii="Calibri" w:hAnsi="Calibri"/>
        </w:rPr>
        <w:t xml:space="preserve"> </w:t>
      </w:r>
      <w:r w:rsidRPr="00FC7B79">
        <w:rPr>
          <w:rFonts w:ascii="Calibri" w:hAnsi="Calibri"/>
        </w:rPr>
        <w:t>The</w:t>
      </w:r>
      <w:r>
        <w:rPr>
          <w:rFonts w:ascii="Calibri" w:hAnsi="Calibri"/>
        </w:rPr>
        <w:t xml:space="preserve"> </w:t>
      </w:r>
      <w:r w:rsidRPr="00FC7B79">
        <w:rPr>
          <w:rFonts w:ascii="Calibri" w:hAnsi="Calibri"/>
        </w:rPr>
        <w:t>Promise</w:t>
      </w:r>
      <w:r>
        <w:rPr>
          <w:rFonts w:ascii="Calibri" w:hAnsi="Calibri"/>
        </w:rPr>
        <w:t xml:space="preserve"> </w:t>
      </w:r>
      <w:r w:rsidRPr="00FC7B79">
        <w:rPr>
          <w:rFonts w:ascii="Calibri" w:hAnsi="Calibri"/>
        </w:rPr>
        <w:t>of</w:t>
      </w:r>
      <w:r>
        <w:rPr>
          <w:rFonts w:ascii="Calibri" w:hAnsi="Calibri"/>
        </w:rPr>
        <w:t xml:space="preserve"> </w:t>
      </w:r>
      <w:r w:rsidRPr="00FC7B79">
        <w:rPr>
          <w:rFonts w:ascii="Calibri" w:hAnsi="Calibri"/>
        </w:rPr>
        <w:t>the</w:t>
      </w:r>
      <w:r>
        <w:rPr>
          <w:rFonts w:ascii="Calibri" w:hAnsi="Calibri"/>
        </w:rPr>
        <w:t xml:space="preserve"> </w:t>
      </w:r>
      <w:r w:rsidRPr="00FC7B79">
        <w:rPr>
          <w:rFonts w:ascii="Calibri" w:hAnsi="Calibri"/>
        </w:rPr>
        <w:t>Cottonfield</w:t>
      </w:r>
      <w:r>
        <w:rPr>
          <w:rFonts w:ascii="Calibri" w:hAnsi="Calibri"/>
        </w:rPr>
        <w:t xml:space="preserve"> </w:t>
      </w:r>
      <w:r w:rsidRPr="00FC7B79">
        <w:rPr>
          <w:rFonts w:ascii="Calibri" w:hAnsi="Calibri"/>
        </w:rPr>
        <w:t>Judgme</w:t>
      </w:r>
      <w:r>
        <w:rPr>
          <w:rFonts w:ascii="Calibri" w:hAnsi="Calibri"/>
        </w:rPr>
        <w:t>nt</w:t>
      </w:r>
      <w:r>
        <w:rPr>
          <w:rFonts w:ascii="Calibri" w:hAnsi="Calibri"/>
          <w:i/>
        </w:rPr>
        <w:t xml:space="preserve">’ </w:t>
      </w:r>
      <w:r w:rsidRPr="00E2540E">
        <w:rPr>
          <w:rFonts w:ascii="Calibri" w:hAnsi="Calibri"/>
        </w:rPr>
        <w:t>(2011)</w:t>
      </w:r>
      <w:r>
        <w:rPr>
          <w:rFonts w:ascii="Calibri" w:hAnsi="Calibri"/>
        </w:rPr>
        <w:t xml:space="preserve"> 33 </w:t>
      </w:r>
      <w:r w:rsidRPr="00004951">
        <w:rPr>
          <w:rFonts w:ascii="Calibri" w:hAnsi="Calibri"/>
          <w:i/>
        </w:rPr>
        <w:t>Human Rights Quarterly</w:t>
      </w:r>
      <w:r>
        <w:rPr>
          <w:rFonts w:ascii="Calibri" w:hAnsi="Calibri"/>
        </w:rPr>
        <w:t xml:space="preserve">, pp. </w:t>
      </w:r>
      <w:r w:rsidRPr="00FC7B79">
        <w:rPr>
          <w:rFonts w:ascii="Calibri" w:hAnsi="Calibri"/>
        </w:rPr>
        <w:t>1062</w:t>
      </w:r>
      <w:r>
        <w:rPr>
          <w:rFonts w:ascii="Calibri" w:hAnsi="Calibri"/>
        </w:rPr>
        <w:t>-91, p.1063.</w:t>
      </w:r>
    </w:p>
  </w:footnote>
  <w:footnote w:id="301">
    <w:p w14:paraId="0F8B0113" w14:textId="7F26F430" w:rsidR="00D75A79" w:rsidRPr="00464F1A" w:rsidRDefault="00D75A79" w:rsidP="006F35AD">
      <w:pPr>
        <w:pStyle w:val="FootnoteText"/>
        <w:rPr>
          <w:rFonts w:ascii="Calibri" w:hAnsi="Calibri"/>
        </w:rPr>
      </w:pPr>
      <w:r w:rsidRPr="00464F1A">
        <w:rPr>
          <w:rStyle w:val="FootnoteReference"/>
          <w:rFonts w:ascii="Calibri" w:hAnsi="Calibri"/>
        </w:rPr>
        <w:footnoteRef/>
      </w:r>
      <w:r w:rsidRPr="00464F1A">
        <w:rPr>
          <w:rFonts w:ascii="Calibri" w:hAnsi="Calibri"/>
        </w:rPr>
        <w:t xml:space="preserve"> </w:t>
      </w:r>
      <w:r>
        <w:rPr>
          <w:rFonts w:ascii="Calibri" w:hAnsi="Calibri"/>
        </w:rPr>
        <w:t>UNSG Guidance Note, p.</w:t>
      </w:r>
      <w:r w:rsidRPr="00464F1A">
        <w:rPr>
          <w:rFonts w:ascii="Calibri" w:hAnsi="Calibri"/>
        </w:rPr>
        <w:t xml:space="preserve"> 9.</w:t>
      </w:r>
    </w:p>
  </w:footnote>
  <w:footnote w:id="302">
    <w:p w14:paraId="6CC6D9BB" w14:textId="546EF828" w:rsidR="00D75A79" w:rsidRPr="00542DB4" w:rsidRDefault="00D75A79" w:rsidP="007F364C">
      <w:pPr>
        <w:pStyle w:val="FootnoteText"/>
        <w:rPr>
          <w:lang w:val="en-IE"/>
        </w:rPr>
      </w:pPr>
      <w:r w:rsidRPr="00464F1A">
        <w:rPr>
          <w:rStyle w:val="FootnoteReference"/>
          <w:rFonts w:ascii="Calibri" w:hAnsi="Calibri"/>
        </w:rPr>
        <w:footnoteRef/>
      </w:r>
      <w:r w:rsidRPr="00464F1A">
        <w:rPr>
          <w:rFonts w:ascii="Calibri" w:hAnsi="Calibri"/>
        </w:rPr>
        <w:t xml:space="preserve"> </w:t>
      </w:r>
      <w:r>
        <w:rPr>
          <w:rFonts w:ascii="Calibri" w:hAnsi="Calibri"/>
        </w:rPr>
        <w:t xml:space="preserve">Rasida Manjoo, </w:t>
      </w:r>
      <w:r w:rsidRPr="007F364C">
        <w:rPr>
          <w:rFonts w:ascii="Calibri" w:hAnsi="Calibri"/>
          <w:i/>
        </w:rPr>
        <w:t>Report of the Special Rapporteur on violence against women, its causes and consequences</w:t>
      </w:r>
      <w:r w:rsidRPr="00464F1A">
        <w:rPr>
          <w:rFonts w:ascii="Calibri" w:hAnsi="Calibri"/>
        </w:rPr>
        <w:t xml:space="preserve">, </w:t>
      </w:r>
      <w:r>
        <w:rPr>
          <w:rFonts w:ascii="Calibri" w:hAnsi="Calibri"/>
        </w:rPr>
        <w:t xml:space="preserve">(14 May 2013) A/HRC/23/49, p. </w:t>
      </w:r>
      <w:r w:rsidRPr="00464F1A">
        <w:rPr>
          <w:rFonts w:ascii="Calibri" w:hAnsi="Calibri"/>
        </w:rPr>
        <w:t xml:space="preserve"> 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560"/>
    <w:multiLevelType w:val="hybridMultilevel"/>
    <w:tmpl w:val="6A8C0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531B23"/>
    <w:multiLevelType w:val="hybridMultilevel"/>
    <w:tmpl w:val="6548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67BD5"/>
    <w:multiLevelType w:val="hybridMultilevel"/>
    <w:tmpl w:val="F26A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315573"/>
    <w:multiLevelType w:val="hybridMultilevel"/>
    <w:tmpl w:val="04B4CB2E"/>
    <w:lvl w:ilvl="0" w:tplc="3C26CC6A">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62A33A5"/>
    <w:multiLevelType w:val="hybridMultilevel"/>
    <w:tmpl w:val="F94A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A30BB"/>
    <w:multiLevelType w:val="hybridMultilevel"/>
    <w:tmpl w:val="3CAC0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B84214"/>
    <w:multiLevelType w:val="hybridMultilevel"/>
    <w:tmpl w:val="51D250BC"/>
    <w:lvl w:ilvl="0" w:tplc="2D86BF4E">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0F956B64"/>
    <w:multiLevelType w:val="hybridMultilevel"/>
    <w:tmpl w:val="E04091BE"/>
    <w:lvl w:ilvl="0" w:tplc="F4282DB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14C20355"/>
    <w:multiLevelType w:val="hybridMultilevel"/>
    <w:tmpl w:val="6C6E2DC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9">
    <w:nsid w:val="16D05B94"/>
    <w:multiLevelType w:val="hybridMultilevel"/>
    <w:tmpl w:val="FA06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99F29BC"/>
    <w:multiLevelType w:val="hybridMultilevel"/>
    <w:tmpl w:val="B550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7808BB"/>
    <w:multiLevelType w:val="hybridMultilevel"/>
    <w:tmpl w:val="1A48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F613D8"/>
    <w:multiLevelType w:val="hybridMultilevel"/>
    <w:tmpl w:val="CF8C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9022F2"/>
    <w:multiLevelType w:val="hybridMultilevel"/>
    <w:tmpl w:val="BB9E4498"/>
    <w:lvl w:ilvl="0" w:tplc="0409000F">
      <w:start w:val="1"/>
      <w:numFmt w:val="decimal"/>
      <w:lvlText w:val="%1."/>
      <w:lvlJc w:val="left"/>
      <w:pPr>
        <w:ind w:left="720" w:hanging="360"/>
      </w:pPr>
    </w:lvl>
    <w:lvl w:ilvl="1" w:tplc="FD8ED6DC">
      <w:numFmt w:val="bullet"/>
      <w:lvlText w:val="-"/>
      <w:lvlJc w:val="left"/>
      <w:pPr>
        <w:ind w:left="1440" w:hanging="36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958E6"/>
    <w:multiLevelType w:val="hybridMultilevel"/>
    <w:tmpl w:val="74E0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03531F"/>
    <w:multiLevelType w:val="hybridMultilevel"/>
    <w:tmpl w:val="35E27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628647D"/>
    <w:multiLevelType w:val="hybridMultilevel"/>
    <w:tmpl w:val="EA008AFA"/>
    <w:lvl w:ilvl="0" w:tplc="EA986290">
      <w:start w:val="1"/>
      <w:numFmt w:val="upperRoman"/>
      <w:lvlText w:val="%1."/>
      <w:lvlJc w:val="left"/>
      <w:pPr>
        <w:ind w:left="1080" w:hanging="720"/>
      </w:pPr>
      <w:rPr>
        <w:rFonts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8CF1B92"/>
    <w:multiLevelType w:val="hybridMultilevel"/>
    <w:tmpl w:val="DE04E2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8">
    <w:nsid w:val="39215FCE"/>
    <w:multiLevelType w:val="hybridMultilevel"/>
    <w:tmpl w:val="66DC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2D3D91"/>
    <w:multiLevelType w:val="hybridMultilevel"/>
    <w:tmpl w:val="669244CC"/>
    <w:lvl w:ilvl="0" w:tplc="720225FA">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EF6243A"/>
    <w:multiLevelType w:val="hybridMultilevel"/>
    <w:tmpl w:val="AC2A4310"/>
    <w:lvl w:ilvl="0" w:tplc="4766975E">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17B4D39"/>
    <w:multiLevelType w:val="hybridMultilevel"/>
    <w:tmpl w:val="9222B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E444A4"/>
    <w:multiLevelType w:val="hybridMultilevel"/>
    <w:tmpl w:val="29A61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166F41"/>
    <w:multiLevelType w:val="hybridMultilevel"/>
    <w:tmpl w:val="B6E0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3E7817"/>
    <w:multiLevelType w:val="hybridMultilevel"/>
    <w:tmpl w:val="58042944"/>
    <w:lvl w:ilvl="0" w:tplc="48DEE3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A163FAF"/>
    <w:multiLevelType w:val="hybridMultilevel"/>
    <w:tmpl w:val="4FFA9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8E6AF5"/>
    <w:multiLevelType w:val="hybridMultilevel"/>
    <w:tmpl w:val="AA9A6688"/>
    <w:lvl w:ilvl="0" w:tplc="ED1CDAE8">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5A37C9A"/>
    <w:multiLevelType w:val="hybridMultilevel"/>
    <w:tmpl w:val="DD42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8F5A24"/>
    <w:multiLevelType w:val="hybridMultilevel"/>
    <w:tmpl w:val="DD7C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2B0044"/>
    <w:multiLevelType w:val="hybridMultilevel"/>
    <w:tmpl w:val="E2346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D3466B"/>
    <w:multiLevelType w:val="hybridMultilevel"/>
    <w:tmpl w:val="9434F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6867EA"/>
    <w:multiLevelType w:val="hybridMultilevel"/>
    <w:tmpl w:val="6FBCE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2F5828"/>
    <w:multiLevelType w:val="hybridMultilevel"/>
    <w:tmpl w:val="ABC42A0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2E7589C"/>
    <w:multiLevelType w:val="hybridMultilevel"/>
    <w:tmpl w:val="4F80404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4">
    <w:nsid w:val="746E7F10"/>
    <w:multiLevelType w:val="hybridMultilevel"/>
    <w:tmpl w:val="97D2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DD1A81"/>
    <w:multiLevelType w:val="hybridMultilevel"/>
    <w:tmpl w:val="ABC42A0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6376EC2"/>
    <w:multiLevelType w:val="hybridMultilevel"/>
    <w:tmpl w:val="59581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C5665A"/>
    <w:multiLevelType w:val="hybridMultilevel"/>
    <w:tmpl w:val="D29AF39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8">
    <w:nsid w:val="7DB01FD1"/>
    <w:multiLevelType w:val="hybridMultilevel"/>
    <w:tmpl w:val="748E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5B14EB"/>
    <w:multiLevelType w:val="hybridMultilevel"/>
    <w:tmpl w:val="4DAC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5"/>
  </w:num>
  <w:num w:numId="4">
    <w:abstractNumId w:val="1"/>
  </w:num>
  <w:num w:numId="5">
    <w:abstractNumId w:val="13"/>
  </w:num>
  <w:num w:numId="6">
    <w:abstractNumId w:val="8"/>
  </w:num>
  <w:num w:numId="7">
    <w:abstractNumId w:val="24"/>
  </w:num>
  <w:num w:numId="8">
    <w:abstractNumId w:val="33"/>
  </w:num>
  <w:num w:numId="9">
    <w:abstractNumId w:val="36"/>
  </w:num>
  <w:num w:numId="10">
    <w:abstractNumId w:val="3"/>
  </w:num>
  <w:num w:numId="11">
    <w:abstractNumId w:val="26"/>
  </w:num>
  <w:num w:numId="12">
    <w:abstractNumId w:val="16"/>
  </w:num>
  <w:num w:numId="13">
    <w:abstractNumId w:val="6"/>
  </w:num>
  <w:num w:numId="14">
    <w:abstractNumId w:val="20"/>
  </w:num>
  <w:num w:numId="15">
    <w:abstractNumId w:val="19"/>
  </w:num>
  <w:num w:numId="16">
    <w:abstractNumId w:val="35"/>
  </w:num>
  <w:num w:numId="17">
    <w:abstractNumId w:val="32"/>
  </w:num>
  <w:num w:numId="18">
    <w:abstractNumId w:val="15"/>
  </w:num>
  <w:num w:numId="19">
    <w:abstractNumId w:val="2"/>
  </w:num>
  <w:num w:numId="20">
    <w:abstractNumId w:val="4"/>
  </w:num>
  <w:num w:numId="21">
    <w:abstractNumId w:val="12"/>
  </w:num>
  <w:num w:numId="22">
    <w:abstractNumId w:val="28"/>
  </w:num>
  <w:num w:numId="23">
    <w:abstractNumId w:val="11"/>
  </w:num>
  <w:num w:numId="24">
    <w:abstractNumId w:val="18"/>
  </w:num>
  <w:num w:numId="25">
    <w:abstractNumId w:val="22"/>
  </w:num>
  <w:num w:numId="26">
    <w:abstractNumId w:val="37"/>
  </w:num>
  <w:num w:numId="27">
    <w:abstractNumId w:val="38"/>
  </w:num>
  <w:num w:numId="28">
    <w:abstractNumId w:val="27"/>
  </w:num>
  <w:num w:numId="29">
    <w:abstractNumId w:val="10"/>
  </w:num>
  <w:num w:numId="30">
    <w:abstractNumId w:val="14"/>
  </w:num>
  <w:num w:numId="31">
    <w:abstractNumId w:val="29"/>
  </w:num>
  <w:num w:numId="32">
    <w:abstractNumId w:val="34"/>
  </w:num>
  <w:num w:numId="33">
    <w:abstractNumId w:val="39"/>
  </w:num>
  <w:num w:numId="34">
    <w:abstractNumId w:val="0"/>
  </w:num>
  <w:num w:numId="35">
    <w:abstractNumId w:val="5"/>
  </w:num>
  <w:num w:numId="36">
    <w:abstractNumId w:val="21"/>
  </w:num>
  <w:num w:numId="37">
    <w:abstractNumId w:val="23"/>
  </w:num>
  <w:num w:numId="38">
    <w:abstractNumId w:val="30"/>
  </w:num>
  <w:num w:numId="39">
    <w:abstractNumId w:val="9"/>
  </w:num>
  <w:num w:numId="40">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BC"/>
    <w:rsid w:val="00004535"/>
    <w:rsid w:val="0000477C"/>
    <w:rsid w:val="00004951"/>
    <w:rsid w:val="0000718F"/>
    <w:rsid w:val="00010BAF"/>
    <w:rsid w:val="00016800"/>
    <w:rsid w:val="0001706B"/>
    <w:rsid w:val="00017110"/>
    <w:rsid w:val="00017FAB"/>
    <w:rsid w:val="00020F48"/>
    <w:rsid w:val="00021A53"/>
    <w:rsid w:val="00023DAC"/>
    <w:rsid w:val="0002602F"/>
    <w:rsid w:val="0003022A"/>
    <w:rsid w:val="00030718"/>
    <w:rsid w:val="0003228C"/>
    <w:rsid w:val="00033EC2"/>
    <w:rsid w:val="000340B4"/>
    <w:rsid w:val="00034169"/>
    <w:rsid w:val="00041345"/>
    <w:rsid w:val="000500CF"/>
    <w:rsid w:val="000561B7"/>
    <w:rsid w:val="00060DE0"/>
    <w:rsid w:val="000643AB"/>
    <w:rsid w:val="00067A86"/>
    <w:rsid w:val="00071BFC"/>
    <w:rsid w:val="00074910"/>
    <w:rsid w:val="00077EDB"/>
    <w:rsid w:val="00077F2E"/>
    <w:rsid w:val="000813FB"/>
    <w:rsid w:val="00082DB5"/>
    <w:rsid w:val="00083D64"/>
    <w:rsid w:val="000852AC"/>
    <w:rsid w:val="00087097"/>
    <w:rsid w:val="00091127"/>
    <w:rsid w:val="00097349"/>
    <w:rsid w:val="000976C3"/>
    <w:rsid w:val="000A0617"/>
    <w:rsid w:val="000A1EA1"/>
    <w:rsid w:val="000A2156"/>
    <w:rsid w:val="000A3B73"/>
    <w:rsid w:val="000A5153"/>
    <w:rsid w:val="000A59EF"/>
    <w:rsid w:val="000A7388"/>
    <w:rsid w:val="000B2E6D"/>
    <w:rsid w:val="000B516A"/>
    <w:rsid w:val="000B6204"/>
    <w:rsid w:val="000B6510"/>
    <w:rsid w:val="000C5A16"/>
    <w:rsid w:val="000D6256"/>
    <w:rsid w:val="000D6C7D"/>
    <w:rsid w:val="000E091F"/>
    <w:rsid w:val="000E1FCD"/>
    <w:rsid w:val="000E25B2"/>
    <w:rsid w:val="000E4B5D"/>
    <w:rsid w:val="000E6342"/>
    <w:rsid w:val="000E78A5"/>
    <w:rsid w:val="000F023A"/>
    <w:rsid w:val="000F100C"/>
    <w:rsid w:val="000F406A"/>
    <w:rsid w:val="000F530A"/>
    <w:rsid w:val="000F5A4E"/>
    <w:rsid w:val="000F6CD9"/>
    <w:rsid w:val="000F7431"/>
    <w:rsid w:val="00101133"/>
    <w:rsid w:val="001031A6"/>
    <w:rsid w:val="00105894"/>
    <w:rsid w:val="0011081A"/>
    <w:rsid w:val="001109DA"/>
    <w:rsid w:val="00112000"/>
    <w:rsid w:val="00115686"/>
    <w:rsid w:val="00115F49"/>
    <w:rsid w:val="00116007"/>
    <w:rsid w:val="00116BDF"/>
    <w:rsid w:val="00120146"/>
    <w:rsid w:val="001222F4"/>
    <w:rsid w:val="00123EE1"/>
    <w:rsid w:val="001246AC"/>
    <w:rsid w:val="001246ED"/>
    <w:rsid w:val="00126B2E"/>
    <w:rsid w:val="001369EE"/>
    <w:rsid w:val="00136AB0"/>
    <w:rsid w:val="00136FA0"/>
    <w:rsid w:val="00143162"/>
    <w:rsid w:val="00143470"/>
    <w:rsid w:val="00145704"/>
    <w:rsid w:val="00151500"/>
    <w:rsid w:val="001522DF"/>
    <w:rsid w:val="00154689"/>
    <w:rsid w:val="001611F0"/>
    <w:rsid w:val="00166E4C"/>
    <w:rsid w:val="00167157"/>
    <w:rsid w:val="001677EE"/>
    <w:rsid w:val="001751B5"/>
    <w:rsid w:val="00175D4C"/>
    <w:rsid w:val="00175F42"/>
    <w:rsid w:val="0017720C"/>
    <w:rsid w:val="0018099D"/>
    <w:rsid w:val="00184C76"/>
    <w:rsid w:val="00191504"/>
    <w:rsid w:val="00194BCA"/>
    <w:rsid w:val="001952B9"/>
    <w:rsid w:val="00195976"/>
    <w:rsid w:val="001A1021"/>
    <w:rsid w:val="001A1CC2"/>
    <w:rsid w:val="001A1E89"/>
    <w:rsid w:val="001A2527"/>
    <w:rsid w:val="001A643D"/>
    <w:rsid w:val="001A6D91"/>
    <w:rsid w:val="001B0742"/>
    <w:rsid w:val="001B48B3"/>
    <w:rsid w:val="001B4D62"/>
    <w:rsid w:val="001B69CA"/>
    <w:rsid w:val="001B6F53"/>
    <w:rsid w:val="001B752A"/>
    <w:rsid w:val="001D05E5"/>
    <w:rsid w:val="001D0F5F"/>
    <w:rsid w:val="001D3060"/>
    <w:rsid w:val="001D4198"/>
    <w:rsid w:val="001D4F71"/>
    <w:rsid w:val="001D6B5B"/>
    <w:rsid w:val="001D7D00"/>
    <w:rsid w:val="001E0A2A"/>
    <w:rsid w:val="001E1E14"/>
    <w:rsid w:val="001E6AEC"/>
    <w:rsid w:val="001E6F6C"/>
    <w:rsid w:val="001F02FE"/>
    <w:rsid w:val="001F4318"/>
    <w:rsid w:val="001F7D9B"/>
    <w:rsid w:val="001F7E33"/>
    <w:rsid w:val="0020207B"/>
    <w:rsid w:val="00204652"/>
    <w:rsid w:val="00206130"/>
    <w:rsid w:val="00207703"/>
    <w:rsid w:val="00211F9F"/>
    <w:rsid w:val="00213B17"/>
    <w:rsid w:val="00213F5E"/>
    <w:rsid w:val="00216755"/>
    <w:rsid w:val="002214C5"/>
    <w:rsid w:val="00221D3D"/>
    <w:rsid w:val="00222781"/>
    <w:rsid w:val="00225C4F"/>
    <w:rsid w:val="00226FED"/>
    <w:rsid w:val="00227497"/>
    <w:rsid w:val="00227B46"/>
    <w:rsid w:val="00227EE8"/>
    <w:rsid w:val="00231F15"/>
    <w:rsid w:val="00236026"/>
    <w:rsid w:val="00241F65"/>
    <w:rsid w:val="00241F68"/>
    <w:rsid w:val="00243BE2"/>
    <w:rsid w:val="00245277"/>
    <w:rsid w:val="00245F98"/>
    <w:rsid w:val="00246868"/>
    <w:rsid w:val="00247B0C"/>
    <w:rsid w:val="00247D34"/>
    <w:rsid w:val="00250AC6"/>
    <w:rsid w:val="0025212C"/>
    <w:rsid w:val="00254256"/>
    <w:rsid w:val="002565C4"/>
    <w:rsid w:val="002603B2"/>
    <w:rsid w:val="0026176D"/>
    <w:rsid w:val="00262E65"/>
    <w:rsid w:val="00263198"/>
    <w:rsid w:val="00265C8E"/>
    <w:rsid w:val="00267552"/>
    <w:rsid w:val="00267A22"/>
    <w:rsid w:val="00273F77"/>
    <w:rsid w:val="00276BE6"/>
    <w:rsid w:val="0027716C"/>
    <w:rsid w:val="00280629"/>
    <w:rsid w:val="002826E5"/>
    <w:rsid w:val="002827AD"/>
    <w:rsid w:val="0028281F"/>
    <w:rsid w:val="002837F4"/>
    <w:rsid w:val="00284032"/>
    <w:rsid w:val="00287D42"/>
    <w:rsid w:val="00287EFE"/>
    <w:rsid w:val="00291C53"/>
    <w:rsid w:val="00293648"/>
    <w:rsid w:val="002937FA"/>
    <w:rsid w:val="00294A21"/>
    <w:rsid w:val="002958D3"/>
    <w:rsid w:val="002A0039"/>
    <w:rsid w:val="002A1C0D"/>
    <w:rsid w:val="002A2761"/>
    <w:rsid w:val="002A4CAD"/>
    <w:rsid w:val="002B069A"/>
    <w:rsid w:val="002B3814"/>
    <w:rsid w:val="002B3CE1"/>
    <w:rsid w:val="002B6CFC"/>
    <w:rsid w:val="002B700B"/>
    <w:rsid w:val="002C24D1"/>
    <w:rsid w:val="002C30B7"/>
    <w:rsid w:val="002C5F5F"/>
    <w:rsid w:val="002C7E3C"/>
    <w:rsid w:val="002D0031"/>
    <w:rsid w:val="002D1918"/>
    <w:rsid w:val="002D2D72"/>
    <w:rsid w:val="002D38C7"/>
    <w:rsid w:val="002D4622"/>
    <w:rsid w:val="002D76F7"/>
    <w:rsid w:val="002E0E22"/>
    <w:rsid w:val="002E4178"/>
    <w:rsid w:val="002F1AA6"/>
    <w:rsid w:val="002F3FF9"/>
    <w:rsid w:val="002F44E4"/>
    <w:rsid w:val="002F55AB"/>
    <w:rsid w:val="002F5EDA"/>
    <w:rsid w:val="002F64B9"/>
    <w:rsid w:val="002F7691"/>
    <w:rsid w:val="00300A27"/>
    <w:rsid w:val="00300BB3"/>
    <w:rsid w:val="003023D2"/>
    <w:rsid w:val="0030348A"/>
    <w:rsid w:val="0030394A"/>
    <w:rsid w:val="00305C80"/>
    <w:rsid w:val="00306718"/>
    <w:rsid w:val="00310376"/>
    <w:rsid w:val="003110AA"/>
    <w:rsid w:val="0031188C"/>
    <w:rsid w:val="003228DE"/>
    <w:rsid w:val="00322930"/>
    <w:rsid w:val="00327141"/>
    <w:rsid w:val="00327D58"/>
    <w:rsid w:val="00330B5B"/>
    <w:rsid w:val="003323CB"/>
    <w:rsid w:val="00332D26"/>
    <w:rsid w:val="003330F3"/>
    <w:rsid w:val="003353C6"/>
    <w:rsid w:val="00340738"/>
    <w:rsid w:val="003454F2"/>
    <w:rsid w:val="00345832"/>
    <w:rsid w:val="00350E67"/>
    <w:rsid w:val="00353635"/>
    <w:rsid w:val="00353E20"/>
    <w:rsid w:val="00357CF7"/>
    <w:rsid w:val="0036081E"/>
    <w:rsid w:val="0036104B"/>
    <w:rsid w:val="0036443C"/>
    <w:rsid w:val="00367518"/>
    <w:rsid w:val="00370064"/>
    <w:rsid w:val="00370DC0"/>
    <w:rsid w:val="003720F4"/>
    <w:rsid w:val="0037328A"/>
    <w:rsid w:val="003741BB"/>
    <w:rsid w:val="003742A9"/>
    <w:rsid w:val="0037437B"/>
    <w:rsid w:val="00382197"/>
    <w:rsid w:val="00382343"/>
    <w:rsid w:val="00382383"/>
    <w:rsid w:val="003829A3"/>
    <w:rsid w:val="00382F80"/>
    <w:rsid w:val="003867EE"/>
    <w:rsid w:val="00387481"/>
    <w:rsid w:val="00390878"/>
    <w:rsid w:val="003925C2"/>
    <w:rsid w:val="00393698"/>
    <w:rsid w:val="00394E56"/>
    <w:rsid w:val="00396B07"/>
    <w:rsid w:val="003976F2"/>
    <w:rsid w:val="003A0FE3"/>
    <w:rsid w:val="003A2924"/>
    <w:rsid w:val="003A2DDE"/>
    <w:rsid w:val="003A629D"/>
    <w:rsid w:val="003B2327"/>
    <w:rsid w:val="003B2F09"/>
    <w:rsid w:val="003B318B"/>
    <w:rsid w:val="003B55B0"/>
    <w:rsid w:val="003B6091"/>
    <w:rsid w:val="003B622B"/>
    <w:rsid w:val="003B6A14"/>
    <w:rsid w:val="003C10BB"/>
    <w:rsid w:val="003C2297"/>
    <w:rsid w:val="003C38FC"/>
    <w:rsid w:val="003C40D4"/>
    <w:rsid w:val="003D792C"/>
    <w:rsid w:val="003F055E"/>
    <w:rsid w:val="003F0DFF"/>
    <w:rsid w:val="003F32C3"/>
    <w:rsid w:val="003F5D03"/>
    <w:rsid w:val="003F5EE4"/>
    <w:rsid w:val="003F6C59"/>
    <w:rsid w:val="003F6FD2"/>
    <w:rsid w:val="00406EB7"/>
    <w:rsid w:val="004074B8"/>
    <w:rsid w:val="004112D1"/>
    <w:rsid w:val="00413E63"/>
    <w:rsid w:val="00414161"/>
    <w:rsid w:val="00415DA2"/>
    <w:rsid w:val="00420370"/>
    <w:rsid w:val="00421C5E"/>
    <w:rsid w:val="004222CA"/>
    <w:rsid w:val="00423A81"/>
    <w:rsid w:val="004273D6"/>
    <w:rsid w:val="00427695"/>
    <w:rsid w:val="00433C50"/>
    <w:rsid w:val="00434026"/>
    <w:rsid w:val="004348F7"/>
    <w:rsid w:val="00434E8E"/>
    <w:rsid w:val="00435593"/>
    <w:rsid w:val="00437A38"/>
    <w:rsid w:val="004415F6"/>
    <w:rsid w:val="00445830"/>
    <w:rsid w:val="00445B87"/>
    <w:rsid w:val="0044651F"/>
    <w:rsid w:val="00446819"/>
    <w:rsid w:val="00451270"/>
    <w:rsid w:val="00452225"/>
    <w:rsid w:val="004538A0"/>
    <w:rsid w:val="00454137"/>
    <w:rsid w:val="00461362"/>
    <w:rsid w:val="004633B4"/>
    <w:rsid w:val="00464F1A"/>
    <w:rsid w:val="00466F23"/>
    <w:rsid w:val="004671D4"/>
    <w:rsid w:val="004672C3"/>
    <w:rsid w:val="00471761"/>
    <w:rsid w:val="004722B9"/>
    <w:rsid w:val="00472DA2"/>
    <w:rsid w:val="00473EE5"/>
    <w:rsid w:val="00483893"/>
    <w:rsid w:val="004839CF"/>
    <w:rsid w:val="00484813"/>
    <w:rsid w:val="004849D9"/>
    <w:rsid w:val="0048790D"/>
    <w:rsid w:val="00490269"/>
    <w:rsid w:val="004910C7"/>
    <w:rsid w:val="00493812"/>
    <w:rsid w:val="004953A8"/>
    <w:rsid w:val="004A2AE7"/>
    <w:rsid w:val="004A47CB"/>
    <w:rsid w:val="004A73A6"/>
    <w:rsid w:val="004A7A4C"/>
    <w:rsid w:val="004B039A"/>
    <w:rsid w:val="004B6514"/>
    <w:rsid w:val="004C0678"/>
    <w:rsid w:val="004C0E4E"/>
    <w:rsid w:val="004C61FE"/>
    <w:rsid w:val="004C683D"/>
    <w:rsid w:val="004D0432"/>
    <w:rsid w:val="004D0DC2"/>
    <w:rsid w:val="004D3EBC"/>
    <w:rsid w:val="004D4641"/>
    <w:rsid w:val="004D5726"/>
    <w:rsid w:val="004D7254"/>
    <w:rsid w:val="004E11AB"/>
    <w:rsid w:val="004E5CB0"/>
    <w:rsid w:val="004E5EBC"/>
    <w:rsid w:val="004F1CA3"/>
    <w:rsid w:val="004F1FE6"/>
    <w:rsid w:val="004F22FF"/>
    <w:rsid w:val="004F255A"/>
    <w:rsid w:val="00504B25"/>
    <w:rsid w:val="005062A7"/>
    <w:rsid w:val="005076AE"/>
    <w:rsid w:val="00510B56"/>
    <w:rsid w:val="005135B6"/>
    <w:rsid w:val="005138CA"/>
    <w:rsid w:val="00515F65"/>
    <w:rsid w:val="00517287"/>
    <w:rsid w:val="005178A1"/>
    <w:rsid w:val="00517B20"/>
    <w:rsid w:val="00520942"/>
    <w:rsid w:val="005253A3"/>
    <w:rsid w:val="00530F89"/>
    <w:rsid w:val="00531259"/>
    <w:rsid w:val="00541DBC"/>
    <w:rsid w:val="00541F2C"/>
    <w:rsid w:val="00542373"/>
    <w:rsid w:val="0054346E"/>
    <w:rsid w:val="0054600C"/>
    <w:rsid w:val="005460C4"/>
    <w:rsid w:val="0054626D"/>
    <w:rsid w:val="00551F8F"/>
    <w:rsid w:val="005601A5"/>
    <w:rsid w:val="00561836"/>
    <w:rsid w:val="005657CC"/>
    <w:rsid w:val="0056786F"/>
    <w:rsid w:val="005712BE"/>
    <w:rsid w:val="00572C4B"/>
    <w:rsid w:val="0057422E"/>
    <w:rsid w:val="00583713"/>
    <w:rsid w:val="005857C6"/>
    <w:rsid w:val="00585A4D"/>
    <w:rsid w:val="00592DA3"/>
    <w:rsid w:val="0059378F"/>
    <w:rsid w:val="00593E95"/>
    <w:rsid w:val="00594E05"/>
    <w:rsid w:val="005966CE"/>
    <w:rsid w:val="005A1CE7"/>
    <w:rsid w:val="005A5A22"/>
    <w:rsid w:val="005A5F20"/>
    <w:rsid w:val="005A77DB"/>
    <w:rsid w:val="005B0FD0"/>
    <w:rsid w:val="005B2622"/>
    <w:rsid w:val="005B2CAB"/>
    <w:rsid w:val="005B34C3"/>
    <w:rsid w:val="005B3E02"/>
    <w:rsid w:val="005B3F8A"/>
    <w:rsid w:val="005B6F7B"/>
    <w:rsid w:val="005C41BB"/>
    <w:rsid w:val="005C68CA"/>
    <w:rsid w:val="005D338C"/>
    <w:rsid w:val="005D697C"/>
    <w:rsid w:val="005E0CA5"/>
    <w:rsid w:val="005E495D"/>
    <w:rsid w:val="005E4AD1"/>
    <w:rsid w:val="005E4E28"/>
    <w:rsid w:val="005E5EF8"/>
    <w:rsid w:val="005E6446"/>
    <w:rsid w:val="005E76A5"/>
    <w:rsid w:val="005F1E16"/>
    <w:rsid w:val="005F20A5"/>
    <w:rsid w:val="005F6832"/>
    <w:rsid w:val="005F6BBD"/>
    <w:rsid w:val="005F7613"/>
    <w:rsid w:val="00600491"/>
    <w:rsid w:val="006030F2"/>
    <w:rsid w:val="0060675F"/>
    <w:rsid w:val="006121F6"/>
    <w:rsid w:val="00612538"/>
    <w:rsid w:val="00612C55"/>
    <w:rsid w:val="00616F81"/>
    <w:rsid w:val="006171DA"/>
    <w:rsid w:val="00621585"/>
    <w:rsid w:val="00622072"/>
    <w:rsid w:val="00623568"/>
    <w:rsid w:val="006251E3"/>
    <w:rsid w:val="00627211"/>
    <w:rsid w:val="00630096"/>
    <w:rsid w:val="00633386"/>
    <w:rsid w:val="00634326"/>
    <w:rsid w:val="00634446"/>
    <w:rsid w:val="00641480"/>
    <w:rsid w:val="0064555C"/>
    <w:rsid w:val="006467AF"/>
    <w:rsid w:val="0065315A"/>
    <w:rsid w:val="006614E5"/>
    <w:rsid w:val="00667032"/>
    <w:rsid w:val="006671E8"/>
    <w:rsid w:val="006701DA"/>
    <w:rsid w:val="00671735"/>
    <w:rsid w:val="00673A0E"/>
    <w:rsid w:val="00677D96"/>
    <w:rsid w:val="00680EA2"/>
    <w:rsid w:val="00681A7E"/>
    <w:rsid w:val="006822E2"/>
    <w:rsid w:val="0068357D"/>
    <w:rsid w:val="00690142"/>
    <w:rsid w:val="00692895"/>
    <w:rsid w:val="0069473D"/>
    <w:rsid w:val="00697558"/>
    <w:rsid w:val="00697EE1"/>
    <w:rsid w:val="006A0A62"/>
    <w:rsid w:val="006A4747"/>
    <w:rsid w:val="006A5CC8"/>
    <w:rsid w:val="006A61A4"/>
    <w:rsid w:val="006B02AF"/>
    <w:rsid w:val="006B29FC"/>
    <w:rsid w:val="006B42F0"/>
    <w:rsid w:val="006C1167"/>
    <w:rsid w:val="006C1717"/>
    <w:rsid w:val="006C17A9"/>
    <w:rsid w:val="006C491F"/>
    <w:rsid w:val="006C560E"/>
    <w:rsid w:val="006C60E3"/>
    <w:rsid w:val="006C6C79"/>
    <w:rsid w:val="006D3605"/>
    <w:rsid w:val="006D4F1C"/>
    <w:rsid w:val="006E21AB"/>
    <w:rsid w:val="006E35CE"/>
    <w:rsid w:val="006E63EF"/>
    <w:rsid w:val="006F06B3"/>
    <w:rsid w:val="006F09A2"/>
    <w:rsid w:val="006F304B"/>
    <w:rsid w:val="006F35AD"/>
    <w:rsid w:val="006F5F08"/>
    <w:rsid w:val="006F6011"/>
    <w:rsid w:val="006F6B7D"/>
    <w:rsid w:val="00702131"/>
    <w:rsid w:val="007050A4"/>
    <w:rsid w:val="007114F0"/>
    <w:rsid w:val="00711969"/>
    <w:rsid w:val="007125C2"/>
    <w:rsid w:val="007125F7"/>
    <w:rsid w:val="007138F0"/>
    <w:rsid w:val="007143F1"/>
    <w:rsid w:val="007178D5"/>
    <w:rsid w:val="00721BD0"/>
    <w:rsid w:val="00723F4F"/>
    <w:rsid w:val="00725F72"/>
    <w:rsid w:val="00726524"/>
    <w:rsid w:val="00731A16"/>
    <w:rsid w:val="00735C5C"/>
    <w:rsid w:val="00736345"/>
    <w:rsid w:val="00737F90"/>
    <w:rsid w:val="0075428A"/>
    <w:rsid w:val="00764569"/>
    <w:rsid w:val="00765944"/>
    <w:rsid w:val="00766FAE"/>
    <w:rsid w:val="007702A3"/>
    <w:rsid w:val="00770EEC"/>
    <w:rsid w:val="00772635"/>
    <w:rsid w:val="00773F80"/>
    <w:rsid w:val="00781184"/>
    <w:rsid w:val="00784768"/>
    <w:rsid w:val="00785539"/>
    <w:rsid w:val="00786688"/>
    <w:rsid w:val="00787009"/>
    <w:rsid w:val="00787CA7"/>
    <w:rsid w:val="00791788"/>
    <w:rsid w:val="00793A76"/>
    <w:rsid w:val="00793F4F"/>
    <w:rsid w:val="007949A5"/>
    <w:rsid w:val="00794B9C"/>
    <w:rsid w:val="007A174D"/>
    <w:rsid w:val="007A60C9"/>
    <w:rsid w:val="007A71C0"/>
    <w:rsid w:val="007A7F07"/>
    <w:rsid w:val="007B136D"/>
    <w:rsid w:val="007B31DF"/>
    <w:rsid w:val="007B36D3"/>
    <w:rsid w:val="007B54BE"/>
    <w:rsid w:val="007B62FB"/>
    <w:rsid w:val="007C4520"/>
    <w:rsid w:val="007C4AC3"/>
    <w:rsid w:val="007C5C8E"/>
    <w:rsid w:val="007C74FB"/>
    <w:rsid w:val="007D283C"/>
    <w:rsid w:val="007D2B78"/>
    <w:rsid w:val="007D3ED3"/>
    <w:rsid w:val="007D4A82"/>
    <w:rsid w:val="007D6A82"/>
    <w:rsid w:val="007E1297"/>
    <w:rsid w:val="007E1E7A"/>
    <w:rsid w:val="007F2A73"/>
    <w:rsid w:val="007F364C"/>
    <w:rsid w:val="007F4F7D"/>
    <w:rsid w:val="007F7974"/>
    <w:rsid w:val="0080220E"/>
    <w:rsid w:val="00803C23"/>
    <w:rsid w:val="0080458B"/>
    <w:rsid w:val="00805415"/>
    <w:rsid w:val="00806673"/>
    <w:rsid w:val="0080751A"/>
    <w:rsid w:val="008148BE"/>
    <w:rsid w:val="00817818"/>
    <w:rsid w:val="00820159"/>
    <w:rsid w:val="00821A24"/>
    <w:rsid w:val="0082288E"/>
    <w:rsid w:val="00826B2D"/>
    <w:rsid w:val="00830126"/>
    <w:rsid w:val="00830AFB"/>
    <w:rsid w:val="0083288A"/>
    <w:rsid w:val="008348E8"/>
    <w:rsid w:val="00836BF8"/>
    <w:rsid w:val="00836DAC"/>
    <w:rsid w:val="00841987"/>
    <w:rsid w:val="00847B80"/>
    <w:rsid w:val="00847CB2"/>
    <w:rsid w:val="0085002D"/>
    <w:rsid w:val="00856836"/>
    <w:rsid w:val="00862DA4"/>
    <w:rsid w:val="0086330F"/>
    <w:rsid w:val="00865EA7"/>
    <w:rsid w:val="00873A04"/>
    <w:rsid w:val="008741F5"/>
    <w:rsid w:val="00874314"/>
    <w:rsid w:val="00875FEE"/>
    <w:rsid w:val="00876CC8"/>
    <w:rsid w:val="00880D6D"/>
    <w:rsid w:val="008932CA"/>
    <w:rsid w:val="00893B51"/>
    <w:rsid w:val="008A2310"/>
    <w:rsid w:val="008B30D2"/>
    <w:rsid w:val="008B328E"/>
    <w:rsid w:val="008B50A8"/>
    <w:rsid w:val="008B5F1C"/>
    <w:rsid w:val="008B66A0"/>
    <w:rsid w:val="008B6E37"/>
    <w:rsid w:val="008C07E3"/>
    <w:rsid w:val="008C15E2"/>
    <w:rsid w:val="008C2DA1"/>
    <w:rsid w:val="008C37EF"/>
    <w:rsid w:val="008C46F9"/>
    <w:rsid w:val="008C5F9D"/>
    <w:rsid w:val="008D2530"/>
    <w:rsid w:val="008D35DB"/>
    <w:rsid w:val="008D4BBE"/>
    <w:rsid w:val="008D4C60"/>
    <w:rsid w:val="008D5488"/>
    <w:rsid w:val="008D6448"/>
    <w:rsid w:val="008D7D6C"/>
    <w:rsid w:val="008E1C19"/>
    <w:rsid w:val="008E21C9"/>
    <w:rsid w:val="008E2EA9"/>
    <w:rsid w:val="008E6710"/>
    <w:rsid w:val="008E73F0"/>
    <w:rsid w:val="008F348A"/>
    <w:rsid w:val="008F40C1"/>
    <w:rsid w:val="008F4727"/>
    <w:rsid w:val="008F4AC7"/>
    <w:rsid w:val="008F543A"/>
    <w:rsid w:val="008F77DB"/>
    <w:rsid w:val="0090438F"/>
    <w:rsid w:val="009046B5"/>
    <w:rsid w:val="00905B20"/>
    <w:rsid w:val="00905F75"/>
    <w:rsid w:val="00907142"/>
    <w:rsid w:val="009075AA"/>
    <w:rsid w:val="00912347"/>
    <w:rsid w:val="009139C5"/>
    <w:rsid w:val="00914DD0"/>
    <w:rsid w:val="009227D0"/>
    <w:rsid w:val="00926AEB"/>
    <w:rsid w:val="0093343D"/>
    <w:rsid w:val="00933E05"/>
    <w:rsid w:val="00933E3D"/>
    <w:rsid w:val="00936588"/>
    <w:rsid w:val="009419B2"/>
    <w:rsid w:val="009420B0"/>
    <w:rsid w:val="00942D4B"/>
    <w:rsid w:val="00944E2A"/>
    <w:rsid w:val="00945579"/>
    <w:rsid w:val="009456B1"/>
    <w:rsid w:val="00945E71"/>
    <w:rsid w:val="009473CF"/>
    <w:rsid w:val="00954E95"/>
    <w:rsid w:val="009559AD"/>
    <w:rsid w:val="009565DB"/>
    <w:rsid w:val="00957206"/>
    <w:rsid w:val="009576A7"/>
    <w:rsid w:val="0095770D"/>
    <w:rsid w:val="0095795F"/>
    <w:rsid w:val="00957C2B"/>
    <w:rsid w:val="00957E0D"/>
    <w:rsid w:val="0096133E"/>
    <w:rsid w:val="00962448"/>
    <w:rsid w:val="00965E4D"/>
    <w:rsid w:val="00967A87"/>
    <w:rsid w:val="009712BA"/>
    <w:rsid w:val="009726A9"/>
    <w:rsid w:val="0097569B"/>
    <w:rsid w:val="00975ACE"/>
    <w:rsid w:val="0098062C"/>
    <w:rsid w:val="00984850"/>
    <w:rsid w:val="00984B89"/>
    <w:rsid w:val="0098580C"/>
    <w:rsid w:val="00985EAF"/>
    <w:rsid w:val="00993394"/>
    <w:rsid w:val="00997132"/>
    <w:rsid w:val="009A257C"/>
    <w:rsid w:val="009A472E"/>
    <w:rsid w:val="009A5909"/>
    <w:rsid w:val="009B1F73"/>
    <w:rsid w:val="009B2C34"/>
    <w:rsid w:val="009B442B"/>
    <w:rsid w:val="009B4F5D"/>
    <w:rsid w:val="009C1453"/>
    <w:rsid w:val="009C3188"/>
    <w:rsid w:val="009C376F"/>
    <w:rsid w:val="009C3ABB"/>
    <w:rsid w:val="009C4D86"/>
    <w:rsid w:val="009C7F2E"/>
    <w:rsid w:val="009D1B43"/>
    <w:rsid w:val="009D2C3B"/>
    <w:rsid w:val="009D5E97"/>
    <w:rsid w:val="009D5FC7"/>
    <w:rsid w:val="009D6102"/>
    <w:rsid w:val="009E0ADC"/>
    <w:rsid w:val="009E3E6A"/>
    <w:rsid w:val="009E521D"/>
    <w:rsid w:val="009E6219"/>
    <w:rsid w:val="009F33EC"/>
    <w:rsid w:val="009F3AF0"/>
    <w:rsid w:val="009F4A90"/>
    <w:rsid w:val="009F5984"/>
    <w:rsid w:val="00A00360"/>
    <w:rsid w:val="00A00A54"/>
    <w:rsid w:val="00A02A0D"/>
    <w:rsid w:val="00A03D77"/>
    <w:rsid w:val="00A0415C"/>
    <w:rsid w:val="00A072CA"/>
    <w:rsid w:val="00A07332"/>
    <w:rsid w:val="00A13544"/>
    <w:rsid w:val="00A1614F"/>
    <w:rsid w:val="00A166B1"/>
    <w:rsid w:val="00A1755F"/>
    <w:rsid w:val="00A21C98"/>
    <w:rsid w:val="00A22666"/>
    <w:rsid w:val="00A27E5A"/>
    <w:rsid w:val="00A33528"/>
    <w:rsid w:val="00A33A47"/>
    <w:rsid w:val="00A34752"/>
    <w:rsid w:val="00A34B66"/>
    <w:rsid w:val="00A35147"/>
    <w:rsid w:val="00A37317"/>
    <w:rsid w:val="00A4217A"/>
    <w:rsid w:val="00A46D3E"/>
    <w:rsid w:val="00A545D3"/>
    <w:rsid w:val="00A55FED"/>
    <w:rsid w:val="00A61E6C"/>
    <w:rsid w:val="00A6205A"/>
    <w:rsid w:val="00A6225E"/>
    <w:rsid w:val="00A63180"/>
    <w:rsid w:val="00A647D3"/>
    <w:rsid w:val="00A649BD"/>
    <w:rsid w:val="00A65342"/>
    <w:rsid w:val="00A667CB"/>
    <w:rsid w:val="00A66D34"/>
    <w:rsid w:val="00A7184C"/>
    <w:rsid w:val="00A71CF6"/>
    <w:rsid w:val="00A731BE"/>
    <w:rsid w:val="00A77256"/>
    <w:rsid w:val="00A80725"/>
    <w:rsid w:val="00A80990"/>
    <w:rsid w:val="00A82B7A"/>
    <w:rsid w:val="00A849B4"/>
    <w:rsid w:val="00A85AED"/>
    <w:rsid w:val="00A85B67"/>
    <w:rsid w:val="00A86C23"/>
    <w:rsid w:val="00A8745D"/>
    <w:rsid w:val="00A87520"/>
    <w:rsid w:val="00A87A6F"/>
    <w:rsid w:val="00A90ED0"/>
    <w:rsid w:val="00A91B40"/>
    <w:rsid w:val="00A91F3E"/>
    <w:rsid w:val="00A94714"/>
    <w:rsid w:val="00A96B6F"/>
    <w:rsid w:val="00A97303"/>
    <w:rsid w:val="00A9732A"/>
    <w:rsid w:val="00AA20F1"/>
    <w:rsid w:val="00AA3FA5"/>
    <w:rsid w:val="00AA58F4"/>
    <w:rsid w:val="00AB47DC"/>
    <w:rsid w:val="00AB7FAF"/>
    <w:rsid w:val="00AC1ED9"/>
    <w:rsid w:val="00AC27C7"/>
    <w:rsid w:val="00AC2C21"/>
    <w:rsid w:val="00AC36D1"/>
    <w:rsid w:val="00AC418B"/>
    <w:rsid w:val="00AC649F"/>
    <w:rsid w:val="00AD36FC"/>
    <w:rsid w:val="00AD5ED7"/>
    <w:rsid w:val="00AD6EE6"/>
    <w:rsid w:val="00AD7653"/>
    <w:rsid w:val="00AE4168"/>
    <w:rsid w:val="00AE4A1C"/>
    <w:rsid w:val="00AE4CA0"/>
    <w:rsid w:val="00AE57C8"/>
    <w:rsid w:val="00AE5A75"/>
    <w:rsid w:val="00AE5EE1"/>
    <w:rsid w:val="00AE7330"/>
    <w:rsid w:val="00AE75D5"/>
    <w:rsid w:val="00AF0B63"/>
    <w:rsid w:val="00AF5015"/>
    <w:rsid w:val="00AF7417"/>
    <w:rsid w:val="00AF7F0B"/>
    <w:rsid w:val="00B00BCE"/>
    <w:rsid w:val="00B018B6"/>
    <w:rsid w:val="00B01F44"/>
    <w:rsid w:val="00B03662"/>
    <w:rsid w:val="00B05609"/>
    <w:rsid w:val="00B06291"/>
    <w:rsid w:val="00B107F5"/>
    <w:rsid w:val="00B11E20"/>
    <w:rsid w:val="00B148B8"/>
    <w:rsid w:val="00B14F22"/>
    <w:rsid w:val="00B1672D"/>
    <w:rsid w:val="00B20E26"/>
    <w:rsid w:val="00B22C5F"/>
    <w:rsid w:val="00B2494C"/>
    <w:rsid w:val="00B24B9E"/>
    <w:rsid w:val="00B25492"/>
    <w:rsid w:val="00B26BB2"/>
    <w:rsid w:val="00B27D2A"/>
    <w:rsid w:val="00B314E1"/>
    <w:rsid w:val="00B31C95"/>
    <w:rsid w:val="00B321C9"/>
    <w:rsid w:val="00B33577"/>
    <w:rsid w:val="00B35F4E"/>
    <w:rsid w:val="00B36A3E"/>
    <w:rsid w:val="00B42DB6"/>
    <w:rsid w:val="00B4794B"/>
    <w:rsid w:val="00B53EA1"/>
    <w:rsid w:val="00B55114"/>
    <w:rsid w:val="00B56133"/>
    <w:rsid w:val="00B63151"/>
    <w:rsid w:val="00B66B32"/>
    <w:rsid w:val="00B705DF"/>
    <w:rsid w:val="00B71A70"/>
    <w:rsid w:val="00B721A4"/>
    <w:rsid w:val="00B72C09"/>
    <w:rsid w:val="00B73AFD"/>
    <w:rsid w:val="00B77327"/>
    <w:rsid w:val="00B77924"/>
    <w:rsid w:val="00B84CCF"/>
    <w:rsid w:val="00B91027"/>
    <w:rsid w:val="00B91E47"/>
    <w:rsid w:val="00B93C71"/>
    <w:rsid w:val="00B95A35"/>
    <w:rsid w:val="00B97296"/>
    <w:rsid w:val="00BA1663"/>
    <w:rsid w:val="00BA19C0"/>
    <w:rsid w:val="00BA2AB2"/>
    <w:rsid w:val="00BA47CC"/>
    <w:rsid w:val="00BA6D8F"/>
    <w:rsid w:val="00BA7F27"/>
    <w:rsid w:val="00BB082D"/>
    <w:rsid w:val="00BB0CEB"/>
    <w:rsid w:val="00BB71B2"/>
    <w:rsid w:val="00BC2C39"/>
    <w:rsid w:val="00BC4E3E"/>
    <w:rsid w:val="00BD0207"/>
    <w:rsid w:val="00BD3456"/>
    <w:rsid w:val="00BD4193"/>
    <w:rsid w:val="00BD66EF"/>
    <w:rsid w:val="00BD7226"/>
    <w:rsid w:val="00BE1A86"/>
    <w:rsid w:val="00BE2A97"/>
    <w:rsid w:val="00BE6DED"/>
    <w:rsid w:val="00BE7662"/>
    <w:rsid w:val="00BF170C"/>
    <w:rsid w:val="00BF5667"/>
    <w:rsid w:val="00BF67AE"/>
    <w:rsid w:val="00BF688A"/>
    <w:rsid w:val="00BF6D38"/>
    <w:rsid w:val="00BF6F30"/>
    <w:rsid w:val="00C00356"/>
    <w:rsid w:val="00C00DDD"/>
    <w:rsid w:val="00C01F67"/>
    <w:rsid w:val="00C02E35"/>
    <w:rsid w:val="00C0388A"/>
    <w:rsid w:val="00C05052"/>
    <w:rsid w:val="00C10637"/>
    <w:rsid w:val="00C10DDE"/>
    <w:rsid w:val="00C113BA"/>
    <w:rsid w:val="00C152BC"/>
    <w:rsid w:val="00C16782"/>
    <w:rsid w:val="00C179A2"/>
    <w:rsid w:val="00C17AD7"/>
    <w:rsid w:val="00C20E43"/>
    <w:rsid w:val="00C225C7"/>
    <w:rsid w:val="00C23014"/>
    <w:rsid w:val="00C273F1"/>
    <w:rsid w:val="00C304E3"/>
    <w:rsid w:val="00C30715"/>
    <w:rsid w:val="00C36C65"/>
    <w:rsid w:val="00C36CB6"/>
    <w:rsid w:val="00C43322"/>
    <w:rsid w:val="00C44DB8"/>
    <w:rsid w:val="00C4646F"/>
    <w:rsid w:val="00C46541"/>
    <w:rsid w:val="00C47E1B"/>
    <w:rsid w:val="00C51E5E"/>
    <w:rsid w:val="00C566AF"/>
    <w:rsid w:val="00C648C8"/>
    <w:rsid w:val="00C65BD6"/>
    <w:rsid w:val="00C65D1A"/>
    <w:rsid w:val="00C662B1"/>
    <w:rsid w:val="00C67173"/>
    <w:rsid w:val="00C70E8B"/>
    <w:rsid w:val="00C7202E"/>
    <w:rsid w:val="00C7221E"/>
    <w:rsid w:val="00C8027E"/>
    <w:rsid w:val="00C8102E"/>
    <w:rsid w:val="00C82270"/>
    <w:rsid w:val="00C85A7F"/>
    <w:rsid w:val="00C90972"/>
    <w:rsid w:val="00C91374"/>
    <w:rsid w:val="00C9177E"/>
    <w:rsid w:val="00CA029E"/>
    <w:rsid w:val="00CA3C56"/>
    <w:rsid w:val="00CA44DA"/>
    <w:rsid w:val="00CA51D0"/>
    <w:rsid w:val="00CA5BBE"/>
    <w:rsid w:val="00CA6C61"/>
    <w:rsid w:val="00CA7841"/>
    <w:rsid w:val="00CB02AD"/>
    <w:rsid w:val="00CB0EBE"/>
    <w:rsid w:val="00CB2ADD"/>
    <w:rsid w:val="00CB538C"/>
    <w:rsid w:val="00CC11CF"/>
    <w:rsid w:val="00CC72DB"/>
    <w:rsid w:val="00CD181F"/>
    <w:rsid w:val="00CD274C"/>
    <w:rsid w:val="00CD38B4"/>
    <w:rsid w:val="00CD3D37"/>
    <w:rsid w:val="00CD53FF"/>
    <w:rsid w:val="00CE3B14"/>
    <w:rsid w:val="00CE5491"/>
    <w:rsid w:val="00CF1EAE"/>
    <w:rsid w:val="00CF4DA2"/>
    <w:rsid w:val="00CF7112"/>
    <w:rsid w:val="00D046F8"/>
    <w:rsid w:val="00D06099"/>
    <w:rsid w:val="00D10310"/>
    <w:rsid w:val="00D12FC3"/>
    <w:rsid w:val="00D132FB"/>
    <w:rsid w:val="00D135BB"/>
    <w:rsid w:val="00D13709"/>
    <w:rsid w:val="00D14CE3"/>
    <w:rsid w:val="00D175D9"/>
    <w:rsid w:val="00D21003"/>
    <w:rsid w:val="00D210B7"/>
    <w:rsid w:val="00D22D0E"/>
    <w:rsid w:val="00D302FE"/>
    <w:rsid w:val="00D31FFF"/>
    <w:rsid w:val="00D34D52"/>
    <w:rsid w:val="00D355B8"/>
    <w:rsid w:val="00D42D84"/>
    <w:rsid w:val="00D43CEA"/>
    <w:rsid w:val="00D459E3"/>
    <w:rsid w:val="00D50014"/>
    <w:rsid w:val="00D500D7"/>
    <w:rsid w:val="00D55C34"/>
    <w:rsid w:val="00D574D2"/>
    <w:rsid w:val="00D57B20"/>
    <w:rsid w:val="00D61EB4"/>
    <w:rsid w:val="00D62979"/>
    <w:rsid w:val="00D65F5F"/>
    <w:rsid w:val="00D708EC"/>
    <w:rsid w:val="00D720DD"/>
    <w:rsid w:val="00D74DEC"/>
    <w:rsid w:val="00D75A79"/>
    <w:rsid w:val="00D768DD"/>
    <w:rsid w:val="00D7771C"/>
    <w:rsid w:val="00D77E64"/>
    <w:rsid w:val="00D80D2D"/>
    <w:rsid w:val="00D811C3"/>
    <w:rsid w:val="00D82934"/>
    <w:rsid w:val="00D84097"/>
    <w:rsid w:val="00D9024F"/>
    <w:rsid w:val="00D914BB"/>
    <w:rsid w:val="00D92533"/>
    <w:rsid w:val="00D93AA8"/>
    <w:rsid w:val="00D94D1D"/>
    <w:rsid w:val="00D95EBE"/>
    <w:rsid w:val="00DA4512"/>
    <w:rsid w:val="00DB0F5A"/>
    <w:rsid w:val="00DB3942"/>
    <w:rsid w:val="00DB3C66"/>
    <w:rsid w:val="00DB3D81"/>
    <w:rsid w:val="00DB5185"/>
    <w:rsid w:val="00DB6A68"/>
    <w:rsid w:val="00DC0E2B"/>
    <w:rsid w:val="00DC1303"/>
    <w:rsid w:val="00DC4262"/>
    <w:rsid w:val="00DC4486"/>
    <w:rsid w:val="00DC49F4"/>
    <w:rsid w:val="00DC5DE2"/>
    <w:rsid w:val="00DD0820"/>
    <w:rsid w:val="00DD0EF5"/>
    <w:rsid w:val="00DD213C"/>
    <w:rsid w:val="00DD28E7"/>
    <w:rsid w:val="00DD65C7"/>
    <w:rsid w:val="00DE3570"/>
    <w:rsid w:val="00DE49AA"/>
    <w:rsid w:val="00DE4B42"/>
    <w:rsid w:val="00DE7410"/>
    <w:rsid w:val="00DF056B"/>
    <w:rsid w:val="00DF6336"/>
    <w:rsid w:val="00DF6CBA"/>
    <w:rsid w:val="00E01C3D"/>
    <w:rsid w:val="00E03D99"/>
    <w:rsid w:val="00E054BC"/>
    <w:rsid w:val="00E05DBB"/>
    <w:rsid w:val="00E07988"/>
    <w:rsid w:val="00E07EBD"/>
    <w:rsid w:val="00E12512"/>
    <w:rsid w:val="00E1423B"/>
    <w:rsid w:val="00E15AED"/>
    <w:rsid w:val="00E17B6E"/>
    <w:rsid w:val="00E241BA"/>
    <w:rsid w:val="00E246F0"/>
    <w:rsid w:val="00E24733"/>
    <w:rsid w:val="00E24A2C"/>
    <w:rsid w:val="00E265E2"/>
    <w:rsid w:val="00E278F0"/>
    <w:rsid w:val="00E3050F"/>
    <w:rsid w:val="00E320ED"/>
    <w:rsid w:val="00E32684"/>
    <w:rsid w:val="00E337FD"/>
    <w:rsid w:val="00E37292"/>
    <w:rsid w:val="00E4120D"/>
    <w:rsid w:val="00E43E93"/>
    <w:rsid w:val="00E50113"/>
    <w:rsid w:val="00E52B4B"/>
    <w:rsid w:val="00E54487"/>
    <w:rsid w:val="00E56F5F"/>
    <w:rsid w:val="00E61375"/>
    <w:rsid w:val="00E6303C"/>
    <w:rsid w:val="00E70167"/>
    <w:rsid w:val="00E7296F"/>
    <w:rsid w:val="00E750D5"/>
    <w:rsid w:val="00E75694"/>
    <w:rsid w:val="00E83292"/>
    <w:rsid w:val="00E842DC"/>
    <w:rsid w:val="00E84DE6"/>
    <w:rsid w:val="00E858EF"/>
    <w:rsid w:val="00E859F8"/>
    <w:rsid w:val="00E85C4D"/>
    <w:rsid w:val="00E8683D"/>
    <w:rsid w:val="00E92E01"/>
    <w:rsid w:val="00E93ADE"/>
    <w:rsid w:val="00E96EEF"/>
    <w:rsid w:val="00EA3ABC"/>
    <w:rsid w:val="00EA481B"/>
    <w:rsid w:val="00EA507D"/>
    <w:rsid w:val="00EB00D4"/>
    <w:rsid w:val="00EB4F59"/>
    <w:rsid w:val="00EB6A44"/>
    <w:rsid w:val="00EC0ADF"/>
    <w:rsid w:val="00EC1078"/>
    <w:rsid w:val="00EC1751"/>
    <w:rsid w:val="00EC6244"/>
    <w:rsid w:val="00ED0031"/>
    <w:rsid w:val="00ED02FE"/>
    <w:rsid w:val="00ED0533"/>
    <w:rsid w:val="00ED350A"/>
    <w:rsid w:val="00ED42D8"/>
    <w:rsid w:val="00ED5E0D"/>
    <w:rsid w:val="00ED7691"/>
    <w:rsid w:val="00EE2B6A"/>
    <w:rsid w:val="00EE3EF9"/>
    <w:rsid w:val="00EE5239"/>
    <w:rsid w:val="00EE5FA9"/>
    <w:rsid w:val="00EE7BDB"/>
    <w:rsid w:val="00EF1EC4"/>
    <w:rsid w:val="00EF479B"/>
    <w:rsid w:val="00EF49A3"/>
    <w:rsid w:val="00EF4A07"/>
    <w:rsid w:val="00EF4BC6"/>
    <w:rsid w:val="00EF665C"/>
    <w:rsid w:val="00EF78C7"/>
    <w:rsid w:val="00EF7AF4"/>
    <w:rsid w:val="00EF7C2D"/>
    <w:rsid w:val="00F01120"/>
    <w:rsid w:val="00F01CF0"/>
    <w:rsid w:val="00F03460"/>
    <w:rsid w:val="00F04E93"/>
    <w:rsid w:val="00F054D6"/>
    <w:rsid w:val="00F063FE"/>
    <w:rsid w:val="00F068BF"/>
    <w:rsid w:val="00F108EB"/>
    <w:rsid w:val="00F25CEF"/>
    <w:rsid w:val="00F2644F"/>
    <w:rsid w:val="00F2732C"/>
    <w:rsid w:val="00F31EF8"/>
    <w:rsid w:val="00F32EF1"/>
    <w:rsid w:val="00F342C9"/>
    <w:rsid w:val="00F347F2"/>
    <w:rsid w:val="00F347F5"/>
    <w:rsid w:val="00F357FA"/>
    <w:rsid w:val="00F3615E"/>
    <w:rsid w:val="00F41315"/>
    <w:rsid w:val="00F41911"/>
    <w:rsid w:val="00F44A80"/>
    <w:rsid w:val="00F54047"/>
    <w:rsid w:val="00F54A43"/>
    <w:rsid w:val="00F55EA8"/>
    <w:rsid w:val="00F56490"/>
    <w:rsid w:val="00F56849"/>
    <w:rsid w:val="00F575E7"/>
    <w:rsid w:val="00F608FB"/>
    <w:rsid w:val="00F64862"/>
    <w:rsid w:val="00F65041"/>
    <w:rsid w:val="00F65876"/>
    <w:rsid w:val="00F66D08"/>
    <w:rsid w:val="00F67866"/>
    <w:rsid w:val="00F73B33"/>
    <w:rsid w:val="00F7609A"/>
    <w:rsid w:val="00F765F7"/>
    <w:rsid w:val="00F80406"/>
    <w:rsid w:val="00F816E3"/>
    <w:rsid w:val="00F844D8"/>
    <w:rsid w:val="00F84D2C"/>
    <w:rsid w:val="00F91521"/>
    <w:rsid w:val="00F91922"/>
    <w:rsid w:val="00F93C5E"/>
    <w:rsid w:val="00F94184"/>
    <w:rsid w:val="00FA3BD0"/>
    <w:rsid w:val="00FA5BF7"/>
    <w:rsid w:val="00FA7291"/>
    <w:rsid w:val="00FA78BF"/>
    <w:rsid w:val="00FA7CB0"/>
    <w:rsid w:val="00FB21D5"/>
    <w:rsid w:val="00FB2E3C"/>
    <w:rsid w:val="00FB7ACB"/>
    <w:rsid w:val="00FC157A"/>
    <w:rsid w:val="00FC291F"/>
    <w:rsid w:val="00FD765B"/>
    <w:rsid w:val="00FD7CA1"/>
    <w:rsid w:val="00FE312A"/>
    <w:rsid w:val="00FF2870"/>
    <w:rsid w:val="00FF2A3A"/>
    <w:rsid w:val="00FF2E1D"/>
    <w:rsid w:val="00FF31B3"/>
    <w:rsid w:val="00FF355E"/>
    <w:rsid w:val="00FF4878"/>
    <w:rsid w:val="00FF5A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28512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BC"/>
  </w:style>
  <w:style w:type="paragraph" w:styleId="Heading1">
    <w:name w:val="heading 1"/>
    <w:basedOn w:val="Normal"/>
    <w:next w:val="Normal"/>
    <w:link w:val="Heading1Char"/>
    <w:uiPriority w:val="9"/>
    <w:qFormat/>
    <w:rsid w:val="00A545D3"/>
    <w:pPr>
      <w:keepNext/>
      <w:spacing w:before="240" w:after="6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4E5EBC"/>
    <w:pPr>
      <w:spacing w:before="240" w:after="80" w:line="276" w:lineRule="auto"/>
      <w:outlineLvl w:val="1"/>
    </w:pPr>
    <w:rPr>
      <w:smallCaps/>
      <w:spacing w:val="5"/>
      <w:sz w:val="28"/>
      <w:szCs w:val="28"/>
      <w:lang w:val="en-US"/>
    </w:rPr>
  </w:style>
  <w:style w:type="paragraph" w:styleId="Heading3">
    <w:name w:val="heading 3"/>
    <w:basedOn w:val="Normal"/>
    <w:next w:val="Normal"/>
    <w:link w:val="Heading3Char"/>
    <w:uiPriority w:val="9"/>
    <w:unhideWhenUsed/>
    <w:qFormat/>
    <w:rsid w:val="00A545D3"/>
    <w:pPr>
      <w:keepNext/>
      <w:spacing w:before="240" w:after="6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A545D3"/>
    <w:pPr>
      <w:keepNext/>
      <w:numPr>
        <w:ilvl w:val="3"/>
        <w:numId w:val="1"/>
      </w:numPr>
      <w:spacing w:before="240" w:after="60"/>
      <w:outlineLvl w:val="3"/>
    </w:pPr>
    <w:rPr>
      <w:b/>
      <w:bCs/>
      <w:sz w:val="28"/>
      <w:szCs w:val="28"/>
      <w:lang w:val="en-US"/>
    </w:rPr>
  </w:style>
  <w:style w:type="paragraph" w:styleId="Heading5">
    <w:name w:val="heading 5"/>
    <w:basedOn w:val="Normal"/>
    <w:next w:val="Normal"/>
    <w:link w:val="Heading5Char"/>
    <w:uiPriority w:val="9"/>
    <w:semiHidden/>
    <w:unhideWhenUsed/>
    <w:qFormat/>
    <w:rsid w:val="00A545D3"/>
    <w:pPr>
      <w:numPr>
        <w:ilvl w:val="4"/>
        <w:numId w:val="1"/>
      </w:numPr>
      <w:spacing w:before="240" w:after="60"/>
      <w:outlineLvl w:val="4"/>
    </w:pPr>
    <w:rPr>
      <w:b/>
      <w:bCs/>
      <w:i/>
      <w:iCs/>
      <w:sz w:val="26"/>
      <w:szCs w:val="26"/>
      <w:lang w:val="en-US"/>
    </w:rPr>
  </w:style>
  <w:style w:type="paragraph" w:styleId="Heading6">
    <w:name w:val="heading 6"/>
    <w:basedOn w:val="Normal"/>
    <w:next w:val="Normal"/>
    <w:link w:val="Heading6Char"/>
    <w:qFormat/>
    <w:rsid w:val="00A545D3"/>
    <w:pPr>
      <w:numPr>
        <w:ilvl w:val="5"/>
        <w:numId w:val="1"/>
      </w:numPr>
      <w:spacing w:before="240" w:after="60"/>
      <w:outlineLvl w:val="5"/>
    </w:pPr>
    <w:rPr>
      <w:rFonts w:ascii="Times New Roman" w:eastAsia="Times New Roman" w:hAnsi="Times New Roman" w:cs="Times New Roman"/>
      <w:b/>
      <w:bCs/>
      <w:sz w:val="22"/>
      <w:szCs w:val="22"/>
      <w:lang w:val="en-US"/>
    </w:rPr>
  </w:style>
  <w:style w:type="paragraph" w:styleId="Heading7">
    <w:name w:val="heading 7"/>
    <w:basedOn w:val="Normal"/>
    <w:next w:val="Normal"/>
    <w:link w:val="Heading7Char"/>
    <w:uiPriority w:val="9"/>
    <w:semiHidden/>
    <w:unhideWhenUsed/>
    <w:qFormat/>
    <w:rsid w:val="00A545D3"/>
    <w:pPr>
      <w:numPr>
        <w:ilvl w:val="6"/>
        <w:numId w:val="1"/>
      </w:numPr>
      <w:spacing w:before="240" w:after="60"/>
      <w:outlineLvl w:val="6"/>
    </w:pPr>
    <w:rPr>
      <w:lang w:val="en-US"/>
    </w:rPr>
  </w:style>
  <w:style w:type="paragraph" w:styleId="Heading8">
    <w:name w:val="heading 8"/>
    <w:basedOn w:val="Normal"/>
    <w:next w:val="Normal"/>
    <w:link w:val="Heading8Char"/>
    <w:uiPriority w:val="9"/>
    <w:semiHidden/>
    <w:unhideWhenUsed/>
    <w:qFormat/>
    <w:rsid w:val="00A545D3"/>
    <w:pPr>
      <w:numPr>
        <w:ilvl w:val="7"/>
        <w:numId w:val="1"/>
      </w:numPr>
      <w:spacing w:before="240" w:after="60"/>
      <w:outlineLvl w:val="7"/>
    </w:pPr>
    <w:rPr>
      <w:i/>
      <w:iCs/>
      <w:lang w:val="en-US"/>
    </w:rPr>
  </w:style>
  <w:style w:type="paragraph" w:styleId="Heading9">
    <w:name w:val="heading 9"/>
    <w:basedOn w:val="Normal"/>
    <w:next w:val="Normal"/>
    <w:link w:val="Heading9Char"/>
    <w:uiPriority w:val="9"/>
    <w:semiHidden/>
    <w:unhideWhenUsed/>
    <w:qFormat/>
    <w:rsid w:val="00A545D3"/>
    <w:pPr>
      <w:numPr>
        <w:ilvl w:val="8"/>
        <w:numId w:val="1"/>
      </w:numPr>
      <w:spacing w:before="240" w:after="6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5EBC"/>
    <w:rPr>
      <w:smallCaps/>
      <w:spacing w:val="5"/>
      <w:sz w:val="28"/>
      <w:szCs w:val="28"/>
      <w:lang w:val="en-US"/>
    </w:rPr>
  </w:style>
  <w:style w:type="paragraph" w:styleId="ListParagraph">
    <w:name w:val="List Paragraph"/>
    <w:basedOn w:val="Normal"/>
    <w:uiPriority w:val="34"/>
    <w:qFormat/>
    <w:rsid w:val="004E5EBC"/>
    <w:pPr>
      <w:ind w:left="720"/>
      <w:contextualSpacing/>
    </w:pPr>
  </w:style>
  <w:style w:type="paragraph" w:styleId="FootnoteText">
    <w:name w:val="footnote text"/>
    <w:aliases w:val="5_G"/>
    <w:basedOn w:val="Normal"/>
    <w:link w:val="FootnoteTextChar"/>
    <w:uiPriority w:val="99"/>
    <w:unhideWhenUsed/>
    <w:qFormat/>
    <w:rsid w:val="004E5EBC"/>
    <w:pPr>
      <w:jc w:val="both"/>
    </w:pPr>
    <w:rPr>
      <w:sz w:val="20"/>
      <w:szCs w:val="20"/>
      <w:lang w:val="en-US"/>
    </w:rPr>
  </w:style>
  <w:style w:type="character" w:customStyle="1" w:styleId="FootnoteTextChar">
    <w:name w:val="Footnote Text Char"/>
    <w:aliases w:val="5_G Char"/>
    <w:basedOn w:val="DefaultParagraphFont"/>
    <w:link w:val="FootnoteText"/>
    <w:uiPriority w:val="99"/>
    <w:rsid w:val="004E5EBC"/>
    <w:rPr>
      <w:sz w:val="20"/>
      <w:szCs w:val="20"/>
      <w:lang w:val="en-US"/>
    </w:rPr>
  </w:style>
  <w:style w:type="character" w:styleId="FootnoteReference">
    <w:name w:val="footnote reference"/>
    <w:aliases w:val="4_G"/>
    <w:basedOn w:val="DefaultParagraphFont"/>
    <w:uiPriority w:val="99"/>
    <w:unhideWhenUsed/>
    <w:rsid w:val="004E5EBC"/>
    <w:rPr>
      <w:vertAlign w:val="superscript"/>
    </w:rPr>
  </w:style>
  <w:style w:type="paragraph" w:customStyle="1" w:styleId="SingleTxt">
    <w:name w:val="__Single Txt"/>
    <w:basedOn w:val="Normal"/>
    <w:rsid w:val="004E5EB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rPr>
  </w:style>
  <w:style w:type="paragraph" w:styleId="NormalWeb">
    <w:name w:val="Normal (Web)"/>
    <w:basedOn w:val="Normal"/>
    <w:uiPriority w:val="99"/>
    <w:unhideWhenUsed/>
    <w:rsid w:val="004E5EBC"/>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4E5EBC"/>
    <w:pPr>
      <w:tabs>
        <w:tab w:val="center" w:pos="4320"/>
        <w:tab w:val="right" w:pos="8640"/>
      </w:tabs>
    </w:pPr>
  </w:style>
  <w:style w:type="character" w:customStyle="1" w:styleId="FooterChar">
    <w:name w:val="Footer Char"/>
    <w:basedOn w:val="DefaultParagraphFont"/>
    <w:link w:val="Footer"/>
    <w:uiPriority w:val="99"/>
    <w:rsid w:val="004E5EBC"/>
  </w:style>
  <w:style w:type="character" w:styleId="CommentReference">
    <w:name w:val="annotation reference"/>
    <w:basedOn w:val="DefaultParagraphFont"/>
    <w:uiPriority w:val="99"/>
    <w:semiHidden/>
    <w:unhideWhenUsed/>
    <w:rsid w:val="004E5EBC"/>
    <w:rPr>
      <w:sz w:val="18"/>
      <w:szCs w:val="18"/>
    </w:rPr>
  </w:style>
  <w:style w:type="paragraph" w:styleId="CommentText">
    <w:name w:val="annotation text"/>
    <w:basedOn w:val="Normal"/>
    <w:link w:val="CommentTextChar"/>
    <w:uiPriority w:val="99"/>
    <w:semiHidden/>
    <w:unhideWhenUsed/>
    <w:rsid w:val="004E5EBC"/>
  </w:style>
  <w:style w:type="character" w:customStyle="1" w:styleId="CommentTextChar">
    <w:name w:val="Comment Text Char"/>
    <w:basedOn w:val="DefaultParagraphFont"/>
    <w:link w:val="CommentText"/>
    <w:uiPriority w:val="99"/>
    <w:semiHidden/>
    <w:rsid w:val="004E5EBC"/>
  </w:style>
  <w:style w:type="paragraph" w:styleId="BalloonText">
    <w:name w:val="Balloon Text"/>
    <w:basedOn w:val="Normal"/>
    <w:link w:val="BalloonTextChar"/>
    <w:uiPriority w:val="99"/>
    <w:semiHidden/>
    <w:unhideWhenUsed/>
    <w:rsid w:val="004E5E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EBC"/>
    <w:rPr>
      <w:rFonts w:ascii="Lucida Grande" w:hAnsi="Lucida Grande" w:cs="Lucida Grande"/>
      <w:sz w:val="18"/>
      <w:szCs w:val="18"/>
    </w:rPr>
  </w:style>
  <w:style w:type="paragraph" w:styleId="NoSpacing">
    <w:name w:val="No Spacing"/>
    <w:basedOn w:val="Normal"/>
    <w:link w:val="NoSpacingChar"/>
    <w:uiPriority w:val="1"/>
    <w:qFormat/>
    <w:rsid w:val="004E5EBC"/>
    <w:pPr>
      <w:jc w:val="both"/>
    </w:pPr>
    <w:rPr>
      <w:sz w:val="20"/>
      <w:szCs w:val="20"/>
      <w:lang w:val="en-US"/>
    </w:rPr>
  </w:style>
  <w:style w:type="character" w:customStyle="1" w:styleId="NoSpacingChar">
    <w:name w:val="No Spacing Char"/>
    <w:basedOn w:val="DefaultParagraphFont"/>
    <w:link w:val="NoSpacing"/>
    <w:uiPriority w:val="1"/>
    <w:rsid w:val="004E5EBC"/>
    <w:rPr>
      <w:sz w:val="20"/>
      <w:szCs w:val="20"/>
      <w:lang w:val="en-US"/>
    </w:rPr>
  </w:style>
  <w:style w:type="character" w:customStyle="1" w:styleId="apple-converted-space">
    <w:name w:val="apple-converted-space"/>
    <w:basedOn w:val="DefaultParagraphFont"/>
    <w:rsid w:val="004E5EBC"/>
  </w:style>
  <w:style w:type="character" w:styleId="Hyperlink">
    <w:name w:val="Hyperlink"/>
    <w:basedOn w:val="DefaultParagraphFont"/>
    <w:uiPriority w:val="99"/>
    <w:unhideWhenUsed/>
    <w:rsid w:val="004E5EBC"/>
    <w:rPr>
      <w:color w:val="0000FF"/>
      <w:u w:val="single"/>
    </w:rPr>
  </w:style>
  <w:style w:type="character" w:styleId="PageNumber">
    <w:name w:val="page number"/>
    <w:basedOn w:val="DefaultParagraphFont"/>
    <w:uiPriority w:val="99"/>
    <w:semiHidden/>
    <w:unhideWhenUsed/>
    <w:rsid w:val="004E5EBC"/>
  </w:style>
  <w:style w:type="character" w:styleId="Emphasis">
    <w:name w:val="Emphasis"/>
    <w:basedOn w:val="DefaultParagraphFont"/>
    <w:uiPriority w:val="20"/>
    <w:qFormat/>
    <w:rsid w:val="000A3B73"/>
    <w:rPr>
      <w:i/>
      <w:iCs/>
    </w:rPr>
  </w:style>
  <w:style w:type="character" w:customStyle="1" w:styleId="Heading1Char">
    <w:name w:val="Heading 1 Char"/>
    <w:basedOn w:val="DefaultParagraphFont"/>
    <w:link w:val="Heading1"/>
    <w:uiPriority w:val="9"/>
    <w:rsid w:val="00A545D3"/>
    <w:rPr>
      <w:rFonts w:asciiTheme="majorHAnsi" w:eastAsiaTheme="majorEastAsia" w:hAnsiTheme="majorHAnsi" w:cstheme="majorBidi"/>
      <w:b/>
      <w:bCs/>
      <w:kern w:val="32"/>
      <w:sz w:val="32"/>
      <w:szCs w:val="32"/>
      <w:lang w:val="en-US"/>
    </w:rPr>
  </w:style>
  <w:style w:type="character" w:customStyle="1" w:styleId="Heading3Char">
    <w:name w:val="Heading 3 Char"/>
    <w:basedOn w:val="DefaultParagraphFont"/>
    <w:link w:val="Heading3"/>
    <w:uiPriority w:val="9"/>
    <w:rsid w:val="00A545D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A545D3"/>
    <w:rPr>
      <w:b/>
      <w:bCs/>
      <w:sz w:val="28"/>
      <w:szCs w:val="28"/>
      <w:lang w:val="en-US"/>
    </w:rPr>
  </w:style>
  <w:style w:type="character" w:customStyle="1" w:styleId="Heading5Char">
    <w:name w:val="Heading 5 Char"/>
    <w:basedOn w:val="DefaultParagraphFont"/>
    <w:link w:val="Heading5"/>
    <w:uiPriority w:val="9"/>
    <w:semiHidden/>
    <w:rsid w:val="00A545D3"/>
    <w:rPr>
      <w:b/>
      <w:bCs/>
      <w:i/>
      <w:iCs/>
      <w:sz w:val="26"/>
      <w:szCs w:val="26"/>
      <w:lang w:val="en-US"/>
    </w:rPr>
  </w:style>
  <w:style w:type="character" w:customStyle="1" w:styleId="Heading6Char">
    <w:name w:val="Heading 6 Char"/>
    <w:basedOn w:val="DefaultParagraphFont"/>
    <w:link w:val="Heading6"/>
    <w:rsid w:val="00A545D3"/>
    <w:rPr>
      <w:rFonts w:ascii="Times New Roman" w:eastAsia="Times New Roman" w:hAnsi="Times New Roman" w:cs="Times New Roman"/>
      <w:b/>
      <w:bCs/>
      <w:sz w:val="22"/>
      <w:szCs w:val="22"/>
      <w:lang w:val="en-US"/>
    </w:rPr>
  </w:style>
  <w:style w:type="character" w:customStyle="1" w:styleId="Heading7Char">
    <w:name w:val="Heading 7 Char"/>
    <w:basedOn w:val="DefaultParagraphFont"/>
    <w:link w:val="Heading7"/>
    <w:uiPriority w:val="9"/>
    <w:semiHidden/>
    <w:rsid w:val="00A545D3"/>
    <w:rPr>
      <w:lang w:val="en-US"/>
    </w:rPr>
  </w:style>
  <w:style w:type="character" w:customStyle="1" w:styleId="Heading8Char">
    <w:name w:val="Heading 8 Char"/>
    <w:basedOn w:val="DefaultParagraphFont"/>
    <w:link w:val="Heading8"/>
    <w:uiPriority w:val="9"/>
    <w:semiHidden/>
    <w:rsid w:val="00A545D3"/>
    <w:rPr>
      <w:i/>
      <w:iCs/>
      <w:lang w:val="en-US"/>
    </w:rPr>
  </w:style>
  <w:style w:type="character" w:customStyle="1" w:styleId="Heading9Char">
    <w:name w:val="Heading 9 Char"/>
    <w:basedOn w:val="DefaultParagraphFont"/>
    <w:link w:val="Heading9"/>
    <w:uiPriority w:val="9"/>
    <w:semiHidden/>
    <w:rsid w:val="00A545D3"/>
    <w:rPr>
      <w:rFonts w:asciiTheme="majorHAnsi" w:eastAsiaTheme="majorEastAsia" w:hAnsiTheme="majorHAnsi" w:cstheme="majorBidi"/>
      <w:sz w:val="22"/>
      <w:szCs w:val="22"/>
      <w:lang w:val="en-US"/>
    </w:rPr>
  </w:style>
  <w:style w:type="paragraph" w:styleId="Header">
    <w:name w:val="header"/>
    <w:basedOn w:val="Normal"/>
    <w:link w:val="HeaderChar"/>
    <w:uiPriority w:val="99"/>
    <w:unhideWhenUsed/>
    <w:rsid w:val="00EB6A44"/>
    <w:pPr>
      <w:tabs>
        <w:tab w:val="center" w:pos="4320"/>
        <w:tab w:val="right" w:pos="8640"/>
      </w:tabs>
    </w:pPr>
  </w:style>
  <w:style w:type="character" w:customStyle="1" w:styleId="HeaderChar">
    <w:name w:val="Header Char"/>
    <w:basedOn w:val="DefaultParagraphFont"/>
    <w:link w:val="Header"/>
    <w:uiPriority w:val="99"/>
    <w:rsid w:val="00EB6A44"/>
  </w:style>
  <w:style w:type="character" w:styleId="FollowedHyperlink">
    <w:name w:val="FollowedHyperlink"/>
    <w:basedOn w:val="DefaultParagraphFont"/>
    <w:uiPriority w:val="99"/>
    <w:semiHidden/>
    <w:unhideWhenUsed/>
    <w:rsid w:val="00E859F8"/>
    <w:rPr>
      <w:color w:val="800080" w:themeColor="followedHyperlink"/>
      <w:u w:val="single"/>
    </w:rPr>
  </w:style>
  <w:style w:type="paragraph" w:customStyle="1" w:styleId="H23G">
    <w:name w:val="_ H_2/3_G"/>
    <w:basedOn w:val="Normal"/>
    <w:next w:val="Normal"/>
    <w:link w:val="H23GChar"/>
    <w:rsid w:val="00D62979"/>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character" w:customStyle="1" w:styleId="H23GChar">
    <w:name w:val="_ H_2/3_G Char"/>
    <w:basedOn w:val="DefaultParagraphFont"/>
    <w:link w:val="H23G"/>
    <w:rsid w:val="00D62979"/>
    <w:rPr>
      <w:rFonts w:ascii="Times New Roman" w:eastAsia="Times New Roman" w:hAnsi="Times New Roman" w:cs="Times New Roman"/>
      <w:b/>
      <w:sz w:val="20"/>
      <w:szCs w:val="20"/>
    </w:rPr>
  </w:style>
  <w:style w:type="paragraph" w:styleId="HTMLPreformatted">
    <w:name w:val="HTML Preformatted"/>
    <w:basedOn w:val="Normal"/>
    <w:link w:val="HTMLPreformattedChar"/>
    <w:uiPriority w:val="99"/>
    <w:unhideWhenUsed/>
    <w:rsid w:val="00221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214C5"/>
    <w:rPr>
      <w:rFonts w:ascii="Courier" w:hAnsi="Courier" w:cs="Courier"/>
      <w:sz w:val="20"/>
      <w:szCs w:val="20"/>
    </w:rPr>
  </w:style>
  <w:style w:type="character" w:customStyle="1" w:styleId="quote1">
    <w:name w:val="quote1"/>
    <w:basedOn w:val="DefaultParagraphFont"/>
    <w:rsid w:val="00594E05"/>
  </w:style>
  <w:style w:type="character" w:customStyle="1" w:styleId="pagenumber0">
    <w:name w:val="pagenumber"/>
    <w:basedOn w:val="DefaultParagraphFont"/>
    <w:rsid w:val="00B018B6"/>
  </w:style>
  <w:style w:type="character" w:customStyle="1" w:styleId="hi">
    <w:name w:val="hi"/>
    <w:basedOn w:val="DefaultParagraphFont"/>
    <w:rsid w:val="003F6FD2"/>
  </w:style>
  <w:style w:type="character" w:styleId="Strong">
    <w:name w:val="Strong"/>
    <w:basedOn w:val="DefaultParagraphFont"/>
    <w:uiPriority w:val="22"/>
    <w:qFormat/>
    <w:rsid w:val="00E1423B"/>
    <w:rPr>
      <w:b/>
      <w:bCs/>
    </w:rPr>
  </w:style>
  <w:style w:type="paragraph" w:styleId="CommentSubject">
    <w:name w:val="annotation subject"/>
    <w:basedOn w:val="CommentText"/>
    <w:next w:val="CommentText"/>
    <w:link w:val="CommentSubjectChar"/>
    <w:uiPriority w:val="99"/>
    <w:semiHidden/>
    <w:unhideWhenUsed/>
    <w:rsid w:val="00B2494C"/>
    <w:rPr>
      <w:b/>
      <w:bCs/>
      <w:sz w:val="20"/>
      <w:szCs w:val="20"/>
    </w:rPr>
  </w:style>
  <w:style w:type="character" w:customStyle="1" w:styleId="CommentSubjectChar">
    <w:name w:val="Comment Subject Char"/>
    <w:basedOn w:val="CommentTextChar"/>
    <w:link w:val="CommentSubject"/>
    <w:uiPriority w:val="99"/>
    <w:semiHidden/>
    <w:rsid w:val="00B2494C"/>
    <w:rPr>
      <w:b/>
      <w:bCs/>
      <w:sz w:val="20"/>
      <w:szCs w:val="20"/>
    </w:rPr>
  </w:style>
  <w:style w:type="table" w:styleId="LightShading-Accent1">
    <w:name w:val="Light Shading Accent 1"/>
    <w:basedOn w:val="TableNormal"/>
    <w:uiPriority w:val="60"/>
    <w:rsid w:val="005A77DB"/>
    <w:rPr>
      <w:color w:val="365F91" w:themeColor="accent1" w:themeShade="BF"/>
      <w:sz w:val="22"/>
      <w:szCs w:val="22"/>
      <w:lang w:eastAsia="nb-NO"/>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984B89"/>
    <w:pPr>
      <w:numPr>
        <w:ilvl w:val="1"/>
      </w:numPr>
      <w:spacing w:after="180" w:line="274" w:lineRule="auto"/>
    </w:pPr>
    <w:rPr>
      <w:rFonts w:eastAsiaTheme="majorEastAsia" w:cstheme="majorBidi"/>
      <w:iCs/>
      <w:color w:val="1F497D" w:themeColor="text2"/>
      <w:sz w:val="40"/>
      <w:lang w:bidi="hi-IN"/>
    </w:rPr>
  </w:style>
  <w:style w:type="character" w:customStyle="1" w:styleId="SubtitleChar">
    <w:name w:val="Subtitle Char"/>
    <w:basedOn w:val="DefaultParagraphFont"/>
    <w:link w:val="Subtitle"/>
    <w:uiPriority w:val="11"/>
    <w:rsid w:val="00984B89"/>
    <w:rPr>
      <w:rFonts w:eastAsiaTheme="majorEastAsia" w:cstheme="majorBidi"/>
      <w:iCs/>
      <w:color w:val="1F497D" w:themeColor="text2"/>
      <w:sz w:val="40"/>
      <w:lang w:bidi="hi-IN"/>
    </w:rPr>
  </w:style>
  <w:style w:type="paragraph" w:styleId="Title">
    <w:name w:val="Title"/>
    <w:basedOn w:val="Normal"/>
    <w:next w:val="Normal"/>
    <w:link w:val="TitleChar"/>
    <w:uiPriority w:val="10"/>
    <w:qFormat/>
    <w:rsid w:val="004C0678"/>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4C0678"/>
    <w:rPr>
      <w:rFonts w:asciiTheme="majorHAnsi" w:eastAsiaTheme="majorEastAsia" w:hAnsiTheme="majorHAnsi" w:cstheme="majorBidi"/>
      <w:color w:val="1F497D" w:themeColor="text2"/>
      <w:spacing w:val="30"/>
      <w:kern w:val="28"/>
      <w:sz w:val="96"/>
      <w:szCs w:val="52"/>
    </w:rPr>
  </w:style>
  <w:style w:type="paragraph" w:styleId="Revision">
    <w:name w:val="Revision"/>
    <w:hidden/>
    <w:uiPriority w:val="99"/>
    <w:semiHidden/>
    <w:rsid w:val="00D74DEC"/>
  </w:style>
  <w:style w:type="paragraph" w:styleId="TOCHeading">
    <w:name w:val="TOC Heading"/>
    <w:basedOn w:val="Heading1"/>
    <w:next w:val="Normal"/>
    <w:uiPriority w:val="39"/>
    <w:semiHidden/>
    <w:unhideWhenUsed/>
    <w:qFormat/>
    <w:rsid w:val="00471761"/>
    <w:pPr>
      <w:keepLines/>
      <w:spacing w:before="480" w:after="0" w:line="276" w:lineRule="auto"/>
      <w:outlineLvl w:val="9"/>
    </w:pPr>
    <w:rPr>
      <w:color w:val="365F91" w:themeColor="accent1" w:themeShade="BF"/>
      <w:kern w:val="0"/>
      <w:sz w:val="28"/>
      <w:szCs w:val="28"/>
      <w:lang w:eastAsia="ja-JP"/>
    </w:rPr>
  </w:style>
  <w:style w:type="paragraph" w:styleId="TOC1">
    <w:name w:val="toc 1"/>
    <w:basedOn w:val="Normal"/>
    <w:next w:val="Normal"/>
    <w:autoRedefine/>
    <w:uiPriority w:val="39"/>
    <w:unhideWhenUsed/>
    <w:rsid w:val="00471761"/>
    <w:pPr>
      <w:spacing w:after="100"/>
    </w:pPr>
  </w:style>
  <w:style w:type="paragraph" w:styleId="TOC3">
    <w:name w:val="toc 3"/>
    <w:basedOn w:val="Normal"/>
    <w:next w:val="Normal"/>
    <w:autoRedefine/>
    <w:uiPriority w:val="39"/>
    <w:unhideWhenUsed/>
    <w:rsid w:val="00471761"/>
    <w:pPr>
      <w:spacing w:after="100"/>
      <w:ind w:left="480"/>
    </w:pPr>
  </w:style>
  <w:style w:type="paragraph" w:styleId="TOC2">
    <w:name w:val="toc 2"/>
    <w:basedOn w:val="Normal"/>
    <w:next w:val="Normal"/>
    <w:autoRedefine/>
    <w:uiPriority w:val="39"/>
    <w:unhideWhenUsed/>
    <w:rsid w:val="0082288E"/>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BC"/>
  </w:style>
  <w:style w:type="paragraph" w:styleId="Heading1">
    <w:name w:val="heading 1"/>
    <w:basedOn w:val="Normal"/>
    <w:next w:val="Normal"/>
    <w:link w:val="Heading1Char"/>
    <w:uiPriority w:val="9"/>
    <w:qFormat/>
    <w:rsid w:val="00A545D3"/>
    <w:pPr>
      <w:keepNext/>
      <w:spacing w:before="240" w:after="6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4E5EBC"/>
    <w:pPr>
      <w:spacing w:before="240" w:after="80" w:line="276" w:lineRule="auto"/>
      <w:outlineLvl w:val="1"/>
    </w:pPr>
    <w:rPr>
      <w:smallCaps/>
      <w:spacing w:val="5"/>
      <w:sz w:val="28"/>
      <w:szCs w:val="28"/>
      <w:lang w:val="en-US"/>
    </w:rPr>
  </w:style>
  <w:style w:type="paragraph" w:styleId="Heading3">
    <w:name w:val="heading 3"/>
    <w:basedOn w:val="Normal"/>
    <w:next w:val="Normal"/>
    <w:link w:val="Heading3Char"/>
    <w:uiPriority w:val="9"/>
    <w:unhideWhenUsed/>
    <w:qFormat/>
    <w:rsid w:val="00A545D3"/>
    <w:pPr>
      <w:keepNext/>
      <w:spacing w:before="240" w:after="6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A545D3"/>
    <w:pPr>
      <w:keepNext/>
      <w:numPr>
        <w:ilvl w:val="3"/>
        <w:numId w:val="1"/>
      </w:numPr>
      <w:spacing w:before="240" w:after="60"/>
      <w:outlineLvl w:val="3"/>
    </w:pPr>
    <w:rPr>
      <w:b/>
      <w:bCs/>
      <w:sz w:val="28"/>
      <w:szCs w:val="28"/>
      <w:lang w:val="en-US"/>
    </w:rPr>
  </w:style>
  <w:style w:type="paragraph" w:styleId="Heading5">
    <w:name w:val="heading 5"/>
    <w:basedOn w:val="Normal"/>
    <w:next w:val="Normal"/>
    <w:link w:val="Heading5Char"/>
    <w:uiPriority w:val="9"/>
    <w:semiHidden/>
    <w:unhideWhenUsed/>
    <w:qFormat/>
    <w:rsid w:val="00A545D3"/>
    <w:pPr>
      <w:numPr>
        <w:ilvl w:val="4"/>
        <w:numId w:val="1"/>
      </w:numPr>
      <w:spacing w:before="240" w:after="60"/>
      <w:outlineLvl w:val="4"/>
    </w:pPr>
    <w:rPr>
      <w:b/>
      <w:bCs/>
      <w:i/>
      <w:iCs/>
      <w:sz w:val="26"/>
      <w:szCs w:val="26"/>
      <w:lang w:val="en-US"/>
    </w:rPr>
  </w:style>
  <w:style w:type="paragraph" w:styleId="Heading6">
    <w:name w:val="heading 6"/>
    <w:basedOn w:val="Normal"/>
    <w:next w:val="Normal"/>
    <w:link w:val="Heading6Char"/>
    <w:qFormat/>
    <w:rsid w:val="00A545D3"/>
    <w:pPr>
      <w:numPr>
        <w:ilvl w:val="5"/>
        <w:numId w:val="1"/>
      </w:numPr>
      <w:spacing w:before="240" w:after="60"/>
      <w:outlineLvl w:val="5"/>
    </w:pPr>
    <w:rPr>
      <w:rFonts w:ascii="Times New Roman" w:eastAsia="Times New Roman" w:hAnsi="Times New Roman" w:cs="Times New Roman"/>
      <w:b/>
      <w:bCs/>
      <w:sz w:val="22"/>
      <w:szCs w:val="22"/>
      <w:lang w:val="en-US"/>
    </w:rPr>
  </w:style>
  <w:style w:type="paragraph" w:styleId="Heading7">
    <w:name w:val="heading 7"/>
    <w:basedOn w:val="Normal"/>
    <w:next w:val="Normal"/>
    <w:link w:val="Heading7Char"/>
    <w:uiPriority w:val="9"/>
    <w:semiHidden/>
    <w:unhideWhenUsed/>
    <w:qFormat/>
    <w:rsid w:val="00A545D3"/>
    <w:pPr>
      <w:numPr>
        <w:ilvl w:val="6"/>
        <w:numId w:val="1"/>
      </w:numPr>
      <w:spacing w:before="240" w:after="60"/>
      <w:outlineLvl w:val="6"/>
    </w:pPr>
    <w:rPr>
      <w:lang w:val="en-US"/>
    </w:rPr>
  </w:style>
  <w:style w:type="paragraph" w:styleId="Heading8">
    <w:name w:val="heading 8"/>
    <w:basedOn w:val="Normal"/>
    <w:next w:val="Normal"/>
    <w:link w:val="Heading8Char"/>
    <w:uiPriority w:val="9"/>
    <w:semiHidden/>
    <w:unhideWhenUsed/>
    <w:qFormat/>
    <w:rsid w:val="00A545D3"/>
    <w:pPr>
      <w:numPr>
        <w:ilvl w:val="7"/>
        <w:numId w:val="1"/>
      </w:numPr>
      <w:spacing w:before="240" w:after="60"/>
      <w:outlineLvl w:val="7"/>
    </w:pPr>
    <w:rPr>
      <w:i/>
      <w:iCs/>
      <w:lang w:val="en-US"/>
    </w:rPr>
  </w:style>
  <w:style w:type="paragraph" w:styleId="Heading9">
    <w:name w:val="heading 9"/>
    <w:basedOn w:val="Normal"/>
    <w:next w:val="Normal"/>
    <w:link w:val="Heading9Char"/>
    <w:uiPriority w:val="9"/>
    <w:semiHidden/>
    <w:unhideWhenUsed/>
    <w:qFormat/>
    <w:rsid w:val="00A545D3"/>
    <w:pPr>
      <w:numPr>
        <w:ilvl w:val="8"/>
        <w:numId w:val="1"/>
      </w:numPr>
      <w:spacing w:before="240" w:after="6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5EBC"/>
    <w:rPr>
      <w:smallCaps/>
      <w:spacing w:val="5"/>
      <w:sz w:val="28"/>
      <w:szCs w:val="28"/>
      <w:lang w:val="en-US"/>
    </w:rPr>
  </w:style>
  <w:style w:type="paragraph" w:styleId="ListParagraph">
    <w:name w:val="List Paragraph"/>
    <w:basedOn w:val="Normal"/>
    <w:uiPriority w:val="34"/>
    <w:qFormat/>
    <w:rsid w:val="004E5EBC"/>
    <w:pPr>
      <w:ind w:left="720"/>
      <w:contextualSpacing/>
    </w:pPr>
  </w:style>
  <w:style w:type="paragraph" w:styleId="FootnoteText">
    <w:name w:val="footnote text"/>
    <w:aliases w:val="5_G"/>
    <w:basedOn w:val="Normal"/>
    <w:link w:val="FootnoteTextChar"/>
    <w:uiPriority w:val="99"/>
    <w:unhideWhenUsed/>
    <w:qFormat/>
    <w:rsid w:val="004E5EBC"/>
    <w:pPr>
      <w:jc w:val="both"/>
    </w:pPr>
    <w:rPr>
      <w:sz w:val="20"/>
      <w:szCs w:val="20"/>
      <w:lang w:val="en-US"/>
    </w:rPr>
  </w:style>
  <w:style w:type="character" w:customStyle="1" w:styleId="FootnoteTextChar">
    <w:name w:val="Footnote Text Char"/>
    <w:aliases w:val="5_G Char"/>
    <w:basedOn w:val="DefaultParagraphFont"/>
    <w:link w:val="FootnoteText"/>
    <w:uiPriority w:val="99"/>
    <w:rsid w:val="004E5EBC"/>
    <w:rPr>
      <w:sz w:val="20"/>
      <w:szCs w:val="20"/>
      <w:lang w:val="en-US"/>
    </w:rPr>
  </w:style>
  <w:style w:type="character" w:styleId="FootnoteReference">
    <w:name w:val="footnote reference"/>
    <w:aliases w:val="4_G"/>
    <w:basedOn w:val="DefaultParagraphFont"/>
    <w:uiPriority w:val="99"/>
    <w:unhideWhenUsed/>
    <w:rsid w:val="004E5EBC"/>
    <w:rPr>
      <w:vertAlign w:val="superscript"/>
    </w:rPr>
  </w:style>
  <w:style w:type="paragraph" w:customStyle="1" w:styleId="SingleTxt">
    <w:name w:val="__Single Txt"/>
    <w:basedOn w:val="Normal"/>
    <w:rsid w:val="004E5EB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rPr>
  </w:style>
  <w:style w:type="paragraph" w:styleId="NormalWeb">
    <w:name w:val="Normal (Web)"/>
    <w:basedOn w:val="Normal"/>
    <w:uiPriority w:val="99"/>
    <w:unhideWhenUsed/>
    <w:rsid w:val="004E5EBC"/>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4E5EBC"/>
    <w:pPr>
      <w:tabs>
        <w:tab w:val="center" w:pos="4320"/>
        <w:tab w:val="right" w:pos="8640"/>
      </w:tabs>
    </w:pPr>
  </w:style>
  <w:style w:type="character" w:customStyle="1" w:styleId="FooterChar">
    <w:name w:val="Footer Char"/>
    <w:basedOn w:val="DefaultParagraphFont"/>
    <w:link w:val="Footer"/>
    <w:uiPriority w:val="99"/>
    <w:rsid w:val="004E5EBC"/>
  </w:style>
  <w:style w:type="character" w:styleId="CommentReference">
    <w:name w:val="annotation reference"/>
    <w:basedOn w:val="DefaultParagraphFont"/>
    <w:uiPriority w:val="99"/>
    <w:semiHidden/>
    <w:unhideWhenUsed/>
    <w:rsid w:val="004E5EBC"/>
    <w:rPr>
      <w:sz w:val="18"/>
      <w:szCs w:val="18"/>
    </w:rPr>
  </w:style>
  <w:style w:type="paragraph" w:styleId="CommentText">
    <w:name w:val="annotation text"/>
    <w:basedOn w:val="Normal"/>
    <w:link w:val="CommentTextChar"/>
    <w:uiPriority w:val="99"/>
    <w:semiHidden/>
    <w:unhideWhenUsed/>
    <w:rsid w:val="004E5EBC"/>
  </w:style>
  <w:style w:type="character" w:customStyle="1" w:styleId="CommentTextChar">
    <w:name w:val="Comment Text Char"/>
    <w:basedOn w:val="DefaultParagraphFont"/>
    <w:link w:val="CommentText"/>
    <w:uiPriority w:val="99"/>
    <w:semiHidden/>
    <w:rsid w:val="004E5EBC"/>
  </w:style>
  <w:style w:type="paragraph" w:styleId="BalloonText">
    <w:name w:val="Balloon Text"/>
    <w:basedOn w:val="Normal"/>
    <w:link w:val="BalloonTextChar"/>
    <w:uiPriority w:val="99"/>
    <w:semiHidden/>
    <w:unhideWhenUsed/>
    <w:rsid w:val="004E5E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EBC"/>
    <w:rPr>
      <w:rFonts w:ascii="Lucida Grande" w:hAnsi="Lucida Grande" w:cs="Lucida Grande"/>
      <w:sz w:val="18"/>
      <w:szCs w:val="18"/>
    </w:rPr>
  </w:style>
  <w:style w:type="paragraph" w:styleId="NoSpacing">
    <w:name w:val="No Spacing"/>
    <w:basedOn w:val="Normal"/>
    <w:link w:val="NoSpacingChar"/>
    <w:uiPriority w:val="1"/>
    <w:qFormat/>
    <w:rsid w:val="004E5EBC"/>
    <w:pPr>
      <w:jc w:val="both"/>
    </w:pPr>
    <w:rPr>
      <w:sz w:val="20"/>
      <w:szCs w:val="20"/>
      <w:lang w:val="en-US"/>
    </w:rPr>
  </w:style>
  <w:style w:type="character" w:customStyle="1" w:styleId="NoSpacingChar">
    <w:name w:val="No Spacing Char"/>
    <w:basedOn w:val="DefaultParagraphFont"/>
    <w:link w:val="NoSpacing"/>
    <w:uiPriority w:val="1"/>
    <w:rsid w:val="004E5EBC"/>
    <w:rPr>
      <w:sz w:val="20"/>
      <w:szCs w:val="20"/>
      <w:lang w:val="en-US"/>
    </w:rPr>
  </w:style>
  <w:style w:type="character" w:customStyle="1" w:styleId="apple-converted-space">
    <w:name w:val="apple-converted-space"/>
    <w:basedOn w:val="DefaultParagraphFont"/>
    <w:rsid w:val="004E5EBC"/>
  </w:style>
  <w:style w:type="character" w:styleId="Hyperlink">
    <w:name w:val="Hyperlink"/>
    <w:basedOn w:val="DefaultParagraphFont"/>
    <w:uiPriority w:val="99"/>
    <w:unhideWhenUsed/>
    <w:rsid w:val="004E5EBC"/>
    <w:rPr>
      <w:color w:val="0000FF"/>
      <w:u w:val="single"/>
    </w:rPr>
  </w:style>
  <w:style w:type="character" w:styleId="PageNumber">
    <w:name w:val="page number"/>
    <w:basedOn w:val="DefaultParagraphFont"/>
    <w:uiPriority w:val="99"/>
    <w:semiHidden/>
    <w:unhideWhenUsed/>
    <w:rsid w:val="004E5EBC"/>
  </w:style>
  <w:style w:type="character" w:styleId="Emphasis">
    <w:name w:val="Emphasis"/>
    <w:basedOn w:val="DefaultParagraphFont"/>
    <w:uiPriority w:val="20"/>
    <w:qFormat/>
    <w:rsid w:val="000A3B73"/>
    <w:rPr>
      <w:i/>
      <w:iCs/>
    </w:rPr>
  </w:style>
  <w:style w:type="character" w:customStyle="1" w:styleId="Heading1Char">
    <w:name w:val="Heading 1 Char"/>
    <w:basedOn w:val="DefaultParagraphFont"/>
    <w:link w:val="Heading1"/>
    <w:uiPriority w:val="9"/>
    <w:rsid w:val="00A545D3"/>
    <w:rPr>
      <w:rFonts w:asciiTheme="majorHAnsi" w:eastAsiaTheme="majorEastAsia" w:hAnsiTheme="majorHAnsi" w:cstheme="majorBidi"/>
      <w:b/>
      <w:bCs/>
      <w:kern w:val="32"/>
      <w:sz w:val="32"/>
      <w:szCs w:val="32"/>
      <w:lang w:val="en-US"/>
    </w:rPr>
  </w:style>
  <w:style w:type="character" w:customStyle="1" w:styleId="Heading3Char">
    <w:name w:val="Heading 3 Char"/>
    <w:basedOn w:val="DefaultParagraphFont"/>
    <w:link w:val="Heading3"/>
    <w:uiPriority w:val="9"/>
    <w:rsid w:val="00A545D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A545D3"/>
    <w:rPr>
      <w:b/>
      <w:bCs/>
      <w:sz w:val="28"/>
      <w:szCs w:val="28"/>
      <w:lang w:val="en-US"/>
    </w:rPr>
  </w:style>
  <w:style w:type="character" w:customStyle="1" w:styleId="Heading5Char">
    <w:name w:val="Heading 5 Char"/>
    <w:basedOn w:val="DefaultParagraphFont"/>
    <w:link w:val="Heading5"/>
    <w:uiPriority w:val="9"/>
    <w:semiHidden/>
    <w:rsid w:val="00A545D3"/>
    <w:rPr>
      <w:b/>
      <w:bCs/>
      <w:i/>
      <w:iCs/>
      <w:sz w:val="26"/>
      <w:szCs w:val="26"/>
      <w:lang w:val="en-US"/>
    </w:rPr>
  </w:style>
  <w:style w:type="character" w:customStyle="1" w:styleId="Heading6Char">
    <w:name w:val="Heading 6 Char"/>
    <w:basedOn w:val="DefaultParagraphFont"/>
    <w:link w:val="Heading6"/>
    <w:rsid w:val="00A545D3"/>
    <w:rPr>
      <w:rFonts w:ascii="Times New Roman" w:eastAsia="Times New Roman" w:hAnsi="Times New Roman" w:cs="Times New Roman"/>
      <w:b/>
      <w:bCs/>
      <w:sz w:val="22"/>
      <w:szCs w:val="22"/>
      <w:lang w:val="en-US"/>
    </w:rPr>
  </w:style>
  <w:style w:type="character" w:customStyle="1" w:styleId="Heading7Char">
    <w:name w:val="Heading 7 Char"/>
    <w:basedOn w:val="DefaultParagraphFont"/>
    <w:link w:val="Heading7"/>
    <w:uiPriority w:val="9"/>
    <w:semiHidden/>
    <w:rsid w:val="00A545D3"/>
    <w:rPr>
      <w:lang w:val="en-US"/>
    </w:rPr>
  </w:style>
  <w:style w:type="character" w:customStyle="1" w:styleId="Heading8Char">
    <w:name w:val="Heading 8 Char"/>
    <w:basedOn w:val="DefaultParagraphFont"/>
    <w:link w:val="Heading8"/>
    <w:uiPriority w:val="9"/>
    <w:semiHidden/>
    <w:rsid w:val="00A545D3"/>
    <w:rPr>
      <w:i/>
      <w:iCs/>
      <w:lang w:val="en-US"/>
    </w:rPr>
  </w:style>
  <w:style w:type="character" w:customStyle="1" w:styleId="Heading9Char">
    <w:name w:val="Heading 9 Char"/>
    <w:basedOn w:val="DefaultParagraphFont"/>
    <w:link w:val="Heading9"/>
    <w:uiPriority w:val="9"/>
    <w:semiHidden/>
    <w:rsid w:val="00A545D3"/>
    <w:rPr>
      <w:rFonts w:asciiTheme="majorHAnsi" w:eastAsiaTheme="majorEastAsia" w:hAnsiTheme="majorHAnsi" w:cstheme="majorBidi"/>
      <w:sz w:val="22"/>
      <w:szCs w:val="22"/>
      <w:lang w:val="en-US"/>
    </w:rPr>
  </w:style>
  <w:style w:type="paragraph" w:styleId="Header">
    <w:name w:val="header"/>
    <w:basedOn w:val="Normal"/>
    <w:link w:val="HeaderChar"/>
    <w:uiPriority w:val="99"/>
    <w:unhideWhenUsed/>
    <w:rsid w:val="00EB6A44"/>
    <w:pPr>
      <w:tabs>
        <w:tab w:val="center" w:pos="4320"/>
        <w:tab w:val="right" w:pos="8640"/>
      </w:tabs>
    </w:pPr>
  </w:style>
  <w:style w:type="character" w:customStyle="1" w:styleId="HeaderChar">
    <w:name w:val="Header Char"/>
    <w:basedOn w:val="DefaultParagraphFont"/>
    <w:link w:val="Header"/>
    <w:uiPriority w:val="99"/>
    <w:rsid w:val="00EB6A44"/>
  </w:style>
  <w:style w:type="character" w:styleId="FollowedHyperlink">
    <w:name w:val="FollowedHyperlink"/>
    <w:basedOn w:val="DefaultParagraphFont"/>
    <w:uiPriority w:val="99"/>
    <w:semiHidden/>
    <w:unhideWhenUsed/>
    <w:rsid w:val="00E859F8"/>
    <w:rPr>
      <w:color w:val="800080" w:themeColor="followedHyperlink"/>
      <w:u w:val="single"/>
    </w:rPr>
  </w:style>
  <w:style w:type="paragraph" w:customStyle="1" w:styleId="H23G">
    <w:name w:val="_ H_2/3_G"/>
    <w:basedOn w:val="Normal"/>
    <w:next w:val="Normal"/>
    <w:link w:val="H23GChar"/>
    <w:rsid w:val="00D62979"/>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character" w:customStyle="1" w:styleId="H23GChar">
    <w:name w:val="_ H_2/3_G Char"/>
    <w:basedOn w:val="DefaultParagraphFont"/>
    <w:link w:val="H23G"/>
    <w:rsid w:val="00D62979"/>
    <w:rPr>
      <w:rFonts w:ascii="Times New Roman" w:eastAsia="Times New Roman" w:hAnsi="Times New Roman" w:cs="Times New Roman"/>
      <w:b/>
      <w:sz w:val="20"/>
      <w:szCs w:val="20"/>
    </w:rPr>
  </w:style>
  <w:style w:type="paragraph" w:styleId="HTMLPreformatted">
    <w:name w:val="HTML Preformatted"/>
    <w:basedOn w:val="Normal"/>
    <w:link w:val="HTMLPreformattedChar"/>
    <w:uiPriority w:val="99"/>
    <w:unhideWhenUsed/>
    <w:rsid w:val="00221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214C5"/>
    <w:rPr>
      <w:rFonts w:ascii="Courier" w:hAnsi="Courier" w:cs="Courier"/>
      <w:sz w:val="20"/>
      <w:szCs w:val="20"/>
    </w:rPr>
  </w:style>
  <w:style w:type="character" w:customStyle="1" w:styleId="quote1">
    <w:name w:val="quote1"/>
    <w:basedOn w:val="DefaultParagraphFont"/>
    <w:rsid w:val="00594E05"/>
  </w:style>
  <w:style w:type="character" w:customStyle="1" w:styleId="pagenumber0">
    <w:name w:val="pagenumber"/>
    <w:basedOn w:val="DefaultParagraphFont"/>
    <w:rsid w:val="00B018B6"/>
  </w:style>
  <w:style w:type="character" w:customStyle="1" w:styleId="hi">
    <w:name w:val="hi"/>
    <w:basedOn w:val="DefaultParagraphFont"/>
    <w:rsid w:val="003F6FD2"/>
  </w:style>
  <w:style w:type="character" w:styleId="Strong">
    <w:name w:val="Strong"/>
    <w:basedOn w:val="DefaultParagraphFont"/>
    <w:uiPriority w:val="22"/>
    <w:qFormat/>
    <w:rsid w:val="00E1423B"/>
    <w:rPr>
      <w:b/>
      <w:bCs/>
    </w:rPr>
  </w:style>
  <w:style w:type="paragraph" w:styleId="CommentSubject">
    <w:name w:val="annotation subject"/>
    <w:basedOn w:val="CommentText"/>
    <w:next w:val="CommentText"/>
    <w:link w:val="CommentSubjectChar"/>
    <w:uiPriority w:val="99"/>
    <w:semiHidden/>
    <w:unhideWhenUsed/>
    <w:rsid w:val="00B2494C"/>
    <w:rPr>
      <w:b/>
      <w:bCs/>
      <w:sz w:val="20"/>
      <w:szCs w:val="20"/>
    </w:rPr>
  </w:style>
  <w:style w:type="character" w:customStyle="1" w:styleId="CommentSubjectChar">
    <w:name w:val="Comment Subject Char"/>
    <w:basedOn w:val="CommentTextChar"/>
    <w:link w:val="CommentSubject"/>
    <w:uiPriority w:val="99"/>
    <w:semiHidden/>
    <w:rsid w:val="00B2494C"/>
    <w:rPr>
      <w:b/>
      <w:bCs/>
      <w:sz w:val="20"/>
      <w:szCs w:val="20"/>
    </w:rPr>
  </w:style>
  <w:style w:type="table" w:styleId="LightShading-Accent1">
    <w:name w:val="Light Shading Accent 1"/>
    <w:basedOn w:val="TableNormal"/>
    <w:uiPriority w:val="60"/>
    <w:rsid w:val="005A77DB"/>
    <w:rPr>
      <w:color w:val="365F91" w:themeColor="accent1" w:themeShade="BF"/>
      <w:sz w:val="22"/>
      <w:szCs w:val="22"/>
      <w:lang w:eastAsia="nb-NO"/>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984B89"/>
    <w:pPr>
      <w:numPr>
        <w:ilvl w:val="1"/>
      </w:numPr>
      <w:spacing w:after="180" w:line="274" w:lineRule="auto"/>
    </w:pPr>
    <w:rPr>
      <w:rFonts w:eastAsiaTheme="majorEastAsia" w:cstheme="majorBidi"/>
      <w:iCs/>
      <w:color w:val="1F497D" w:themeColor="text2"/>
      <w:sz w:val="40"/>
      <w:lang w:bidi="hi-IN"/>
    </w:rPr>
  </w:style>
  <w:style w:type="character" w:customStyle="1" w:styleId="SubtitleChar">
    <w:name w:val="Subtitle Char"/>
    <w:basedOn w:val="DefaultParagraphFont"/>
    <w:link w:val="Subtitle"/>
    <w:uiPriority w:val="11"/>
    <w:rsid w:val="00984B89"/>
    <w:rPr>
      <w:rFonts w:eastAsiaTheme="majorEastAsia" w:cstheme="majorBidi"/>
      <w:iCs/>
      <w:color w:val="1F497D" w:themeColor="text2"/>
      <w:sz w:val="40"/>
      <w:lang w:bidi="hi-IN"/>
    </w:rPr>
  </w:style>
  <w:style w:type="paragraph" w:styleId="Title">
    <w:name w:val="Title"/>
    <w:basedOn w:val="Normal"/>
    <w:next w:val="Normal"/>
    <w:link w:val="TitleChar"/>
    <w:uiPriority w:val="10"/>
    <w:qFormat/>
    <w:rsid w:val="004C0678"/>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4C0678"/>
    <w:rPr>
      <w:rFonts w:asciiTheme="majorHAnsi" w:eastAsiaTheme="majorEastAsia" w:hAnsiTheme="majorHAnsi" w:cstheme="majorBidi"/>
      <w:color w:val="1F497D" w:themeColor="text2"/>
      <w:spacing w:val="30"/>
      <w:kern w:val="28"/>
      <w:sz w:val="96"/>
      <w:szCs w:val="52"/>
    </w:rPr>
  </w:style>
  <w:style w:type="paragraph" w:styleId="Revision">
    <w:name w:val="Revision"/>
    <w:hidden/>
    <w:uiPriority w:val="99"/>
    <w:semiHidden/>
    <w:rsid w:val="00D74DEC"/>
  </w:style>
  <w:style w:type="paragraph" w:styleId="TOCHeading">
    <w:name w:val="TOC Heading"/>
    <w:basedOn w:val="Heading1"/>
    <w:next w:val="Normal"/>
    <w:uiPriority w:val="39"/>
    <w:semiHidden/>
    <w:unhideWhenUsed/>
    <w:qFormat/>
    <w:rsid w:val="00471761"/>
    <w:pPr>
      <w:keepLines/>
      <w:spacing w:before="480" w:after="0" w:line="276" w:lineRule="auto"/>
      <w:outlineLvl w:val="9"/>
    </w:pPr>
    <w:rPr>
      <w:color w:val="365F91" w:themeColor="accent1" w:themeShade="BF"/>
      <w:kern w:val="0"/>
      <w:sz w:val="28"/>
      <w:szCs w:val="28"/>
      <w:lang w:eastAsia="ja-JP"/>
    </w:rPr>
  </w:style>
  <w:style w:type="paragraph" w:styleId="TOC1">
    <w:name w:val="toc 1"/>
    <w:basedOn w:val="Normal"/>
    <w:next w:val="Normal"/>
    <w:autoRedefine/>
    <w:uiPriority w:val="39"/>
    <w:unhideWhenUsed/>
    <w:rsid w:val="00471761"/>
    <w:pPr>
      <w:spacing w:after="100"/>
    </w:pPr>
  </w:style>
  <w:style w:type="paragraph" w:styleId="TOC3">
    <w:name w:val="toc 3"/>
    <w:basedOn w:val="Normal"/>
    <w:next w:val="Normal"/>
    <w:autoRedefine/>
    <w:uiPriority w:val="39"/>
    <w:unhideWhenUsed/>
    <w:rsid w:val="00471761"/>
    <w:pPr>
      <w:spacing w:after="100"/>
      <w:ind w:left="480"/>
    </w:pPr>
  </w:style>
  <w:style w:type="paragraph" w:styleId="TOC2">
    <w:name w:val="toc 2"/>
    <w:basedOn w:val="Normal"/>
    <w:next w:val="Normal"/>
    <w:autoRedefine/>
    <w:uiPriority w:val="39"/>
    <w:unhideWhenUsed/>
    <w:rsid w:val="0082288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434">
      <w:bodyDiv w:val="1"/>
      <w:marLeft w:val="0"/>
      <w:marRight w:val="0"/>
      <w:marTop w:val="0"/>
      <w:marBottom w:val="0"/>
      <w:divBdr>
        <w:top w:val="none" w:sz="0" w:space="0" w:color="auto"/>
        <w:left w:val="none" w:sz="0" w:space="0" w:color="auto"/>
        <w:bottom w:val="none" w:sz="0" w:space="0" w:color="auto"/>
        <w:right w:val="none" w:sz="0" w:space="0" w:color="auto"/>
      </w:divBdr>
    </w:div>
    <w:div w:id="34160029">
      <w:bodyDiv w:val="1"/>
      <w:marLeft w:val="0"/>
      <w:marRight w:val="0"/>
      <w:marTop w:val="0"/>
      <w:marBottom w:val="0"/>
      <w:divBdr>
        <w:top w:val="none" w:sz="0" w:space="0" w:color="auto"/>
        <w:left w:val="none" w:sz="0" w:space="0" w:color="auto"/>
        <w:bottom w:val="none" w:sz="0" w:space="0" w:color="auto"/>
        <w:right w:val="none" w:sz="0" w:space="0" w:color="auto"/>
      </w:divBdr>
    </w:div>
    <w:div w:id="41949445">
      <w:bodyDiv w:val="1"/>
      <w:marLeft w:val="0"/>
      <w:marRight w:val="0"/>
      <w:marTop w:val="0"/>
      <w:marBottom w:val="0"/>
      <w:divBdr>
        <w:top w:val="none" w:sz="0" w:space="0" w:color="auto"/>
        <w:left w:val="none" w:sz="0" w:space="0" w:color="auto"/>
        <w:bottom w:val="none" w:sz="0" w:space="0" w:color="auto"/>
        <w:right w:val="none" w:sz="0" w:space="0" w:color="auto"/>
      </w:divBdr>
    </w:div>
    <w:div w:id="95445077">
      <w:bodyDiv w:val="1"/>
      <w:marLeft w:val="0"/>
      <w:marRight w:val="0"/>
      <w:marTop w:val="0"/>
      <w:marBottom w:val="0"/>
      <w:divBdr>
        <w:top w:val="none" w:sz="0" w:space="0" w:color="auto"/>
        <w:left w:val="none" w:sz="0" w:space="0" w:color="auto"/>
        <w:bottom w:val="none" w:sz="0" w:space="0" w:color="auto"/>
        <w:right w:val="none" w:sz="0" w:space="0" w:color="auto"/>
      </w:divBdr>
    </w:div>
    <w:div w:id="115759885">
      <w:bodyDiv w:val="1"/>
      <w:marLeft w:val="0"/>
      <w:marRight w:val="0"/>
      <w:marTop w:val="0"/>
      <w:marBottom w:val="0"/>
      <w:divBdr>
        <w:top w:val="none" w:sz="0" w:space="0" w:color="auto"/>
        <w:left w:val="none" w:sz="0" w:space="0" w:color="auto"/>
        <w:bottom w:val="none" w:sz="0" w:space="0" w:color="auto"/>
        <w:right w:val="none" w:sz="0" w:space="0" w:color="auto"/>
      </w:divBdr>
    </w:div>
    <w:div w:id="127287870">
      <w:bodyDiv w:val="1"/>
      <w:marLeft w:val="0"/>
      <w:marRight w:val="0"/>
      <w:marTop w:val="0"/>
      <w:marBottom w:val="0"/>
      <w:divBdr>
        <w:top w:val="none" w:sz="0" w:space="0" w:color="auto"/>
        <w:left w:val="none" w:sz="0" w:space="0" w:color="auto"/>
        <w:bottom w:val="none" w:sz="0" w:space="0" w:color="auto"/>
        <w:right w:val="none" w:sz="0" w:space="0" w:color="auto"/>
      </w:divBdr>
    </w:div>
    <w:div w:id="155728443">
      <w:bodyDiv w:val="1"/>
      <w:marLeft w:val="0"/>
      <w:marRight w:val="0"/>
      <w:marTop w:val="0"/>
      <w:marBottom w:val="0"/>
      <w:divBdr>
        <w:top w:val="none" w:sz="0" w:space="0" w:color="auto"/>
        <w:left w:val="none" w:sz="0" w:space="0" w:color="auto"/>
        <w:bottom w:val="none" w:sz="0" w:space="0" w:color="auto"/>
        <w:right w:val="none" w:sz="0" w:space="0" w:color="auto"/>
      </w:divBdr>
    </w:div>
    <w:div w:id="221329441">
      <w:bodyDiv w:val="1"/>
      <w:marLeft w:val="0"/>
      <w:marRight w:val="0"/>
      <w:marTop w:val="0"/>
      <w:marBottom w:val="0"/>
      <w:divBdr>
        <w:top w:val="none" w:sz="0" w:space="0" w:color="auto"/>
        <w:left w:val="none" w:sz="0" w:space="0" w:color="auto"/>
        <w:bottom w:val="none" w:sz="0" w:space="0" w:color="auto"/>
        <w:right w:val="none" w:sz="0" w:space="0" w:color="auto"/>
      </w:divBdr>
    </w:div>
    <w:div w:id="257907467">
      <w:bodyDiv w:val="1"/>
      <w:marLeft w:val="0"/>
      <w:marRight w:val="0"/>
      <w:marTop w:val="0"/>
      <w:marBottom w:val="0"/>
      <w:divBdr>
        <w:top w:val="none" w:sz="0" w:space="0" w:color="auto"/>
        <w:left w:val="none" w:sz="0" w:space="0" w:color="auto"/>
        <w:bottom w:val="none" w:sz="0" w:space="0" w:color="auto"/>
        <w:right w:val="none" w:sz="0" w:space="0" w:color="auto"/>
      </w:divBdr>
    </w:div>
    <w:div w:id="280697587">
      <w:bodyDiv w:val="1"/>
      <w:marLeft w:val="0"/>
      <w:marRight w:val="0"/>
      <w:marTop w:val="0"/>
      <w:marBottom w:val="0"/>
      <w:divBdr>
        <w:top w:val="none" w:sz="0" w:space="0" w:color="auto"/>
        <w:left w:val="none" w:sz="0" w:space="0" w:color="auto"/>
        <w:bottom w:val="none" w:sz="0" w:space="0" w:color="auto"/>
        <w:right w:val="none" w:sz="0" w:space="0" w:color="auto"/>
      </w:divBdr>
    </w:div>
    <w:div w:id="282276784">
      <w:bodyDiv w:val="1"/>
      <w:marLeft w:val="0"/>
      <w:marRight w:val="0"/>
      <w:marTop w:val="0"/>
      <w:marBottom w:val="0"/>
      <w:divBdr>
        <w:top w:val="none" w:sz="0" w:space="0" w:color="auto"/>
        <w:left w:val="none" w:sz="0" w:space="0" w:color="auto"/>
        <w:bottom w:val="none" w:sz="0" w:space="0" w:color="auto"/>
        <w:right w:val="none" w:sz="0" w:space="0" w:color="auto"/>
      </w:divBdr>
    </w:div>
    <w:div w:id="301545008">
      <w:bodyDiv w:val="1"/>
      <w:marLeft w:val="0"/>
      <w:marRight w:val="0"/>
      <w:marTop w:val="0"/>
      <w:marBottom w:val="0"/>
      <w:divBdr>
        <w:top w:val="none" w:sz="0" w:space="0" w:color="auto"/>
        <w:left w:val="none" w:sz="0" w:space="0" w:color="auto"/>
        <w:bottom w:val="none" w:sz="0" w:space="0" w:color="auto"/>
        <w:right w:val="none" w:sz="0" w:space="0" w:color="auto"/>
      </w:divBdr>
    </w:div>
    <w:div w:id="319895148">
      <w:bodyDiv w:val="1"/>
      <w:marLeft w:val="0"/>
      <w:marRight w:val="0"/>
      <w:marTop w:val="0"/>
      <w:marBottom w:val="0"/>
      <w:divBdr>
        <w:top w:val="none" w:sz="0" w:space="0" w:color="auto"/>
        <w:left w:val="none" w:sz="0" w:space="0" w:color="auto"/>
        <w:bottom w:val="none" w:sz="0" w:space="0" w:color="auto"/>
        <w:right w:val="none" w:sz="0" w:space="0" w:color="auto"/>
      </w:divBdr>
    </w:div>
    <w:div w:id="343821103">
      <w:bodyDiv w:val="1"/>
      <w:marLeft w:val="0"/>
      <w:marRight w:val="0"/>
      <w:marTop w:val="0"/>
      <w:marBottom w:val="0"/>
      <w:divBdr>
        <w:top w:val="none" w:sz="0" w:space="0" w:color="auto"/>
        <w:left w:val="none" w:sz="0" w:space="0" w:color="auto"/>
        <w:bottom w:val="none" w:sz="0" w:space="0" w:color="auto"/>
        <w:right w:val="none" w:sz="0" w:space="0" w:color="auto"/>
      </w:divBdr>
    </w:div>
    <w:div w:id="372578620">
      <w:bodyDiv w:val="1"/>
      <w:marLeft w:val="0"/>
      <w:marRight w:val="0"/>
      <w:marTop w:val="0"/>
      <w:marBottom w:val="0"/>
      <w:divBdr>
        <w:top w:val="none" w:sz="0" w:space="0" w:color="auto"/>
        <w:left w:val="none" w:sz="0" w:space="0" w:color="auto"/>
        <w:bottom w:val="none" w:sz="0" w:space="0" w:color="auto"/>
        <w:right w:val="none" w:sz="0" w:space="0" w:color="auto"/>
      </w:divBdr>
    </w:div>
    <w:div w:id="414791490">
      <w:bodyDiv w:val="1"/>
      <w:marLeft w:val="0"/>
      <w:marRight w:val="0"/>
      <w:marTop w:val="0"/>
      <w:marBottom w:val="0"/>
      <w:divBdr>
        <w:top w:val="none" w:sz="0" w:space="0" w:color="auto"/>
        <w:left w:val="none" w:sz="0" w:space="0" w:color="auto"/>
        <w:bottom w:val="none" w:sz="0" w:space="0" w:color="auto"/>
        <w:right w:val="none" w:sz="0" w:space="0" w:color="auto"/>
      </w:divBdr>
    </w:div>
    <w:div w:id="426390772">
      <w:bodyDiv w:val="1"/>
      <w:marLeft w:val="0"/>
      <w:marRight w:val="0"/>
      <w:marTop w:val="0"/>
      <w:marBottom w:val="0"/>
      <w:divBdr>
        <w:top w:val="none" w:sz="0" w:space="0" w:color="auto"/>
        <w:left w:val="none" w:sz="0" w:space="0" w:color="auto"/>
        <w:bottom w:val="none" w:sz="0" w:space="0" w:color="auto"/>
        <w:right w:val="none" w:sz="0" w:space="0" w:color="auto"/>
      </w:divBdr>
    </w:div>
    <w:div w:id="439491784">
      <w:bodyDiv w:val="1"/>
      <w:marLeft w:val="0"/>
      <w:marRight w:val="0"/>
      <w:marTop w:val="0"/>
      <w:marBottom w:val="0"/>
      <w:divBdr>
        <w:top w:val="none" w:sz="0" w:space="0" w:color="auto"/>
        <w:left w:val="none" w:sz="0" w:space="0" w:color="auto"/>
        <w:bottom w:val="none" w:sz="0" w:space="0" w:color="auto"/>
        <w:right w:val="none" w:sz="0" w:space="0" w:color="auto"/>
      </w:divBdr>
    </w:div>
    <w:div w:id="459105406">
      <w:bodyDiv w:val="1"/>
      <w:marLeft w:val="0"/>
      <w:marRight w:val="0"/>
      <w:marTop w:val="0"/>
      <w:marBottom w:val="0"/>
      <w:divBdr>
        <w:top w:val="none" w:sz="0" w:space="0" w:color="auto"/>
        <w:left w:val="none" w:sz="0" w:space="0" w:color="auto"/>
        <w:bottom w:val="none" w:sz="0" w:space="0" w:color="auto"/>
        <w:right w:val="none" w:sz="0" w:space="0" w:color="auto"/>
      </w:divBdr>
    </w:div>
    <w:div w:id="489256570">
      <w:bodyDiv w:val="1"/>
      <w:marLeft w:val="0"/>
      <w:marRight w:val="0"/>
      <w:marTop w:val="0"/>
      <w:marBottom w:val="0"/>
      <w:divBdr>
        <w:top w:val="none" w:sz="0" w:space="0" w:color="auto"/>
        <w:left w:val="none" w:sz="0" w:space="0" w:color="auto"/>
        <w:bottom w:val="none" w:sz="0" w:space="0" w:color="auto"/>
        <w:right w:val="none" w:sz="0" w:space="0" w:color="auto"/>
      </w:divBdr>
    </w:div>
    <w:div w:id="512190409">
      <w:bodyDiv w:val="1"/>
      <w:marLeft w:val="0"/>
      <w:marRight w:val="0"/>
      <w:marTop w:val="0"/>
      <w:marBottom w:val="0"/>
      <w:divBdr>
        <w:top w:val="none" w:sz="0" w:space="0" w:color="auto"/>
        <w:left w:val="none" w:sz="0" w:space="0" w:color="auto"/>
        <w:bottom w:val="none" w:sz="0" w:space="0" w:color="auto"/>
        <w:right w:val="none" w:sz="0" w:space="0" w:color="auto"/>
      </w:divBdr>
    </w:div>
    <w:div w:id="561327522">
      <w:bodyDiv w:val="1"/>
      <w:marLeft w:val="0"/>
      <w:marRight w:val="0"/>
      <w:marTop w:val="0"/>
      <w:marBottom w:val="0"/>
      <w:divBdr>
        <w:top w:val="none" w:sz="0" w:space="0" w:color="auto"/>
        <w:left w:val="none" w:sz="0" w:space="0" w:color="auto"/>
        <w:bottom w:val="none" w:sz="0" w:space="0" w:color="auto"/>
        <w:right w:val="none" w:sz="0" w:space="0" w:color="auto"/>
      </w:divBdr>
    </w:div>
    <w:div w:id="595209318">
      <w:bodyDiv w:val="1"/>
      <w:marLeft w:val="0"/>
      <w:marRight w:val="0"/>
      <w:marTop w:val="0"/>
      <w:marBottom w:val="0"/>
      <w:divBdr>
        <w:top w:val="none" w:sz="0" w:space="0" w:color="auto"/>
        <w:left w:val="none" w:sz="0" w:space="0" w:color="auto"/>
        <w:bottom w:val="none" w:sz="0" w:space="0" w:color="auto"/>
        <w:right w:val="none" w:sz="0" w:space="0" w:color="auto"/>
      </w:divBdr>
    </w:div>
    <w:div w:id="612370401">
      <w:bodyDiv w:val="1"/>
      <w:marLeft w:val="0"/>
      <w:marRight w:val="0"/>
      <w:marTop w:val="0"/>
      <w:marBottom w:val="0"/>
      <w:divBdr>
        <w:top w:val="none" w:sz="0" w:space="0" w:color="auto"/>
        <w:left w:val="none" w:sz="0" w:space="0" w:color="auto"/>
        <w:bottom w:val="none" w:sz="0" w:space="0" w:color="auto"/>
        <w:right w:val="none" w:sz="0" w:space="0" w:color="auto"/>
      </w:divBdr>
    </w:div>
    <w:div w:id="615022081">
      <w:bodyDiv w:val="1"/>
      <w:marLeft w:val="0"/>
      <w:marRight w:val="0"/>
      <w:marTop w:val="0"/>
      <w:marBottom w:val="0"/>
      <w:divBdr>
        <w:top w:val="none" w:sz="0" w:space="0" w:color="auto"/>
        <w:left w:val="none" w:sz="0" w:space="0" w:color="auto"/>
        <w:bottom w:val="none" w:sz="0" w:space="0" w:color="auto"/>
        <w:right w:val="none" w:sz="0" w:space="0" w:color="auto"/>
      </w:divBdr>
    </w:div>
    <w:div w:id="617840221">
      <w:bodyDiv w:val="1"/>
      <w:marLeft w:val="0"/>
      <w:marRight w:val="0"/>
      <w:marTop w:val="0"/>
      <w:marBottom w:val="0"/>
      <w:divBdr>
        <w:top w:val="none" w:sz="0" w:space="0" w:color="auto"/>
        <w:left w:val="none" w:sz="0" w:space="0" w:color="auto"/>
        <w:bottom w:val="none" w:sz="0" w:space="0" w:color="auto"/>
        <w:right w:val="none" w:sz="0" w:space="0" w:color="auto"/>
      </w:divBdr>
    </w:div>
    <w:div w:id="630675114">
      <w:bodyDiv w:val="1"/>
      <w:marLeft w:val="0"/>
      <w:marRight w:val="0"/>
      <w:marTop w:val="0"/>
      <w:marBottom w:val="0"/>
      <w:divBdr>
        <w:top w:val="none" w:sz="0" w:space="0" w:color="auto"/>
        <w:left w:val="none" w:sz="0" w:space="0" w:color="auto"/>
        <w:bottom w:val="none" w:sz="0" w:space="0" w:color="auto"/>
        <w:right w:val="none" w:sz="0" w:space="0" w:color="auto"/>
      </w:divBdr>
    </w:div>
    <w:div w:id="632567156">
      <w:bodyDiv w:val="1"/>
      <w:marLeft w:val="0"/>
      <w:marRight w:val="0"/>
      <w:marTop w:val="0"/>
      <w:marBottom w:val="0"/>
      <w:divBdr>
        <w:top w:val="none" w:sz="0" w:space="0" w:color="auto"/>
        <w:left w:val="none" w:sz="0" w:space="0" w:color="auto"/>
        <w:bottom w:val="none" w:sz="0" w:space="0" w:color="auto"/>
        <w:right w:val="none" w:sz="0" w:space="0" w:color="auto"/>
      </w:divBdr>
    </w:div>
    <w:div w:id="647855122">
      <w:bodyDiv w:val="1"/>
      <w:marLeft w:val="0"/>
      <w:marRight w:val="0"/>
      <w:marTop w:val="0"/>
      <w:marBottom w:val="0"/>
      <w:divBdr>
        <w:top w:val="none" w:sz="0" w:space="0" w:color="auto"/>
        <w:left w:val="none" w:sz="0" w:space="0" w:color="auto"/>
        <w:bottom w:val="none" w:sz="0" w:space="0" w:color="auto"/>
        <w:right w:val="none" w:sz="0" w:space="0" w:color="auto"/>
      </w:divBdr>
    </w:div>
    <w:div w:id="662929010">
      <w:bodyDiv w:val="1"/>
      <w:marLeft w:val="0"/>
      <w:marRight w:val="0"/>
      <w:marTop w:val="0"/>
      <w:marBottom w:val="0"/>
      <w:divBdr>
        <w:top w:val="none" w:sz="0" w:space="0" w:color="auto"/>
        <w:left w:val="none" w:sz="0" w:space="0" w:color="auto"/>
        <w:bottom w:val="none" w:sz="0" w:space="0" w:color="auto"/>
        <w:right w:val="none" w:sz="0" w:space="0" w:color="auto"/>
      </w:divBdr>
    </w:div>
    <w:div w:id="680938393">
      <w:bodyDiv w:val="1"/>
      <w:marLeft w:val="0"/>
      <w:marRight w:val="0"/>
      <w:marTop w:val="0"/>
      <w:marBottom w:val="0"/>
      <w:divBdr>
        <w:top w:val="none" w:sz="0" w:space="0" w:color="auto"/>
        <w:left w:val="none" w:sz="0" w:space="0" w:color="auto"/>
        <w:bottom w:val="none" w:sz="0" w:space="0" w:color="auto"/>
        <w:right w:val="none" w:sz="0" w:space="0" w:color="auto"/>
      </w:divBdr>
    </w:div>
    <w:div w:id="711228076">
      <w:bodyDiv w:val="1"/>
      <w:marLeft w:val="0"/>
      <w:marRight w:val="0"/>
      <w:marTop w:val="0"/>
      <w:marBottom w:val="0"/>
      <w:divBdr>
        <w:top w:val="none" w:sz="0" w:space="0" w:color="auto"/>
        <w:left w:val="none" w:sz="0" w:space="0" w:color="auto"/>
        <w:bottom w:val="none" w:sz="0" w:space="0" w:color="auto"/>
        <w:right w:val="none" w:sz="0" w:space="0" w:color="auto"/>
      </w:divBdr>
    </w:div>
    <w:div w:id="731730794">
      <w:bodyDiv w:val="1"/>
      <w:marLeft w:val="0"/>
      <w:marRight w:val="0"/>
      <w:marTop w:val="0"/>
      <w:marBottom w:val="0"/>
      <w:divBdr>
        <w:top w:val="none" w:sz="0" w:space="0" w:color="auto"/>
        <w:left w:val="none" w:sz="0" w:space="0" w:color="auto"/>
        <w:bottom w:val="none" w:sz="0" w:space="0" w:color="auto"/>
        <w:right w:val="none" w:sz="0" w:space="0" w:color="auto"/>
      </w:divBdr>
    </w:div>
    <w:div w:id="736362947">
      <w:bodyDiv w:val="1"/>
      <w:marLeft w:val="0"/>
      <w:marRight w:val="0"/>
      <w:marTop w:val="0"/>
      <w:marBottom w:val="0"/>
      <w:divBdr>
        <w:top w:val="none" w:sz="0" w:space="0" w:color="auto"/>
        <w:left w:val="none" w:sz="0" w:space="0" w:color="auto"/>
        <w:bottom w:val="none" w:sz="0" w:space="0" w:color="auto"/>
        <w:right w:val="none" w:sz="0" w:space="0" w:color="auto"/>
      </w:divBdr>
    </w:div>
    <w:div w:id="747310830">
      <w:bodyDiv w:val="1"/>
      <w:marLeft w:val="0"/>
      <w:marRight w:val="0"/>
      <w:marTop w:val="0"/>
      <w:marBottom w:val="0"/>
      <w:divBdr>
        <w:top w:val="none" w:sz="0" w:space="0" w:color="auto"/>
        <w:left w:val="none" w:sz="0" w:space="0" w:color="auto"/>
        <w:bottom w:val="none" w:sz="0" w:space="0" w:color="auto"/>
        <w:right w:val="none" w:sz="0" w:space="0" w:color="auto"/>
      </w:divBdr>
    </w:div>
    <w:div w:id="760642729">
      <w:bodyDiv w:val="1"/>
      <w:marLeft w:val="0"/>
      <w:marRight w:val="0"/>
      <w:marTop w:val="0"/>
      <w:marBottom w:val="0"/>
      <w:divBdr>
        <w:top w:val="none" w:sz="0" w:space="0" w:color="auto"/>
        <w:left w:val="none" w:sz="0" w:space="0" w:color="auto"/>
        <w:bottom w:val="none" w:sz="0" w:space="0" w:color="auto"/>
        <w:right w:val="none" w:sz="0" w:space="0" w:color="auto"/>
      </w:divBdr>
    </w:div>
    <w:div w:id="772281777">
      <w:bodyDiv w:val="1"/>
      <w:marLeft w:val="0"/>
      <w:marRight w:val="0"/>
      <w:marTop w:val="0"/>
      <w:marBottom w:val="0"/>
      <w:divBdr>
        <w:top w:val="none" w:sz="0" w:space="0" w:color="auto"/>
        <w:left w:val="none" w:sz="0" w:space="0" w:color="auto"/>
        <w:bottom w:val="none" w:sz="0" w:space="0" w:color="auto"/>
        <w:right w:val="none" w:sz="0" w:space="0" w:color="auto"/>
      </w:divBdr>
    </w:div>
    <w:div w:id="788400560">
      <w:bodyDiv w:val="1"/>
      <w:marLeft w:val="0"/>
      <w:marRight w:val="0"/>
      <w:marTop w:val="0"/>
      <w:marBottom w:val="0"/>
      <w:divBdr>
        <w:top w:val="none" w:sz="0" w:space="0" w:color="auto"/>
        <w:left w:val="none" w:sz="0" w:space="0" w:color="auto"/>
        <w:bottom w:val="none" w:sz="0" w:space="0" w:color="auto"/>
        <w:right w:val="none" w:sz="0" w:space="0" w:color="auto"/>
      </w:divBdr>
    </w:div>
    <w:div w:id="790367993">
      <w:bodyDiv w:val="1"/>
      <w:marLeft w:val="0"/>
      <w:marRight w:val="0"/>
      <w:marTop w:val="0"/>
      <w:marBottom w:val="0"/>
      <w:divBdr>
        <w:top w:val="none" w:sz="0" w:space="0" w:color="auto"/>
        <w:left w:val="none" w:sz="0" w:space="0" w:color="auto"/>
        <w:bottom w:val="none" w:sz="0" w:space="0" w:color="auto"/>
        <w:right w:val="none" w:sz="0" w:space="0" w:color="auto"/>
      </w:divBdr>
    </w:div>
    <w:div w:id="792477033">
      <w:bodyDiv w:val="1"/>
      <w:marLeft w:val="0"/>
      <w:marRight w:val="0"/>
      <w:marTop w:val="0"/>
      <w:marBottom w:val="0"/>
      <w:divBdr>
        <w:top w:val="none" w:sz="0" w:space="0" w:color="auto"/>
        <w:left w:val="none" w:sz="0" w:space="0" w:color="auto"/>
        <w:bottom w:val="none" w:sz="0" w:space="0" w:color="auto"/>
        <w:right w:val="none" w:sz="0" w:space="0" w:color="auto"/>
      </w:divBdr>
    </w:div>
    <w:div w:id="809639085">
      <w:bodyDiv w:val="1"/>
      <w:marLeft w:val="0"/>
      <w:marRight w:val="0"/>
      <w:marTop w:val="0"/>
      <w:marBottom w:val="0"/>
      <w:divBdr>
        <w:top w:val="none" w:sz="0" w:space="0" w:color="auto"/>
        <w:left w:val="none" w:sz="0" w:space="0" w:color="auto"/>
        <w:bottom w:val="none" w:sz="0" w:space="0" w:color="auto"/>
        <w:right w:val="none" w:sz="0" w:space="0" w:color="auto"/>
      </w:divBdr>
    </w:div>
    <w:div w:id="821313279">
      <w:bodyDiv w:val="1"/>
      <w:marLeft w:val="0"/>
      <w:marRight w:val="0"/>
      <w:marTop w:val="0"/>
      <w:marBottom w:val="0"/>
      <w:divBdr>
        <w:top w:val="none" w:sz="0" w:space="0" w:color="auto"/>
        <w:left w:val="none" w:sz="0" w:space="0" w:color="auto"/>
        <w:bottom w:val="none" w:sz="0" w:space="0" w:color="auto"/>
        <w:right w:val="none" w:sz="0" w:space="0" w:color="auto"/>
      </w:divBdr>
    </w:div>
    <w:div w:id="828441070">
      <w:bodyDiv w:val="1"/>
      <w:marLeft w:val="0"/>
      <w:marRight w:val="0"/>
      <w:marTop w:val="0"/>
      <w:marBottom w:val="0"/>
      <w:divBdr>
        <w:top w:val="none" w:sz="0" w:space="0" w:color="auto"/>
        <w:left w:val="none" w:sz="0" w:space="0" w:color="auto"/>
        <w:bottom w:val="none" w:sz="0" w:space="0" w:color="auto"/>
        <w:right w:val="none" w:sz="0" w:space="0" w:color="auto"/>
      </w:divBdr>
    </w:div>
    <w:div w:id="888685957">
      <w:bodyDiv w:val="1"/>
      <w:marLeft w:val="0"/>
      <w:marRight w:val="0"/>
      <w:marTop w:val="0"/>
      <w:marBottom w:val="0"/>
      <w:divBdr>
        <w:top w:val="none" w:sz="0" w:space="0" w:color="auto"/>
        <w:left w:val="none" w:sz="0" w:space="0" w:color="auto"/>
        <w:bottom w:val="none" w:sz="0" w:space="0" w:color="auto"/>
        <w:right w:val="none" w:sz="0" w:space="0" w:color="auto"/>
      </w:divBdr>
    </w:div>
    <w:div w:id="916206983">
      <w:bodyDiv w:val="1"/>
      <w:marLeft w:val="0"/>
      <w:marRight w:val="0"/>
      <w:marTop w:val="0"/>
      <w:marBottom w:val="0"/>
      <w:divBdr>
        <w:top w:val="none" w:sz="0" w:space="0" w:color="auto"/>
        <w:left w:val="none" w:sz="0" w:space="0" w:color="auto"/>
        <w:bottom w:val="none" w:sz="0" w:space="0" w:color="auto"/>
        <w:right w:val="none" w:sz="0" w:space="0" w:color="auto"/>
      </w:divBdr>
    </w:div>
    <w:div w:id="921334291">
      <w:bodyDiv w:val="1"/>
      <w:marLeft w:val="0"/>
      <w:marRight w:val="0"/>
      <w:marTop w:val="0"/>
      <w:marBottom w:val="0"/>
      <w:divBdr>
        <w:top w:val="none" w:sz="0" w:space="0" w:color="auto"/>
        <w:left w:val="none" w:sz="0" w:space="0" w:color="auto"/>
        <w:bottom w:val="none" w:sz="0" w:space="0" w:color="auto"/>
        <w:right w:val="none" w:sz="0" w:space="0" w:color="auto"/>
      </w:divBdr>
    </w:div>
    <w:div w:id="979923235">
      <w:bodyDiv w:val="1"/>
      <w:marLeft w:val="0"/>
      <w:marRight w:val="0"/>
      <w:marTop w:val="0"/>
      <w:marBottom w:val="0"/>
      <w:divBdr>
        <w:top w:val="none" w:sz="0" w:space="0" w:color="auto"/>
        <w:left w:val="none" w:sz="0" w:space="0" w:color="auto"/>
        <w:bottom w:val="none" w:sz="0" w:space="0" w:color="auto"/>
        <w:right w:val="none" w:sz="0" w:space="0" w:color="auto"/>
      </w:divBdr>
    </w:div>
    <w:div w:id="1022324743">
      <w:bodyDiv w:val="1"/>
      <w:marLeft w:val="0"/>
      <w:marRight w:val="0"/>
      <w:marTop w:val="0"/>
      <w:marBottom w:val="0"/>
      <w:divBdr>
        <w:top w:val="none" w:sz="0" w:space="0" w:color="auto"/>
        <w:left w:val="none" w:sz="0" w:space="0" w:color="auto"/>
        <w:bottom w:val="none" w:sz="0" w:space="0" w:color="auto"/>
        <w:right w:val="none" w:sz="0" w:space="0" w:color="auto"/>
      </w:divBdr>
    </w:div>
    <w:div w:id="1028944036">
      <w:bodyDiv w:val="1"/>
      <w:marLeft w:val="0"/>
      <w:marRight w:val="0"/>
      <w:marTop w:val="0"/>
      <w:marBottom w:val="0"/>
      <w:divBdr>
        <w:top w:val="none" w:sz="0" w:space="0" w:color="auto"/>
        <w:left w:val="none" w:sz="0" w:space="0" w:color="auto"/>
        <w:bottom w:val="none" w:sz="0" w:space="0" w:color="auto"/>
        <w:right w:val="none" w:sz="0" w:space="0" w:color="auto"/>
      </w:divBdr>
    </w:div>
    <w:div w:id="1046444203">
      <w:bodyDiv w:val="1"/>
      <w:marLeft w:val="0"/>
      <w:marRight w:val="0"/>
      <w:marTop w:val="0"/>
      <w:marBottom w:val="0"/>
      <w:divBdr>
        <w:top w:val="none" w:sz="0" w:space="0" w:color="auto"/>
        <w:left w:val="none" w:sz="0" w:space="0" w:color="auto"/>
        <w:bottom w:val="none" w:sz="0" w:space="0" w:color="auto"/>
        <w:right w:val="none" w:sz="0" w:space="0" w:color="auto"/>
      </w:divBdr>
    </w:div>
    <w:div w:id="1050378094">
      <w:bodyDiv w:val="1"/>
      <w:marLeft w:val="0"/>
      <w:marRight w:val="0"/>
      <w:marTop w:val="0"/>
      <w:marBottom w:val="0"/>
      <w:divBdr>
        <w:top w:val="none" w:sz="0" w:space="0" w:color="auto"/>
        <w:left w:val="none" w:sz="0" w:space="0" w:color="auto"/>
        <w:bottom w:val="none" w:sz="0" w:space="0" w:color="auto"/>
        <w:right w:val="none" w:sz="0" w:space="0" w:color="auto"/>
      </w:divBdr>
    </w:div>
    <w:div w:id="1084689526">
      <w:bodyDiv w:val="1"/>
      <w:marLeft w:val="0"/>
      <w:marRight w:val="0"/>
      <w:marTop w:val="0"/>
      <w:marBottom w:val="0"/>
      <w:divBdr>
        <w:top w:val="none" w:sz="0" w:space="0" w:color="auto"/>
        <w:left w:val="none" w:sz="0" w:space="0" w:color="auto"/>
        <w:bottom w:val="none" w:sz="0" w:space="0" w:color="auto"/>
        <w:right w:val="none" w:sz="0" w:space="0" w:color="auto"/>
      </w:divBdr>
    </w:div>
    <w:div w:id="1120418662">
      <w:bodyDiv w:val="1"/>
      <w:marLeft w:val="0"/>
      <w:marRight w:val="0"/>
      <w:marTop w:val="0"/>
      <w:marBottom w:val="0"/>
      <w:divBdr>
        <w:top w:val="none" w:sz="0" w:space="0" w:color="auto"/>
        <w:left w:val="none" w:sz="0" w:space="0" w:color="auto"/>
        <w:bottom w:val="none" w:sz="0" w:space="0" w:color="auto"/>
        <w:right w:val="none" w:sz="0" w:space="0" w:color="auto"/>
      </w:divBdr>
    </w:div>
    <w:div w:id="1149128846">
      <w:bodyDiv w:val="1"/>
      <w:marLeft w:val="0"/>
      <w:marRight w:val="0"/>
      <w:marTop w:val="0"/>
      <w:marBottom w:val="0"/>
      <w:divBdr>
        <w:top w:val="none" w:sz="0" w:space="0" w:color="auto"/>
        <w:left w:val="none" w:sz="0" w:space="0" w:color="auto"/>
        <w:bottom w:val="none" w:sz="0" w:space="0" w:color="auto"/>
        <w:right w:val="none" w:sz="0" w:space="0" w:color="auto"/>
      </w:divBdr>
    </w:div>
    <w:div w:id="1159468793">
      <w:bodyDiv w:val="1"/>
      <w:marLeft w:val="0"/>
      <w:marRight w:val="0"/>
      <w:marTop w:val="0"/>
      <w:marBottom w:val="0"/>
      <w:divBdr>
        <w:top w:val="none" w:sz="0" w:space="0" w:color="auto"/>
        <w:left w:val="none" w:sz="0" w:space="0" w:color="auto"/>
        <w:bottom w:val="none" w:sz="0" w:space="0" w:color="auto"/>
        <w:right w:val="none" w:sz="0" w:space="0" w:color="auto"/>
      </w:divBdr>
    </w:div>
    <w:div w:id="1181970048">
      <w:bodyDiv w:val="1"/>
      <w:marLeft w:val="0"/>
      <w:marRight w:val="0"/>
      <w:marTop w:val="0"/>
      <w:marBottom w:val="0"/>
      <w:divBdr>
        <w:top w:val="none" w:sz="0" w:space="0" w:color="auto"/>
        <w:left w:val="none" w:sz="0" w:space="0" w:color="auto"/>
        <w:bottom w:val="none" w:sz="0" w:space="0" w:color="auto"/>
        <w:right w:val="none" w:sz="0" w:space="0" w:color="auto"/>
      </w:divBdr>
    </w:div>
    <w:div w:id="1192496781">
      <w:bodyDiv w:val="1"/>
      <w:marLeft w:val="0"/>
      <w:marRight w:val="0"/>
      <w:marTop w:val="0"/>
      <w:marBottom w:val="0"/>
      <w:divBdr>
        <w:top w:val="none" w:sz="0" w:space="0" w:color="auto"/>
        <w:left w:val="none" w:sz="0" w:space="0" w:color="auto"/>
        <w:bottom w:val="none" w:sz="0" w:space="0" w:color="auto"/>
        <w:right w:val="none" w:sz="0" w:space="0" w:color="auto"/>
      </w:divBdr>
    </w:div>
    <w:div w:id="1205024339">
      <w:bodyDiv w:val="1"/>
      <w:marLeft w:val="0"/>
      <w:marRight w:val="0"/>
      <w:marTop w:val="0"/>
      <w:marBottom w:val="0"/>
      <w:divBdr>
        <w:top w:val="none" w:sz="0" w:space="0" w:color="auto"/>
        <w:left w:val="none" w:sz="0" w:space="0" w:color="auto"/>
        <w:bottom w:val="none" w:sz="0" w:space="0" w:color="auto"/>
        <w:right w:val="none" w:sz="0" w:space="0" w:color="auto"/>
      </w:divBdr>
    </w:div>
    <w:div w:id="1276062591">
      <w:bodyDiv w:val="1"/>
      <w:marLeft w:val="0"/>
      <w:marRight w:val="0"/>
      <w:marTop w:val="0"/>
      <w:marBottom w:val="0"/>
      <w:divBdr>
        <w:top w:val="none" w:sz="0" w:space="0" w:color="auto"/>
        <w:left w:val="none" w:sz="0" w:space="0" w:color="auto"/>
        <w:bottom w:val="none" w:sz="0" w:space="0" w:color="auto"/>
        <w:right w:val="none" w:sz="0" w:space="0" w:color="auto"/>
      </w:divBdr>
    </w:div>
    <w:div w:id="1320816011">
      <w:bodyDiv w:val="1"/>
      <w:marLeft w:val="0"/>
      <w:marRight w:val="0"/>
      <w:marTop w:val="0"/>
      <w:marBottom w:val="0"/>
      <w:divBdr>
        <w:top w:val="none" w:sz="0" w:space="0" w:color="auto"/>
        <w:left w:val="none" w:sz="0" w:space="0" w:color="auto"/>
        <w:bottom w:val="none" w:sz="0" w:space="0" w:color="auto"/>
        <w:right w:val="none" w:sz="0" w:space="0" w:color="auto"/>
      </w:divBdr>
    </w:div>
    <w:div w:id="1383598439">
      <w:bodyDiv w:val="1"/>
      <w:marLeft w:val="0"/>
      <w:marRight w:val="0"/>
      <w:marTop w:val="0"/>
      <w:marBottom w:val="0"/>
      <w:divBdr>
        <w:top w:val="none" w:sz="0" w:space="0" w:color="auto"/>
        <w:left w:val="none" w:sz="0" w:space="0" w:color="auto"/>
        <w:bottom w:val="none" w:sz="0" w:space="0" w:color="auto"/>
        <w:right w:val="none" w:sz="0" w:space="0" w:color="auto"/>
      </w:divBdr>
    </w:div>
    <w:div w:id="1425879759">
      <w:bodyDiv w:val="1"/>
      <w:marLeft w:val="0"/>
      <w:marRight w:val="0"/>
      <w:marTop w:val="0"/>
      <w:marBottom w:val="0"/>
      <w:divBdr>
        <w:top w:val="none" w:sz="0" w:space="0" w:color="auto"/>
        <w:left w:val="none" w:sz="0" w:space="0" w:color="auto"/>
        <w:bottom w:val="none" w:sz="0" w:space="0" w:color="auto"/>
        <w:right w:val="none" w:sz="0" w:space="0" w:color="auto"/>
      </w:divBdr>
    </w:div>
    <w:div w:id="1448307054">
      <w:bodyDiv w:val="1"/>
      <w:marLeft w:val="0"/>
      <w:marRight w:val="0"/>
      <w:marTop w:val="0"/>
      <w:marBottom w:val="0"/>
      <w:divBdr>
        <w:top w:val="none" w:sz="0" w:space="0" w:color="auto"/>
        <w:left w:val="none" w:sz="0" w:space="0" w:color="auto"/>
        <w:bottom w:val="none" w:sz="0" w:space="0" w:color="auto"/>
        <w:right w:val="none" w:sz="0" w:space="0" w:color="auto"/>
      </w:divBdr>
    </w:div>
    <w:div w:id="1456295736">
      <w:bodyDiv w:val="1"/>
      <w:marLeft w:val="0"/>
      <w:marRight w:val="0"/>
      <w:marTop w:val="0"/>
      <w:marBottom w:val="0"/>
      <w:divBdr>
        <w:top w:val="none" w:sz="0" w:space="0" w:color="auto"/>
        <w:left w:val="none" w:sz="0" w:space="0" w:color="auto"/>
        <w:bottom w:val="none" w:sz="0" w:space="0" w:color="auto"/>
        <w:right w:val="none" w:sz="0" w:space="0" w:color="auto"/>
      </w:divBdr>
    </w:div>
    <w:div w:id="1467309199">
      <w:bodyDiv w:val="1"/>
      <w:marLeft w:val="0"/>
      <w:marRight w:val="0"/>
      <w:marTop w:val="0"/>
      <w:marBottom w:val="0"/>
      <w:divBdr>
        <w:top w:val="none" w:sz="0" w:space="0" w:color="auto"/>
        <w:left w:val="none" w:sz="0" w:space="0" w:color="auto"/>
        <w:bottom w:val="none" w:sz="0" w:space="0" w:color="auto"/>
        <w:right w:val="none" w:sz="0" w:space="0" w:color="auto"/>
      </w:divBdr>
    </w:div>
    <w:div w:id="1493443992">
      <w:bodyDiv w:val="1"/>
      <w:marLeft w:val="0"/>
      <w:marRight w:val="0"/>
      <w:marTop w:val="0"/>
      <w:marBottom w:val="0"/>
      <w:divBdr>
        <w:top w:val="none" w:sz="0" w:space="0" w:color="auto"/>
        <w:left w:val="none" w:sz="0" w:space="0" w:color="auto"/>
        <w:bottom w:val="none" w:sz="0" w:space="0" w:color="auto"/>
        <w:right w:val="none" w:sz="0" w:space="0" w:color="auto"/>
      </w:divBdr>
    </w:div>
    <w:div w:id="1523006956">
      <w:bodyDiv w:val="1"/>
      <w:marLeft w:val="0"/>
      <w:marRight w:val="0"/>
      <w:marTop w:val="0"/>
      <w:marBottom w:val="0"/>
      <w:divBdr>
        <w:top w:val="none" w:sz="0" w:space="0" w:color="auto"/>
        <w:left w:val="none" w:sz="0" w:space="0" w:color="auto"/>
        <w:bottom w:val="none" w:sz="0" w:space="0" w:color="auto"/>
        <w:right w:val="none" w:sz="0" w:space="0" w:color="auto"/>
      </w:divBdr>
    </w:div>
    <w:div w:id="1545940977">
      <w:bodyDiv w:val="1"/>
      <w:marLeft w:val="0"/>
      <w:marRight w:val="0"/>
      <w:marTop w:val="0"/>
      <w:marBottom w:val="0"/>
      <w:divBdr>
        <w:top w:val="none" w:sz="0" w:space="0" w:color="auto"/>
        <w:left w:val="none" w:sz="0" w:space="0" w:color="auto"/>
        <w:bottom w:val="none" w:sz="0" w:space="0" w:color="auto"/>
        <w:right w:val="none" w:sz="0" w:space="0" w:color="auto"/>
      </w:divBdr>
    </w:div>
    <w:div w:id="1559629024">
      <w:bodyDiv w:val="1"/>
      <w:marLeft w:val="0"/>
      <w:marRight w:val="0"/>
      <w:marTop w:val="0"/>
      <w:marBottom w:val="0"/>
      <w:divBdr>
        <w:top w:val="none" w:sz="0" w:space="0" w:color="auto"/>
        <w:left w:val="none" w:sz="0" w:space="0" w:color="auto"/>
        <w:bottom w:val="none" w:sz="0" w:space="0" w:color="auto"/>
        <w:right w:val="none" w:sz="0" w:space="0" w:color="auto"/>
      </w:divBdr>
    </w:div>
    <w:div w:id="1565097636">
      <w:bodyDiv w:val="1"/>
      <w:marLeft w:val="0"/>
      <w:marRight w:val="0"/>
      <w:marTop w:val="0"/>
      <w:marBottom w:val="0"/>
      <w:divBdr>
        <w:top w:val="none" w:sz="0" w:space="0" w:color="auto"/>
        <w:left w:val="none" w:sz="0" w:space="0" w:color="auto"/>
        <w:bottom w:val="none" w:sz="0" w:space="0" w:color="auto"/>
        <w:right w:val="none" w:sz="0" w:space="0" w:color="auto"/>
      </w:divBdr>
    </w:div>
    <w:div w:id="1569731380">
      <w:bodyDiv w:val="1"/>
      <w:marLeft w:val="0"/>
      <w:marRight w:val="0"/>
      <w:marTop w:val="0"/>
      <w:marBottom w:val="0"/>
      <w:divBdr>
        <w:top w:val="none" w:sz="0" w:space="0" w:color="auto"/>
        <w:left w:val="none" w:sz="0" w:space="0" w:color="auto"/>
        <w:bottom w:val="none" w:sz="0" w:space="0" w:color="auto"/>
        <w:right w:val="none" w:sz="0" w:space="0" w:color="auto"/>
      </w:divBdr>
    </w:div>
    <w:div w:id="1622344890">
      <w:bodyDiv w:val="1"/>
      <w:marLeft w:val="0"/>
      <w:marRight w:val="0"/>
      <w:marTop w:val="0"/>
      <w:marBottom w:val="0"/>
      <w:divBdr>
        <w:top w:val="none" w:sz="0" w:space="0" w:color="auto"/>
        <w:left w:val="none" w:sz="0" w:space="0" w:color="auto"/>
        <w:bottom w:val="none" w:sz="0" w:space="0" w:color="auto"/>
        <w:right w:val="none" w:sz="0" w:space="0" w:color="auto"/>
      </w:divBdr>
    </w:div>
    <w:div w:id="1665666760">
      <w:bodyDiv w:val="1"/>
      <w:marLeft w:val="0"/>
      <w:marRight w:val="0"/>
      <w:marTop w:val="0"/>
      <w:marBottom w:val="0"/>
      <w:divBdr>
        <w:top w:val="none" w:sz="0" w:space="0" w:color="auto"/>
        <w:left w:val="none" w:sz="0" w:space="0" w:color="auto"/>
        <w:bottom w:val="none" w:sz="0" w:space="0" w:color="auto"/>
        <w:right w:val="none" w:sz="0" w:space="0" w:color="auto"/>
      </w:divBdr>
    </w:div>
    <w:div w:id="1671710826">
      <w:bodyDiv w:val="1"/>
      <w:marLeft w:val="0"/>
      <w:marRight w:val="0"/>
      <w:marTop w:val="0"/>
      <w:marBottom w:val="0"/>
      <w:divBdr>
        <w:top w:val="none" w:sz="0" w:space="0" w:color="auto"/>
        <w:left w:val="none" w:sz="0" w:space="0" w:color="auto"/>
        <w:bottom w:val="none" w:sz="0" w:space="0" w:color="auto"/>
        <w:right w:val="none" w:sz="0" w:space="0" w:color="auto"/>
      </w:divBdr>
    </w:div>
    <w:div w:id="1685784930">
      <w:bodyDiv w:val="1"/>
      <w:marLeft w:val="0"/>
      <w:marRight w:val="0"/>
      <w:marTop w:val="0"/>
      <w:marBottom w:val="0"/>
      <w:divBdr>
        <w:top w:val="none" w:sz="0" w:space="0" w:color="auto"/>
        <w:left w:val="none" w:sz="0" w:space="0" w:color="auto"/>
        <w:bottom w:val="none" w:sz="0" w:space="0" w:color="auto"/>
        <w:right w:val="none" w:sz="0" w:space="0" w:color="auto"/>
      </w:divBdr>
    </w:div>
    <w:div w:id="1697929366">
      <w:bodyDiv w:val="1"/>
      <w:marLeft w:val="0"/>
      <w:marRight w:val="0"/>
      <w:marTop w:val="0"/>
      <w:marBottom w:val="0"/>
      <w:divBdr>
        <w:top w:val="none" w:sz="0" w:space="0" w:color="auto"/>
        <w:left w:val="none" w:sz="0" w:space="0" w:color="auto"/>
        <w:bottom w:val="none" w:sz="0" w:space="0" w:color="auto"/>
        <w:right w:val="none" w:sz="0" w:space="0" w:color="auto"/>
      </w:divBdr>
    </w:div>
    <w:div w:id="1766920481">
      <w:bodyDiv w:val="1"/>
      <w:marLeft w:val="0"/>
      <w:marRight w:val="0"/>
      <w:marTop w:val="0"/>
      <w:marBottom w:val="0"/>
      <w:divBdr>
        <w:top w:val="none" w:sz="0" w:space="0" w:color="auto"/>
        <w:left w:val="none" w:sz="0" w:space="0" w:color="auto"/>
        <w:bottom w:val="none" w:sz="0" w:space="0" w:color="auto"/>
        <w:right w:val="none" w:sz="0" w:space="0" w:color="auto"/>
      </w:divBdr>
    </w:div>
    <w:div w:id="1829513328">
      <w:bodyDiv w:val="1"/>
      <w:marLeft w:val="0"/>
      <w:marRight w:val="0"/>
      <w:marTop w:val="0"/>
      <w:marBottom w:val="0"/>
      <w:divBdr>
        <w:top w:val="none" w:sz="0" w:space="0" w:color="auto"/>
        <w:left w:val="none" w:sz="0" w:space="0" w:color="auto"/>
        <w:bottom w:val="none" w:sz="0" w:space="0" w:color="auto"/>
        <w:right w:val="none" w:sz="0" w:space="0" w:color="auto"/>
      </w:divBdr>
    </w:div>
    <w:div w:id="1862206547">
      <w:bodyDiv w:val="1"/>
      <w:marLeft w:val="0"/>
      <w:marRight w:val="0"/>
      <w:marTop w:val="0"/>
      <w:marBottom w:val="0"/>
      <w:divBdr>
        <w:top w:val="none" w:sz="0" w:space="0" w:color="auto"/>
        <w:left w:val="none" w:sz="0" w:space="0" w:color="auto"/>
        <w:bottom w:val="none" w:sz="0" w:space="0" w:color="auto"/>
        <w:right w:val="none" w:sz="0" w:space="0" w:color="auto"/>
      </w:divBdr>
    </w:div>
    <w:div w:id="1904562698">
      <w:bodyDiv w:val="1"/>
      <w:marLeft w:val="0"/>
      <w:marRight w:val="0"/>
      <w:marTop w:val="0"/>
      <w:marBottom w:val="0"/>
      <w:divBdr>
        <w:top w:val="none" w:sz="0" w:space="0" w:color="auto"/>
        <w:left w:val="none" w:sz="0" w:space="0" w:color="auto"/>
        <w:bottom w:val="none" w:sz="0" w:space="0" w:color="auto"/>
        <w:right w:val="none" w:sz="0" w:space="0" w:color="auto"/>
      </w:divBdr>
    </w:div>
    <w:div w:id="1941252059">
      <w:bodyDiv w:val="1"/>
      <w:marLeft w:val="0"/>
      <w:marRight w:val="0"/>
      <w:marTop w:val="0"/>
      <w:marBottom w:val="0"/>
      <w:divBdr>
        <w:top w:val="none" w:sz="0" w:space="0" w:color="auto"/>
        <w:left w:val="none" w:sz="0" w:space="0" w:color="auto"/>
        <w:bottom w:val="none" w:sz="0" w:space="0" w:color="auto"/>
        <w:right w:val="none" w:sz="0" w:space="0" w:color="auto"/>
      </w:divBdr>
    </w:div>
    <w:div w:id="1944650347">
      <w:bodyDiv w:val="1"/>
      <w:marLeft w:val="0"/>
      <w:marRight w:val="0"/>
      <w:marTop w:val="0"/>
      <w:marBottom w:val="0"/>
      <w:divBdr>
        <w:top w:val="none" w:sz="0" w:space="0" w:color="auto"/>
        <w:left w:val="none" w:sz="0" w:space="0" w:color="auto"/>
        <w:bottom w:val="none" w:sz="0" w:space="0" w:color="auto"/>
        <w:right w:val="none" w:sz="0" w:space="0" w:color="auto"/>
      </w:divBdr>
    </w:div>
    <w:div w:id="1946764877">
      <w:bodyDiv w:val="1"/>
      <w:marLeft w:val="0"/>
      <w:marRight w:val="0"/>
      <w:marTop w:val="0"/>
      <w:marBottom w:val="0"/>
      <w:divBdr>
        <w:top w:val="none" w:sz="0" w:space="0" w:color="auto"/>
        <w:left w:val="none" w:sz="0" w:space="0" w:color="auto"/>
        <w:bottom w:val="none" w:sz="0" w:space="0" w:color="auto"/>
        <w:right w:val="none" w:sz="0" w:space="0" w:color="auto"/>
      </w:divBdr>
    </w:div>
    <w:div w:id="1960842460">
      <w:bodyDiv w:val="1"/>
      <w:marLeft w:val="0"/>
      <w:marRight w:val="0"/>
      <w:marTop w:val="0"/>
      <w:marBottom w:val="0"/>
      <w:divBdr>
        <w:top w:val="none" w:sz="0" w:space="0" w:color="auto"/>
        <w:left w:val="none" w:sz="0" w:space="0" w:color="auto"/>
        <w:bottom w:val="none" w:sz="0" w:space="0" w:color="auto"/>
        <w:right w:val="none" w:sz="0" w:space="0" w:color="auto"/>
      </w:divBdr>
    </w:div>
    <w:div w:id="1988625255">
      <w:bodyDiv w:val="1"/>
      <w:marLeft w:val="0"/>
      <w:marRight w:val="0"/>
      <w:marTop w:val="0"/>
      <w:marBottom w:val="0"/>
      <w:divBdr>
        <w:top w:val="none" w:sz="0" w:space="0" w:color="auto"/>
        <w:left w:val="none" w:sz="0" w:space="0" w:color="auto"/>
        <w:bottom w:val="none" w:sz="0" w:space="0" w:color="auto"/>
        <w:right w:val="none" w:sz="0" w:space="0" w:color="auto"/>
      </w:divBdr>
    </w:div>
    <w:div w:id="2017078432">
      <w:bodyDiv w:val="1"/>
      <w:marLeft w:val="0"/>
      <w:marRight w:val="0"/>
      <w:marTop w:val="0"/>
      <w:marBottom w:val="0"/>
      <w:divBdr>
        <w:top w:val="none" w:sz="0" w:space="0" w:color="auto"/>
        <w:left w:val="none" w:sz="0" w:space="0" w:color="auto"/>
        <w:bottom w:val="none" w:sz="0" w:space="0" w:color="auto"/>
        <w:right w:val="none" w:sz="0" w:space="0" w:color="auto"/>
      </w:divBdr>
    </w:div>
    <w:div w:id="2038583479">
      <w:bodyDiv w:val="1"/>
      <w:marLeft w:val="0"/>
      <w:marRight w:val="0"/>
      <w:marTop w:val="0"/>
      <w:marBottom w:val="0"/>
      <w:divBdr>
        <w:top w:val="none" w:sz="0" w:space="0" w:color="auto"/>
        <w:left w:val="none" w:sz="0" w:space="0" w:color="auto"/>
        <w:bottom w:val="none" w:sz="0" w:space="0" w:color="auto"/>
        <w:right w:val="none" w:sz="0" w:space="0" w:color="auto"/>
      </w:divBdr>
    </w:div>
    <w:div w:id="2056158659">
      <w:bodyDiv w:val="1"/>
      <w:marLeft w:val="0"/>
      <w:marRight w:val="0"/>
      <w:marTop w:val="0"/>
      <w:marBottom w:val="0"/>
      <w:divBdr>
        <w:top w:val="none" w:sz="0" w:space="0" w:color="auto"/>
        <w:left w:val="none" w:sz="0" w:space="0" w:color="auto"/>
        <w:bottom w:val="none" w:sz="0" w:space="0" w:color="auto"/>
        <w:right w:val="none" w:sz="0" w:space="0" w:color="auto"/>
      </w:divBdr>
    </w:div>
    <w:div w:id="2103257719">
      <w:bodyDiv w:val="1"/>
      <w:marLeft w:val="0"/>
      <w:marRight w:val="0"/>
      <w:marTop w:val="0"/>
      <w:marBottom w:val="0"/>
      <w:divBdr>
        <w:top w:val="none" w:sz="0" w:space="0" w:color="auto"/>
        <w:left w:val="none" w:sz="0" w:space="0" w:color="auto"/>
        <w:bottom w:val="none" w:sz="0" w:space="0" w:color="auto"/>
        <w:right w:val="none" w:sz="0" w:space="0" w:color="auto"/>
      </w:divBdr>
    </w:div>
    <w:div w:id="2110811549">
      <w:bodyDiv w:val="1"/>
      <w:marLeft w:val="0"/>
      <w:marRight w:val="0"/>
      <w:marTop w:val="0"/>
      <w:marBottom w:val="0"/>
      <w:divBdr>
        <w:top w:val="none" w:sz="0" w:space="0" w:color="auto"/>
        <w:left w:val="none" w:sz="0" w:space="0" w:color="auto"/>
        <w:bottom w:val="none" w:sz="0" w:space="0" w:color="auto"/>
        <w:right w:val="none" w:sz="0" w:space="0" w:color="auto"/>
      </w:divBdr>
    </w:div>
    <w:div w:id="2132017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H:\MAKING-THE-NORMATIVE-CASE-IMPLEMENTING-SCR-1325-SUBMISSION-15-APRIL-2015.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w.probonomatters@lse.ac.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aw.probonomatters@lse.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hrw.org/sites/default/files/reports/iraq0214webwcover.pdf" TargetMode="External"/><Relationship Id="rId3" Type="http://schemas.openxmlformats.org/officeDocument/2006/relationships/hyperlink" Target="http://daccess-ods.un.org/access.nsf/Get?Open&amp;DS=S/PRST/2004/40&amp;Lang=E" TargetMode="External"/><Relationship Id="rId7" Type="http://schemas.openxmlformats.org/officeDocument/2006/relationships/hyperlink" Target="http://www.endvawnow.org/uploads/browser/files/vawprevalence_matrix_june2013.pdf" TargetMode="External"/><Relationship Id="rId2" Type="http://schemas.openxmlformats.org/officeDocument/2006/relationships/hyperlink" Target="http://daccess-ods.un.org/access.nsf/Get?Open&amp;DS=S/PRST/2005/52&amp;Lang=E" TargetMode="External"/><Relationship Id="rId1" Type="http://schemas.openxmlformats.org/officeDocument/2006/relationships/hyperlink" Target="http://daccess-ods.un.org/access.nsf/Get?Open&amp;DS=S/PRST/2004/40&amp;Lang=E" TargetMode="External"/><Relationship Id="rId6" Type="http://schemas.openxmlformats.org/officeDocument/2006/relationships/hyperlink" Target="http://asiapacific.unwomen.org/en/news-and-events/stories/2013/11/in-myanmar-efforts-to-bring-women-to-the-centre-of-peacebuilding" TargetMode="External"/><Relationship Id="rId5" Type="http://schemas.openxmlformats.org/officeDocument/2006/relationships/hyperlink" Target="http://www.saathi.org.np/images/stories/pdf/saathimidtermreportenglish.pdf" TargetMode="External"/><Relationship Id="rId4" Type="http://schemas.openxmlformats.org/officeDocument/2006/relationships/hyperlink" Target="http://daccess-ods.un.org/access.nsf/Get?Open&amp;DS=S/PRST/2005/52&amp;Lang=E" TargetMode="External"/><Relationship Id="rId9" Type="http://schemas.openxmlformats.org/officeDocument/2006/relationships/hyperlink" Target="http://www.efi-ife.org/news/one-year-nap-1325-ir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D03D5-1BA4-4151-8EE3-9272CFFD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F5FA9ED.dotm</Template>
  <TotalTime>47</TotalTime>
  <Pages>90</Pages>
  <Words>27358</Words>
  <Characters>155941</Characters>
  <Application>Microsoft Office Word</Application>
  <DocSecurity>0</DocSecurity>
  <Lines>1299</Lines>
  <Paragraphs>365</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182934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 Sandvig</dc:creator>
  <cp:lastModifiedBy>Administrator</cp:lastModifiedBy>
  <cp:revision>38</cp:revision>
  <cp:lastPrinted>2015-04-15T08:36:00Z</cp:lastPrinted>
  <dcterms:created xsi:type="dcterms:W3CDTF">2015-04-15T13:25:00Z</dcterms:created>
  <dcterms:modified xsi:type="dcterms:W3CDTF">2015-04-15T14:42:00Z</dcterms:modified>
</cp:coreProperties>
</file>